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1.xml" ContentType="application/vnd.openxmlformats-officedocument.themeOverrid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79D9D" w14:textId="77777777" w:rsidR="00AD5660" w:rsidRDefault="00AD5660" w:rsidP="00AD5660">
      <w:pPr>
        <w:pStyle w:val="Corpodetexto"/>
        <w:spacing w:before="120" w:after="120" w:line="259" w:lineRule="auto"/>
        <w:ind w:left="0" w:firstLine="0"/>
        <w:jc w:val="left"/>
        <w:rPr>
          <w:sz w:val="2"/>
        </w:rPr>
      </w:pPr>
      <w:r>
        <w:rPr>
          <w:noProof/>
          <w:lang w:bidi="ar-SA"/>
        </w:rPr>
        <mc:AlternateContent>
          <mc:Choice Requires="wpg">
            <w:drawing>
              <wp:anchor distT="0" distB="0" distL="114300" distR="114300" simplePos="0" relativeHeight="251659264" behindDoc="1" locked="0" layoutInCell="1" allowOverlap="1" wp14:anchorId="5409180A" wp14:editId="7BEC0927">
                <wp:simplePos x="0" y="0"/>
                <wp:positionH relativeFrom="page">
                  <wp:posOffset>304800</wp:posOffset>
                </wp:positionH>
                <wp:positionV relativeFrom="page">
                  <wp:posOffset>304800</wp:posOffset>
                </wp:positionV>
                <wp:extent cx="7164705" cy="945070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9450705"/>
                          <a:chOff x="480" y="480"/>
                          <a:chExt cx="11283" cy="14883"/>
                        </a:xfrm>
                      </wpg:grpSpPr>
                      <pic:pic xmlns:pic="http://schemas.openxmlformats.org/drawingml/2006/picture">
                        <pic:nvPicPr>
                          <pic:cNvPr id="14"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480"/>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24"/>
                        <wps:cNvSpPr>
                          <a:spLocks noChangeArrowheads="1"/>
                        </wps:cNvSpPr>
                        <wps:spPr bwMode="auto">
                          <a:xfrm>
                            <a:off x="597" y="480"/>
                            <a:ext cx="11048" cy="29"/>
                          </a:xfrm>
                          <a:prstGeom prst="rect">
                            <a:avLst/>
                          </a:prstGeom>
                          <a:solidFill>
                            <a:srgbClr val="9B5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3"/>
                        <wps:cNvSpPr>
                          <a:spLocks noChangeArrowheads="1"/>
                        </wps:cNvSpPr>
                        <wps:spPr bwMode="auto">
                          <a:xfrm>
                            <a:off x="597" y="508"/>
                            <a:ext cx="11048" cy="60"/>
                          </a:xfrm>
                          <a:prstGeom prst="rect">
                            <a:avLst/>
                          </a:prstGeom>
                          <a:solidFill>
                            <a:srgbClr val="4F21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2"/>
                        <wps:cNvSpPr>
                          <a:spLocks noChangeArrowheads="1"/>
                        </wps:cNvSpPr>
                        <wps:spPr bwMode="auto">
                          <a:xfrm>
                            <a:off x="597" y="568"/>
                            <a:ext cx="11048" cy="29"/>
                          </a:xfrm>
                          <a:prstGeom prst="rect">
                            <a:avLst/>
                          </a:prstGeom>
                          <a:solidFill>
                            <a:srgbClr val="431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44" y="480"/>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20"/>
                        <wps:cNvSpPr>
                          <a:spLocks noChangeArrowheads="1"/>
                        </wps:cNvSpPr>
                        <wps:spPr bwMode="auto">
                          <a:xfrm>
                            <a:off x="480" y="597"/>
                            <a:ext cx="29" cy="14648"/>
                          </a:xfrm>
                          <a:prstGeom prst="rect">
                            <a:avLst/>
                          </a:prstGeom>
                          <a:solidFill>
                            <a:srgbClr val="9B5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508" y="597"/>
                            <a:ext cx="60" cy="14648"/>
                          </a:xfrm>
                          <a:prstGeom prst="rect">
                            <a:avLst/>
                          </a:prstGeom>
                          <a:solidFill>
                            <a:srgbClr val="4F21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568" y="597"/>
                            <a:ext cx="29" cy="14648"/>
                          </a:xfrm>
                          <a:prstGeom prst="rect">
                            <a:avLst/>
                          </a:prstGeom>
                          <a:solidFill>
                            <a:srgbClr val="431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11733" y="597"/>
                            <a:ext cx="29" cy="14648"/>
                          </a:xfrm>
                          <a:prstGeom prst="rect">
                            <a:avLst/>
                          </a:prstGeom>
                          <a:solidFill>
                            <a:srgbClr val="9B5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11673" y="597"/>
                            <a:ext cx="60" cy="14648"/>
                          </a:xfrm>
                          <a:prstGeom prst="rect">
                            <a:avLst/>
                          </a:prstGeom>
                          <a:solidFill>
                            <a:srgbClr val="4F21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1644" y="597"/>
                            <a:ext cx="29" cy="14648"/>
                          </a:xfrm>
                          <a:prstGeom prst="rect">
                            <a:avLst/>
                          </a:prstGeom>
                          <a:solidFill>
                            <a:srgbClr val="431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80" y="15244"/>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3"/>
                        <wps:cNvSpPr>
                          <a:spLocks noChangeArrowheads="1"/>
                        </wps:cNvSpPr>
                        <wps:spPr bwMode="auto">
                          <a:xfrm>
                            <a:off x="597" y="15333"/>
                            <a:ext cx="11048" cy="29"/>
                          </a:xfrm>
                          <a:prstGeom prst="rect">
                            <a:avLst/>
                          </a:prstGeom>
                          <a:solidFill>
                            <a:srgbClr val="9B57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2"/>
                        <wps:cNvSpPr>
                          <a:spLocks noChangeArrowheads="1"/>
                        </wps:cNvSpPr>
                        <wps:spPr bwMode="auto">
                          <a:xfrm>
                            <a:off x="597" y="15273"/>
                            <a:ext cx="11048" cy="60"/>
                          </a:xfrm>
                          <a:prstGeom prst="rect">
                            <a:avLst/>
                          </a:prstGeom>
                          <a:solidFill>
                            <a:srgbClr val="4F21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97" y="15244"/>
                            <a:ext cx="11048" cy="29"/>
                          </a:xfrm>
                          <a:prstGeom prst="rect">
                            <a:avLst/>
                          </a:prstGeom>
                          <a:solidFill>
                            <a:srgbClr val="431D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644" y="15244"/>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F753FA" id="Group 9" o:spid="_x0000_s1026" style="position:absolute;margin-left:24pt;margin-top:24pt;width:564.15pt;height:744.15pt;z-index:-251657216;mso-position-horizontal-relative:page;mso-position-vertical-relative:page" coordorigin="480,480" coordsize="11283,14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80;top:480;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">
                  <v:imagedata r:id="rId12" o:title=""/>
                </v:shape>
                <v:rect id="Rectangle 24" o:spid="_x0000_s1028" style="position:absolute;left:597;top:480;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" fillcolor="#9b57cd" stroked="f"/>
                <v:rect id="Rectangle 23" o:spid="_x0000_s1029" style="position:absolute;left:597;top:508;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" fillcolor="#4f216e" stroked="f"/>
                <v:rect id="Rectangle 22" o:spid="_x0000_s1030" style="position:absolute;left:597;top:568;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" fillcolor="#431d5f" stroked="f"/>
                <v:shape id="Picture 21" o:spid="_x0000_s1031" type="#_x0000_t75" style="position:absolute;left:11644;top:480;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">
                  <v:imagedata r:id="rId13" o:title=""/>
                </v:shape>
                <v:rect id="Rectangle 20" o:spid="_x0000_s1032" style="position:absolute;left:480;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" fillcolor="#9b57cd" stroked="f"/>
                <v:rect id="Rectangle 19" o:spid="_x0000_s1033" style="position:absolute;left:508;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" fillcolor="#4f216e" stroked="f"/>
                <v:rect id="Rectangle 18" o:spid="_x0000_s1034" style="position:absolute;left:568;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" fillcolor="#431d5f" stroked="f"/>
                <v:rect id="Rectangle 17" o:spid="_x0000_s1035" style="position:absolute;left:11733;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" fillcolor="#9b57cd" stroked="f"/>
                <v:rect id="Rectangle 16" o:spid="_x0000_s1036" style="position:absolute;left:11673;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" fillcolor="#4f216e" stroked="f"/>
                <v:rect id="Rectangle 15" o:spid="_x0000_s1037" style="position:absolute;left:11644;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" fillcolor="#431d5f" stroked="f"/>
                <v:shape id="Picture 14" o:spid="_x0000_s1038" type="#_x0000_t75" style="position:absolute;left:480;top:15244;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">
                  <v:imagedata r:id="rId14" o:title=""/>
                </v:shape>
                <v:rect id="Rectangle 13" o:spid="_x0000_s1039" style="position:absolute;left:597;top:15333;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" fillcolor="#9b57cd" stroked="f"/>
                <v:rect id="Rectangle 12" o:spid="_x0000_s1040" style="position:absolute;left:597;top:15273;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" fillcolor="#4f216e" stroked="f"/>
                <v:rect id="Rectangle 11" o:spid="_x0000_s1041" style="position:absolute;left:597;top:15244;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" fillcolor="#431d5f" stroked="f"/>
                <v:shape id="Picture 10" o:spid="_x0000_s1042" type="#_x0000_t75" style="position:absolute;left:11644;top:15244;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">
                  <v:imagedata r:id="rId15" o:title=""/>
                </v:shape>
                <w10:wrap anchorx="page" anchory="page"/>
              </v:group>
            </w:pict>
          </mc:Fallback>
        </mc:AlternateContent>
      </w:r>
    </w:p>
    <w:p w14:paraId="24665D70" w14:textId="77777777" w:rsidR="00AD5660" w:rsidRDefault="00AD5660" w:rsidP="00AD5660">
      <w:pPr>
        <w:tabs>
          <w:tab w:val="left" w:pos="7374"/>
        </w:tabs>
        <w:spacing w:before="120" w:after="120" w:line="259" w:lineRule="auto"/>
        <w:ind w:left="1787"/>
        <w:rPr>
          <w:sz w:val="20"/>
        </w:rPr>
      </w:pPr>
      <w:r>
        <w:rPr>
          <w:noProof/>
          <w:sz w:val="20"/>
        </w:rPr>
        <w:drawing>
          <wp:inline distT="0" distB="0" distL="0" distR="0" wp14:anchorId="29280EFC" wp14:editId="00D3B018">
            <wp:extent cx="786765" cy="792479"/>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6" cstate="print"/>
                    <a:stretch>
                      <a:fillRect/>
                    </a:stretch>
                  </pic:blipFill>
                  <pic:spPr>
                    <a:xfrm>
                      <a:off x="0" y="0"/>
                      <a:ext cx="786765" cy="792479"/>
                    </a:xfrm>
                    <a:prstGeom prst="rect">
                      <a:avLst/>
                    </a:prstGeom>
                  </pic:spPr>
                </pic:pic>
              </a:graphicData>
            </a:graphic>
          </wp:inline>
        </w:drawing>
      </w:r>
      <w:r>
        <w:rPr>
          <w:sz w:val="20"/>
        </w:rPr>
        <w:tab/>
      </w:r>
      <w:r>
        <w:rPr>
          <w:noProof/>
          <w:position w:val="7"/>
          <w:sz w:val="20"/>
        </w:rPr>
        <w:drawing>
          <wp:inline distT="0" distB="0" distL="0" distR="0" wp14:anchorId="54173453" wp14:editId="193F496B">
            <wp:extent cx="1172776" cy="704087"/>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7" cstate="print"/>
                    <a:stretch>
                      <a:fillRect/>
                    </a:stretch>
                  </pic:blipFill>
                  <pic:spPr>
                    <a:xfrm>
                      <a:off x="0" y="0"/>
                      <a:ext cx="1172776" cy="704087"/>
                    </a:xfrm>
                    <a:prstGeom prst="rect">
                      <a:avLst/>
                    </a:prstGeom>
                  </pic:spPr>
                </pic:pic>
              </a:graphicData>
            </a:graphic>
          </wp:inline>
        </w:drawing>
      </w:r>
    </w:p>
    <w:p w14:paraId="061B5D85" w14:textId="77777777" w:rsidR="00AD5660" w:rsidRDefault="00AD5660" w:rsidP="00AD5660">
      <w:pPr>
        <w:pStyle w:val="Corpodetexto"/>
        <w:spacing w:before="120" w:after="120" w:line="259" w:lineRule="auto"/>
        <w:ind w:left="0" w:firstLine="0"/>
        <w:jc w:val="left"/>
        <w:rPr>
          <w:sz w:val="25"/>
        </w:rPr>
      </w:pPr>
    </w:p>
    <w:tbl>
      <w:tblPr>
        <w:tblStyle w:val="TableNormal"/>
        <w:tblW w:w="0" w:type="auto"/>
        <w:tblInd w:w="889" w:type="dxa"/>
        <w:tblLayout w:type="fixed"/>
        <w:tblLook w:val="01E0" w:firstRow="1" w:lastRow="1" w:firstColumn="1" w:lastColumn="1" w:noHBand="0" w:noVBand="0"/>
      </w:tblPr>
      <w:tblGrid>
        <w:gridCol w:w="4277"/>
        <w:gridCol w:w="5001"/>
      </w:tblGrid>
      <w:tr w:rsidR="00AD5660" w:rsidRPr="005808D4" w14:paraId="29DD16EA" w14:textId="77777777" w:rsidTr="00D23662">
        <w:trPr>
          <w:trHeight w:val="560"/>
        </w:trPr>
        <w:tc>
          <w:tcPr>
            <w:tcW w:w="4277" w:type="dxa"/>
          </w:tcPr>
          <w:p w14:paraId="62DF63E6" w14:textId="77777777" w:rsidR="00AD5660" w:rsidRDefault="00AD5660" w:rsidP="00D23662">
            <w:pPr>
              <w:pStyle w:val="TableParagraph"/>
              <w:spacing w:before="120" w:after="120" w:line="259" w:lineRule="auto"/>
              <w:ind w:left="200"/>
              <w:rPr>
                <w:b/>
                <w:sz w:val="24"/>
              </w:rPr>
            </w:pPr>
            <w:r>
              <w:rPr>
                <w:b/>
                <w:sz w:val="24"/>
              </w:rPr>
              <w:t>República de Cabo Verde</w:t>
            </w:r>
          </w:p>
        </w:tc>
        <w:tc>
          <w:tcPr>
            <w:tcW w:w="5001" w:type="dxa"/>
          </w:tcPr>
          <w:p w14:paraId="2F084B51" w14:textId="77777777" w:rsidR="00AD5660" w:rsidRDefault="00AD5660" w:rsidP="00D23662">
            <w:pPr>
              <w:pStyle w:val="TableParagraph"/>
              <w:spacing w:before="120" w:after="120" w:line="259" w:lineRule="auto"/>
              <w:ind w:left="1527"/>
              <w:rPr>
                <w:b/>
                <w:sz w:val="24"/>
              </w:rPr>
            </w:pPr>
            <w:r>
              <w:rPr>
                <w:b/>
                <w:sz w:val="24"/>
              </w:rPr>
              <w:t>Instituto Cabo-verdiano para a</w:t>
            </w:r>
          </w:p>
          <w:p w14:paraId="6C3E3751" w14:textId="77777777" w:rsidR="00AD5660" w:rsidRDefault="00AD5660" w:rsidP="00D23662">
            <w:pPr>
              <w:pStyle w:val="TableParagraph"/>
              <w:spacing w:before="120" w:after="120" w:line="259" w:lineRule="auto"/>
              <w:ind w:left="1443"/>
              <w:rPr>
                <w:b/>
                <w:sz w:val="24"/>
              </w:rPr>
            </w:pPr>
            <w:r>
              <w:rPr>
                <w:b/>
                <w:sz w:val="24"/>
              </w:rPr>
              <w:t>Igualdade e Equidade de Género</w:t>
            </w:r>
          </w:p>
        </w:tc>
      </w:tr>
    </w:tbl>
    <w:p w14:paraId="1E6B6BB8" w14:textId="74D78523" w:rsidR="00144DB0" w:rsidRDefault="00144DB0" w:rsidP="00144DB0">
      <w:pPr>
        <w:pStyle w:val="Corpodetexto"/>
        <w:tabs>
          <w:tab w:val="left" w:pos="8235"/>
        </w:tabs>
        <w:spacing w:before="120" w:after="120" w:line="259" w:lineRule="auto"/>
        <w:ind w:left="0" w:firstLine="0"/>
        <w:jc w:val="left"/>
        <w:rPr>
          <w:sz w:val="20"/>
        </w:rPr>
      </w:pPr>
    </w:p>
    <w:p w14:paraId="0B1B8C8D" w14:textId="3AEBA203" w:rsidR="00C9610E" w:rsidRDefault="00C9610E" w:rsidP="00144DB0">
      <w:pPr>
        <w:pStyle w:val="Corpodetexto"/>
        <w:tabs>
          <w:tab w:val="left" w:pos="8235"/>
        </w:tabs>
        <w:spacing w:before="120" w:after="120" w:line="259" w:lineRule="auto"/>
        <w:ind w:left="0" w:firstLine="0"/>
        <w:jc w:val="left"/>
        <w:rPr>
          <w:sz w:val="20"/>
        </w:rPr>
      </w:pPr>
    </w:p>
    <w:p w14:paraId="7CB32E0B" w14:textId="77777777" w:rsidR="00C9610E" w:rsidRDefault="00C9610E" w:rsidP="00144DB0">
      <w:pPr>
        <w:pStyle w:val="Corpodetexto"/>
        <w:tabs>
          <w:tab w:val="left" w:pos="8235"/>
        </w:tabs>
        <w:spacing w:before="120" w:after="120" w:line="259" w:lineRule="auto"/>
        <w:ind w:left="0" w:firstLine="0"/>
        <w:jc w:val="left"/>
        <w:rPr>
          <w:sz w:val="20"/>
        </w:rPr>
      </w:pPr>
    </w:p>
    <w:p w14:paraId="1B998610" w14:textId="5D028C67" w:rsidR="00AD5660" w:rsidRDefault="00144DB0" w:rsidP="00AD5660">
      <w:pPr>
        <w:spacing w:before="120" w:after="120" w:line="259" w:lineRule="auto"/>
        <w:jc w:val="center"/>
        <w:rPr>
          <w:b/>
          <w:color w:val="FF0000"/>
          <w:sz w:val="26"/>
          <w:szCs w:val="26"/>
        </w:rPr>
      </w:pPr>
      <w:r>
        <w:rPr>
          <w:noProof/>
        </w:rPr>
        <w:drawing>
          <wp:inline distT="0" distB="0" distL="0" distR="0" wp14:anchorId="48E6C0E2" wp14:editId="65976D4A">
            <wp:extent cx="1570604" cy="2022085"/>
            <wp:effectExtent l="0" t="0" r="0" b="0"/>
            <wp:docPr id="7" name="Imagem 7" descr="Resultado de imagem para logo od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ods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0305" cy="2073199"/>
                    </a:xfrm>
                    <a:prstGeom prst="rect">
                      <a:avLst/>
                    </a:prstGeom>
                    <a:noFill/>
                    <a:ln>
                      <a:noFill/>
                    </a:ln>
                  </pic:spPr>
                </pic:pic>
              </a:graphicData>
            </a:graphic>
          </wp:inline>
        </w:drawing>
      </w:r>
    </w:p>
    <w:p w14:paraId="6BB8CC88" w14:textId="42F0CDCD" w:rsidR="00AD5660" w:rsidRDefault="00AD5660" w:rsidP="00AD5660">
      <w:pPr>
        <w:spacing w:before="120" w:after="120" w:line="259" w:lineRule="auto"/>
        <w:jc w:val="center"/>
        <w:rPr>
          <w:b/>
          <w:color w:val="FF0000"/>
          <w:sz w:val="26"/>
          <w:szCs w:val="26"/>
        </w:rPr>
      </w:pPr>
    </w:p>
    <w:p w14:paraId="1FC9780B" w14:textId="77777777" w:rsidR="00C9610E" w:rsidRPr="00144DB0" w:rsidRDefault="00C9610E" w:rsidP="00C9610E">
      <w:pPr>
        <w:spacing w:before="120" w:after="120" w:line="259" w:lineRule="auto"/>
        <w:ind w:right="140"/>
        <w:jc w:val="center"/>
        <w:rPr>
          <w:b/>
          <w:smallCaps/>
          <w:sz w:val="36"/>
          <w:szCs w:val="36"/>
          <w:lang w:val="pt-PT"/>
        </w:rPr>
      </w:pPr>
      <w:r w:rsidRPr="00144DB0">
        <w:rPr>
          <w:b/>
          <w:smallCaps/>
          <w:sz w:val="40"/>
          <w:szCs w:val="40"/>
          <w:lang w:val="pt-PT"/>
        </w:rPr>
        <w:t>P</w:t>
      </w:r>
      <w:r w:rsidRPr="00144DB0">
        <w:rPr>
          <w:b/>
          <w:smallCaps/>
          <w:sz w:val="36"/>
          <w:szCs w:val="36"/>
          <w:lang w:val="pt-PT"/>
        </w:rPr>
        <w:t xml:space="preserve">LANO </w:t>
      </w:r>
      <w:r w:rsidRPr="00144DB0">
        <w:rPr>
          <w:b/>
          <w:smallCaps/>
          <w:sz w:val="40"/>
          <w:szCs w:val="40"/>
          <w:lang w:val="pt-PT"/>
        </w:rPr>
        <w:t>N</w:t>
      </w:r>
      <w:r w:rsidRPr="00144DB0">
        <w:rPr>
          <w:b/>
          <w:smallCaps/>
          <w:sz w:val="36"/>
          <w:szCs w:val="36"/>
          <w:lang w:val="pt-PT"/>
        </w:rPr>
        <w:t xml:space="preserve">ACIONAL PARA A </w:t>
      </w:r>
      <w:r w:rsidRPr="00144DB0">
        <w:rPr>
          <w:b/>
          <w:smallCaps/>
          <w:sz w:val="40"/>
          <w:szCs w:val="40"/>
          <w:lang w:val="pt-PT"/>
        </w:rPr>
        <w:t>I</w:t>
      </w:r>
      <w:r w:rsidRPr="00144DB0">
        <w:rPr>
          <w:b/>
          <w:smallCaps/>
          <w:sz w:val="36"/>
          <w:szCs w:val="36"/>
          <w:lang w:val="pt-PT"/>
        </w:rPr>
        <w:t xml:space="preserve">GUALDADE DE </w:t>
      </w:r>
      <w:r w:rsidRPr="00144DB0">
        <w:rPr>
          <w:b/>
          <w:smallCaps/>
          <w:sz w:val="40"/>
          <w:szCs w:val="40"/>
          <w:lang w:val="pt-PT"/>
        </w:rPr>
        <w:t>G</w:t>
      </w:r>
      <w:r w:rsidRPr="00144DB0">
        <w:rPr>
          <w:b/>
          <w:smallCaps/>
          <w:sz w:val="36"/>
          <w:szCs w:val="36"/>
          <w:lang w:val="pt-PT"/>
        </w:rPr>
        <w:t xml:space="preserve">ÉNERO </w:t>
      </w:r>
    </w:p>
    <w:p w14:paraId="0F0EEFFA" w14:textId="73EEE8CC" w:rsidR="00C9610E" w:rsidRDefault="00C9610E" w:rsidP="00C9610E">
      <w:pPr>
        <w:spacing w:before="120" w:after="120" w:line="259" w:lineRule="auto"/>
        <w:ind w:right="140"/>
        <w:jc w:val="center"/>
        <w:rPr>
          <w:b/>
          <w:sz w:val="32"/>
          <w:lang w:val="pt-PT"/>
        </w:rPr>
      </w:pPr>
      <w:r>
        <w:rPr>
          <w:b/>
          <w:sz w:val="32"/>
          <w:lang w:val="pt-PT"/>
        </w:rPr>
        <w:t>(</w:t>
      </w:r>
      <w:proofErr w:type="spellStart"/>
      <w:r>
        <w:rPr>
          <w:b/>
          <w:sz w:val="32"/>
          <w:lang w:val="pt-PT"/>
        </w:rPr>
        <w:t>PNIG</w:t>
      </w:r>
      <w:proofErr w:type="spellEnd"/>
      <w:r>
        <w:rPr>
          <w:b/>
          <w:sz w:val="32"/>
          <w:lang w:val="pt-PT"/>
        </w:rPr>
        <w:t xml:space="preserve"> 20</w:t>
      </w:r>
      <w:r w:rsidR="00924BC8">
        <w:rPr>
          <w:b/>
          <w:sz w:val="32"/>
          <w:lang w:val="pt-PT"/>
        </w:rPr>
        <w:t>20</w:t>
      </w:r>
      <w:r>
        <w:rPr>
          <w:b/>
          <w:sz w:val="32"/>
          <w:lang w:val="pt-PT"/>
        </w:rPr>
        <w:t>-</w:t>
      </w:r>
      <w:r w:rsidRPr="00861830">
        <w:rPr>
          <w:b/>
          <w:sz w:val="32"/>
          <w:lang w:val="pt-PT"/>
        </w:rPr>
        <w:t>2023)</w:t>
      </w:r>
    </w:p>
    <w:p w14:paraId="2B14035F" w14:textId="39D21B72" w:rsidR="00144DB0" w:rsidRDefault="00144DB0" w:rsidP="00AD5660">
      <w:pPr>
        <w:spacing w:before="120" w:after="120" w:line="259" w:lineRule="auto"/>
        <w:jc w:val="center"/>
        <w:rPr>
          <w:b/>
          <w:color w:val="FF0000"/>
          <w:sz w:val="26"/>
          <w:szCs w:val="26"/>
        </w:rPr>
      </w:pPr>
    </w:p>
    <w:p w14:paraId="4C73A647" w14:textId="0BBEBEAC" w:rsidR="00144DB0" w:rsidRDefault="00144DB0" w:rsidP="00AD5660">
      <w:pPr>
        <w:spacing w:before="120" w:after="120" w:line="259" w:lineRule="auto"/>
        <w:jc w:val="center"/>
        <w:rPr>
          <w:b/>
          <w:color w:val="FF0000"/>
          <w:sz w:val="26"/>
          <w:szCs w:val="26"/>
        </w:rPr>
      </w:pPr>
    </w:p>
    <w:p w14:paraId="199D3411" w14:textId="3EE336E9" w:rsidR="00C9610E" w:rsidRDefault="00C9610E" w:rsidP="00AD5660">
      <w:pPr>
        <w:spacing w:before="120" w:after="120" w:line="259" w:lineRule="auto"/>
        <w:jc w:val="center"/>
        <w:rPr>
          <w:b/>
          <w:color w:val="FF0000"/>
          <w:sz w:val="26"/>
          <w:szCs w:val="26"/>
        </w:rPr>
      </w:pPr>
    </w:p>
    <w:p w14:paraId="2DBE4E1B" w14:textId="78C723E4" w:rsidR="00C9610E" w:rsidRDefault="00C9610E" w:rsidP="00AD5660">
      <w:pPr>
        <w:spacing w:before="120" w:after="120" w:line="259" w:lineRule="auto"/>
        <w:jc w:val="center"/>
        <w:rPr>
          <w:b/>
          <w:color w:val="FF0000"/>
          <w:sz w:val="26"/>
          <w:szCs w:val="26"/>
        </w:rPr>
      </w:pPr>
    </w:p>
    <w:p w14:paraId="0AB8E9FA" w14:textId="72F4D0F1" w:rsidR="00C9610E" w:rsidRDefault="00C9610E" w:rsidP="00AD5660">
      <w:pPr>
        <w:spacing w:before="120" w:after="120" w:line="259" w:lineRule="auto"/>
        <w:jc w:val="center"/>
        <w:rPr>
          <w:b/>
          <w:color w:val="FF0000"/>
          <w:sz w:val="26"/>
          <w:szCs w:val="26"/>
        </w:rPr>
      </w:pPr>
    </w:p>
    <w:p w14:paraId="53F192AF" w14:textId="7D4895A2" w:rsidR="00144DB0" w:rsidRDefault="00144DB0" w:rsidP="00AD5660">
      <w:pPr>
        <w:spacing w:before="120" w:after="120" w:line="259" w:lineRule="auto"/>
        <w:jc w:val="center"/>
        <w:rPr>
          <w:b/>
          <w:color w:val="FF0000"/>
          <w:sz w:val="26"/>
          <w:szCs w:val="26"/>
        </w:rPr>
      </w:pPr>
    </w:p>
    <w:p w14:paraId="64A15B50" w14:textId="77777777" w:rsidR="008E1D40" w:rsidRDefault="008E1D40" w:rsidP="00AD5660">
      <w:pPr>
        <w:spacing w:before="120" w:after="120" w:line="259" w:lineRule="auto"/>
        <w:jc w:val="center"/>
        <w:rPr>
          <w:b/>
          <w:color w:val="FF0000"/>
          <w:sz w:val="26"/>
          <w:szCs w:val="26"/>
        </w:rPr>
      </w:pPr>
    </w:p>
    <w:p w14:paraId="778D1B09" w14:textId="08455D74" w:rsidR="00144DB0" w:rsidRPr="00144DB0" w:rsidRDefault="00924BC8" w:rsidP="00AD5660">
      <w:pPr>
        <w:spacing w:before="120" w:after="120" w:line="259" w:lineRule="auto"/>
        <w:jc w:val="center"/>
        <w:rPr>
          <w:b/>
          <w:sz w:val="26"/>
          <w:szCs w:val="26"/>
        </w:rPr>
      </w:pPr>
      <w:r>
        <w:rPr>
          <w:b/>
          <w:sz w:val="26"/>
          <w:szCs w:val="26"/>
        </w:rPr>
        <w:t xml:space="preserve">Janeiro </w:t>
      </w:r>
      <w:r w:rsidR="00144DB0" w:rsidRPr="00144DB0">
        <w:rPr>
          <w:b/>
          <w:sz w:val="26"/>
          <w:szCs w:val="26"/>
        </w:rPr>
        <w:t>20</w:t>
      </w:r>
      <w:r>
        <w:rPr>
          <w:b/>
          <w:sz w:val="26"/>
          <w:szCs w:val="26"/>
        </w:rPr>
        <w:t>20</w:t>
      </w:r>
    </w:p>
    <w:p w14:paraId="3E281404" w14:textId="77777777" w:rsidR="00144DB0" w:rsidRDefault="00144DB0" w:rsidP="00AD5660">
      <w:pPr>
        <w:spacing w:before="120" w:after="120" w:line="259" w:lineRule="auto"/>
        <w:jc w:val="center"/>
        <w:rPr>
          <w:b/>
          <w:color w:val="FF0000"/>
          <w:sz w:val="26"/>
          <w:szCs w:val="26"/>
        </w:rPr>
      </w:pPr>
    </w:p>
    <w:p w14:paraId="3898ABF1" w14:textId="77777777" w:rsidR="00AD5660" w:rsidRPr="00144DB0" w:rsidRDefault="00AD5660" w:rsidP="00AD5660">
      <w:pPr>
        <w:spacing w:before="120" w:after="120" w:line="259" w:lineRule="auto"/>
        <w:jc w:val="center"/>
        <w:rPr>
          <w:sz w:val="28"/>
          <w:lang w:val="pt-PT"/>
        </w:rPr>
        <w:sectPr w:rsidR="00AD5660" w:rsidRPr="00144DB0" w:rsidSect="00144DB0">
          <w:pgSz w:w="12240" w:h="15840"/>
          <w:pgMar w:top="1500" w:right="540" w:bottom="280" w:left="680" w:header="720" w:footer="720" w:gutter="0"/>
          <w:pgBorders w:display="firstPage" w:offsetFrom="page">
            <w:top w:val="single" w:sz="48" w:space="24" w:color="ED7D31" w:themeColor="accent2"/>
            <w:left w:val="single" w:sz="48" w:space="24" w:color="ED7D31" w:themeColor="accent2"/>
            <w:bottom w:val="single" w:sz="48" w:space="24" w:color="ED7D31" w:themeColor="accent2"/>
            <w:right w:val="single" w:sz="48" w:space="24" w:color="ED7D31" w:themeColor="accent2"/>
          </w:pgBorders>
          <w:cols w:space="720"/>
        </w:sectPr>
      </w:pPr>
    </w:p>
    <w:sdt>
      <w:sdtPr>
        <w:rPr>
          <w:rFonts w:asciiTheme="minorHAnsi" w:eastAsiaTheme="minorHAnsi" w:hAnsiTheme="minorHAnsi" w:cstheme="minorBidi"/>
          <w:color w:val="auto"/>
          <w:sz w:val="24"/>
          <w:szCs w:val="24"/>
          <w:lang w:val="en-US" w:eastAsia="en-US"/>
        </w:rPr>
        <w:id w:val="2129120202"/>
        <w:docPartObj>
          <w:docPartGallery w:val="Table of Contents"/>
          <w:docPartUnique/>
        </w:docPartObj>
      </w:sdtPr>
      <w:sdtEndPr>
        <w:rPr>
          <w:rFonts w:ascii="Garamond" w:hAnsi="Garamond"/>
        </w:rPr>
      </w:sdtEndPr>
      <w:sdtContent>
        <w:p w14:paraId="28094523" w14:textId="377FDDFE" w:rsidR="000F2405" w:rsidRPr="003E7D46" w:rsidRDefault="000F2405">
          <w:pPr>
            <w:pStyle w:val="Cabealhodondice"/>
            <w:rPr>
              <w:rFonts w:ascii="Garamond" w:hAnsi="Garamond"/>
              <w:b/>
              <w:bCs/>
              <w:color w:val="auto"/>
            </w:rPr>
          </w:pPr>
          <w:r w:rsidRPr="003E7D46">
            <w:rPr>
              <w:rFonts w:ascii="Garamond" w:hAnsi="Garamond"/>
              <w:b/>
              <w:bCs/>
              <w:color w:val="auto"/>
            </w:rPr>
            <w:t>Conteúdo</w:t>
          </w:r>
        </w:p>
        <w:p w14:paraId="563F8C6E" w14:textId="79C8E4F3" w:rsidR="005910F0" w:rsidRPr="005910F0" w:rsidRDefault="000F2405">
          <w:pPr>
            <w:pStyle w:val="ndice1"/>
            <w:tabs>
              <w:tab w:val="right" w:leader="dot" w:pos="9010"/>
            </w:tabs>
            <w:rPr>
              <w:rFonts w:ascii="Garamond" w:eastAsiaTheme="minorEastAsia" w:hAnsi="Garamond"/>
              <w:noProof/>
              <w:sz w:val="22"/>
              <w:szCs w:val="22"/>
              <w:lang w:val="pt-PT" w:eastAsia="pt-PT"/>
            </w:rPr>
          </w:pPr>
          <w:r w:rsidRPr="005910F0">
            <w:rPr>
              <w:rFonts w:ascii="Garamond" w:hAnsi="Garamond" w:cs="Times New Roman"/>
              <w:iCs/>
              <w:noProof/>
              <w:lang w:val="pt-PT"/>
            </w:rPr>
            <w:fldChar w:fldCharType="begin"/>
          </w:r>
          <w:r w:rsidRPr="005910F0">
            <w:rPr>
              <w:rFonts w:ascii="Garamond" w:hAnsi="Garamond" w:cs="Times New Roman"/>
              <w:iCs/>
              <w:noProof/>
              <w:lang w:val="pt-PT"/>
            </w:rPr>
            <w:instrText xml:space="preserve"> TOC \o "1-3" \h \z \u </w:instrText>
          </w:r>
          <w:r w:rsidRPr="005910F0">
            <w:rPr>
              <w:rFonts w:ascii="Garamond" w:hAnsi="Garamond" w:cs="Times New Roman"/>
              <w:iCs/>
              <w:noProof/>
              <w:lang w:val="pt-PT"/>
            </w:rPr>
            <w:fldChar w:fldCharType="separate"/>
          </w:r>
          <w:hyperlink w:anchor="_Toc32858112" w:history="1">
            <w:r w:rsidR="005910F0" w:rsidRPr="005910F0">
              <w:rPr>
                <w:rStyle w:val="Hiperligao"/>
                <w:rFonts w:ascii="Garamond" w:hAnsi="Garamond"/>
                <w:noProof/>
                <w:lang w:val="pt-PT"/>
              </w:rPr>
              <w:t>Lista de Gráficos</w:t>
            </w:r>
            <w:r w:rsidR="005910F0" w:rsidRPr="005910F0">
              <w:rPr>
                <w:rFonts w:ascii="Garamond" w:hAnsi="Garamond"/>
                <w:noProof/>
                <w:webHidden/>
              </w:rPr>
              <w:tab/>
            </w:r>
            <w:r w:rsidR="005910F0" w:rsidRPr="005910F0">
              <w:rPr>
                <w:rFonts w:ascii="Garamond" w:hAnsi="Garamond"/>
                <w:noProof/>
                <w:webHidden/>
              </w:rPr>
              <w:fldChar w:fldCharType="begin"/>
            </w:r>
            <w:r w:rsidR="005910F0" w:rsidRPr="005910F0">
              <w:rPr>
                <w:rFonts w:ascii="Garamond" w:hAnsi="Garamond"/>
                <w:noProof/>
                <w:webHidden/>
              </w:rPr>
              <w:instrText xml:space="preserve"> PAGEREF _Toc32858112 \h </w:instrText>
            </w:r>
            <w:r w:rsidR="005910F0" w:rsidRPr="005910F0">
              <w:rPr>
                <w:rFonts w:ascii="Garamond" w:hAnsi="Garamond"/>
                <w:noProof/>
                <w:webHidden/>
              </w:rPr>
            </w:r>
            <w:r w:rsidR="005910F0" w:rsidRPr="005910F0">
              <w:rPr>
                <w:rFonts w:ascii="Garamond" w:hAnsi="Garamond"/>
                <w:noProof/>
                <w:webHidden/>
              </w:rPr>
              <w:fldChar w:fldCharType="separate"/>
            </w:r>
            <w:r w:rsidR="005910F0" w:rsidRPr="005910F0">
              <w:rPr>
                <w:rFonts w:ascii="Garamond" w:hAnsi="Garamond"/>
                <w:noProof/>
                <w:webHidden/>
              </w:rPr>
              <w:t>3</w:t>
            </w:r>
            <w:r w:rsidR="005910F0" w:rsidRPr="005910F0">
              <w:rPr>
                <w:rFonts w:ascii="Garamond" w:hAnsi="Garamond"/>
                <w:noProof/>
                <w:webHidden/>
              </w:rPr>
              <w:fldChar w:fldCharType="end"/>
            </w:r>
          </w:hyperlink>
        </w:p>
        <w:p w14:paraId="5EFB43B5" w14:textId="3CEBBB4D"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13" w:history="1">
            <w:r w:rsidRPr="005910F0">
              <w:rPr>
                <w:rStyle w:val="Hiperligao"/>
                <w:rFonts w:ascii="Garamond" w:hAnsi="Garamond"/>
                <w:noProof/>
                <w:lang w:val="pt-PT"/>
              </w:rPr>
              <w:t>Lista de Tabelas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_Toc32858113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4</w:t>
            </w:r>
            <w:r w:rsidRPr="005910F0">
              <w:rPr>
                <w:rFonts w:ascii="Garamond" w:hAnsi="Garamond"/>
                <w:noProof/>
                <w:webHidden/>
              </w:rPr>
              <w:fldChar w:fldCharType="end"/>
            </w:r>
          </w:hyperlink>
        </w:p>
        <w:p w14:paraId="6861583C" w14:textId="0EF97A62"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14" w:history="1">
            <w:r w:rsidRPr="005910F0">
              <w:rPr>
                <w:rStyle w:val="Hiperligao"/>
                <w:rFonts w:ascii="Garamond" w:hAnsi="Garamond"/>
                <w:noProof/>
                <w:lang w:val="pt-PT"/>
              </w:rPr>
              <w:t>PARTE I – INTRODUÇÃO</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_Toc32858114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5</w:t>
            </w:r>
            <w:r w:rsidRPr="005910F0">
              <w:rPr>
                <w:rFonts w:ascii="Garamond" w:hAnsi="Garamond"/>
                <w:noProof/>
                <w:webHidden/>
              </w:rPr>
              <w:fldChar w:fldCharType="end"/>
            </w:r>
          </w:hyperlink>
        </w:p>
        <w:p w14:paraId="7982DBB2" w14:textId="1C82E444" w:rsidR="005910F0" w:rsidRPr="005910F0" w:rsidRDefault="005910F0">
          <w:pPr>
            <w:pStyle w:val="ndice2"/>
            <w:rPr>
              <w:rFonts w:eastAsiaTheme="minorEastAsia" w:cstheme="minorBidi"/>
              <w:iCs w:val="0"/>
              <w:sz w:val="22"/>
              <w:szCs w:val="22"/>
              <w:lang w:eastAsia="pt-PT"/>
            </w:rPr>
          </w:pPr>
          <w:hyperlink w:anchor="_Toc32858115" w:history="1">
            <w:r w:rsidRPr="005910F0">
              <w:rPr>
                <w:rStyle w:val="Hiperligao"/>
              </w:rPr>
              <w:t>O que é o PNIG</w:t>
            </w:r>
            <w:r w:rsidRPr="005910F0">
              <w:rPr>
                <w:webHidden/>
              </w:rPr>
              <w:tab/>
            </w:r>
            <w:r w:rsidRPr="005910F0">
              <w:rPr>
                <w:webHidden/>
              </w:rPr>
              <w:fldChar w:fldCharType="begin"/>
            </w:r>
            <w:r w:rsidRPr="005910F0">
              <w:rPr>
                <w:webHidden/>
              </w:rPr>
              <w:instrText xml:space="preserve"> PAGEREF _Toc32858115 \h </w:instrText>
            </w:r>
            <w:r w:rsidRPr="005910F0">
              <w:rPr>
                <w:webHidden/>
              </w:rPr>
            </w:r>
            <w:r w:rsidRPr="005910F0">
              <w:rPr>
                <w:webHidden/>
              </w:rPr>
              <w:fldChar w:fldCharType="separate"/>
            </w:r>
            <w:r w:rsidRPr="005910F0">
              <w:rPr>
                <w:webHidden/>
              </w:rPr>
              <w:t>5</w:t>
            </w:r>
            <w:r w:rsidRPr="005910F0">
              <w:rPr>
                <w:webHidden/>
              </w:rPr>
              <w:fldChar w:fldCharType="end"/>
            </w:r>
          </w:hyperlink>
        </w:p>
        <w:p w14:paraId="2C333D11" w14:textId="29EF80C8" w:rsidR="005910F0" w:rsidRPr="005910F0" w:rsidRDefault="005910F0">
          <w:pPr>
            <w:pStyle w:val="ndice2"/>
            <w:rPr>
              <w:rFonts w:eastAsiaTheme="minorEastAsia" w:cstheme="minorBidi"/>
              <w:iCs w:val="0"/>
              <w:sz w:val="22"/>
              <w:szCs w:val="22"/>
              <w:lang w:eastAsia="pt-PT"/>
            </w:rPr>
          </w:pPr>
          <w:hyperlink w:anchor="_Toc32858116" w:history="1">
            <w:r w:rsidRPr="005910F0">
              <w:rPr>
                <w:rStyle w:val="Hiperligao"/>
              </w:rPr>
              <w:t>Estruturação do PNIG</w:t>
            </w:r>
            <w:r w:rsidRPr="005910F0">
              <w:rPr>
                <w:webHidden/>
              </w:rPr>
              <w:tab/>
            </w:r>
            <w:r w:rsidRPr="005910F0">
              <w:rPr>
                <w:webHidden/>
              </w:rPr>
              <w:fldChar w:fldCharType="begin"/>
            </w:r>
            <w:r w:rsidRPr="005910F0">
              <w:rPr>
                <w:webHidden/>
              </w:rPr>
              <w:instrText xml:space="preserve"> PAGEREF _Toc32858116 \h </w:instrText>
            </w:r>
            <w:r w:rsidRPr="005910F0">
              <w:rPr>
                <w:webHidden/>
              </w:rPr>
            </w:r>
            <w:r w:rsidRPr="005910F0">
              <w:rPr>
                <w:webHidden/>
              </w:rPr>
              <w:fldChar w:fldCharType="separate"/>
            </w:r>
            <w:r w:rsidRPr="005910F0">
              <w:rPr>
                <w:webHidden/>
              </w:rPr>
              <w:t>6</w:t>
            </w:r>
            <w:r w:rsidRPr="005910F0">
              <w:rPr>
                <w:webHidden/>
              </w:rPr>
              <w:fldChar w:fldCharType="end"/>
            </w:r>
          </w:hyperlink>
        </w:p>
        <w:p w14:paraId="44BA8353" w14:textId="59C43DC8" w:rsidR="005910F0" w:rsidRPr="005910F0" w:rsidRDefault="005910F0">
          <w:pPr>
            <w:pStyle w:val="ndice2"/>
            <w:rPr>
              <w:rFonts w:eastAsiaTheme="minorEastAsia" w:cstheme="minorBidi"/>
              <w:iCs w:val="0"/>
              <w:sz w:val="22"/>
              <w:szCs w:val="22"/>
              <w:lang w:eastAsia="pt-PT"/>
            </w:rPr>
          </w:pPr>
          <w:hyperlink w:anchor="_Toc32858117" w:history="1">
            <w:r w:rsidRPr="005910F0">
              <w:rPr>
                <w:rStyle w:val="Hiperligao"/>
              </w:rPr>
              <w:t>Metodologia de elaboração do PNIG</w:t>
            </w:r>
            <w:r w:rsidRPr="005910F0">
              <w:rPr>
                <w:webHidden/>
              </w:rPr>
              <w:tab/>
            </w:r>
            <w:r w:rsidRPr="005910F0">
              <w:rPr>
                <w:webHidden/>
              </w:rPr>
              <w:fldChar w:fldCharType="begin"/>
            </w:r>
            <w:r w:rsidRPr="005910F0">
              <w:rPr>
                <w:webHidden/>
              </w:rPr>
              <w:instrText xml:space="preserve"> PAGEREF _Toc32858117 \h </w:instrText>
            </w:r>
            <w:r w:rsidRPr="005910F0">
              <w:rPr>
                <w:webHidden/>
              </w:rPr>
            </w:r>
            <w:r w:rsidRPr="005910F0">
              <w:rPr>
                <w:webHidden/>
              </w:rPr>
              <w:fldChar w:fldCharType="separate"/>
            </w:r>
            <w:r w:rsidRPr="005910F0">
              <w:rPr>
                <w:webHidden/>
              </w:rPr>
              <w:t>7</w:t>
            </w:r>
            <w:r w:rsidRPr="005910F0">
              <w:rPr>
                <w:webHidden/>
              </w:rPr>
              <w:fldChar w:fldCharType="end"/>
            </w:r>
          </w:hyperlink>
        </w:p>
        <w:p w14:paraId="424CF24D" w14:textId="13038687"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18" w:history="1">
            <w:r w:rsidRPr="005910F0">
              <w:rPr>
                <w:rStyle w:val="Hiperligao"/>
                <w:rFonts w:ascii="Garamond" w:hAnsi="Garamond"/>
                <w:noProof/>
                <w:lang w:val="pt-PT"/>
              </w:rPr>
              <w:t>PARTE II – CONTEXTO DE IMPLEMENTAÇÃO DO PNIG</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_Toc32858118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8</w:t>
            </w:r>
            <w:r w:rsidRPr="005910F0">
              <w:rPr>
                <w:rFonts w:ascii="Garamond" w:hAnsi="Garamond"/>
                <w:noProof/>
                <w:webHidden/>
              </w:rPr>
              <w:fldChar w:fldCharType="end"/>
            </w:r>
          </w:hyperlink>
        </w:p>
        <w:p w14:paraId="1CF84413" w14:textId="792DD31C" w:rsidR="005910F0" w:rsidRPr="005910F0" w:rsidRDefault="005910F0">
          <w:pPr>
            <w:pStyle w:val="ndice2"/>
            <w:rPr>
              <w:rFonts w:eastAsiaTheme="minorEastAsia" w:cstheme="minorBidi"/>
              <w:iCs w:val="0"/>
              <w:sz w:val="22"/>
              <w:szCs w:val="22"/>
              <w:lang w:eastAsia="pt-PT"/>
            </w:rPr>
          </w:pPr>
          <w:hyperlink w:anchor="_Toc32858119" w:history="1">
            <w:r w:rsidRPr="005910F0">
              <w:rPr>
                <w:rStyle w:val="Hiperligao"/>
              </w:rPr>
              <w:t>Quadro político, institucional e normativo para a implementação do PNIG</w:t>
            </w:r>
            <w:r w:rsidRPr="005910F0">
              <w:rPr>
                <w:webHidden/>
              </w:rPr>
              <w:tab/>
            </w:r>
            <w:r w:rsidRPr="005910F0">
              <w:rPr>
                <w:webHidden/>
              </w:rPr>
              <w:fldChar w:fldCharType="begin"/>
            </w:r>
            <w:r w:rsidRPr="005910F0">
              <w:rPr>
                <w:webHidden/>
              </w:rPr>
              <w:instrText xml:space="preserve"> PAGEREF _Toc32858119 \h </w:instrText>
            </w:r>
            <w:r w:rsidRPr="005910F0">
              <w:rPr>
                <w:webHidden/>
              </w:rPr>
            </w:r>
            <w:r w:rsidRPr="005910F0">
              <w:rPr>
                <w:webHidden/>
              </w:rPr>
              <w:fldChar w:fldCharType="separate"/>
            </w:r>
            <w:r w:rsidRPr="005910F0">
              <w:rPr>
                <w:webHidden/>
              </w:rPr>
              <w:t>8</w:t>
            </w:r>
            <w:r w:rsidRPr="005910F0">
              <w:rPr>
                <w:webHidden/>
              </w:rPr>
              <w:fldChar w:fldCharType="end"/>
            </w:r>
          </w:hyperlink>
        </w:p>
        <w:p w14:paraId="7B58470B" w14:textId="721B1C6C" w:rsidR="005910F0" w:rsidRPr="005910F0" w:rsidRDefault="005910F0">
          <w:pPr>
            <w:pStyle w:val="ndice2"/>
            <w:rPr>
              <w:rFonts w:eastAsiaTheme="minorEastAsia" w:cstheme="minorBidi"/>
              <w:iCs w:val="0"/>
              <w:sz w:val="22"/>
              <w:szCs w:val="22"/>
              <w:lang w:eastAsia="pt-PT"/>
            </w:rPr>
          </w:pPr>
          <w:hyperlink w:anchor="_Toc32858120" w:history="1">
            <w:r w:rsidRPr="005910F0">
              <w:rPr>
                <w:rStyle w:val="Hiperligao"/>
              </w:rPr>
              <w:t>Quadro normativo internacional de direitos humanos</w:t>
            </w:r>
            <w:r w:rsidRPr="005910F0">
              <w:rPr>
                <w:webHidden/>
              </w:rPr>
              <w:tab/>
            </w:r>
            <w:r w:rsidRPr="005910F0">
              <w:rPr>
                <w:webHidden/>
              </w:rPr>
              <w:fldChar w:fldCharType="begin"/>
            </w:r>
            <w:r w:rsidRPr="005910F0">
              <w:rPr>
                <w:webHidden/>
              </w:rPr>
              <w:instrText xml:space="preserve"> PAGEREF _Toc32858120 \h </w:instrText>
            </w:r>
            <w:r w:rsidRPr="005910F0">
              <w:rPr>
                <w:webHidden/>
              </w:rPr>
            </w:r>
            <w:r w:rsidRPr="005910F0">
              <w:rPr>
                <w:webHidden/>
              </w:rPr>
              <w:fldChar w:fldCharType="separate"/>
            </w:r>
            <w:r w:rsidRPr="005910F0">
              <w:rPr>
                <w:webHidden/>
              </w:rPr>
              <w:t>11</w:t>
            </w:r>
            <w:r w:rsidRPr="005910F0">
              <w:rPr>
                <w:webHidden/>
              </w:rPr>
              <w:fldChar w:fldCharType="end"/>
            </w:r>
          </w:hyperlink>
        </w:p>
        <w:p w14:paraId="04AA6F67" w14:textId="4F0E2ABC" w:rsidR="005910F0" w:rsidRPr="005910F0" w:rsidRDefault="005910F0">
          <w:pPr>
            <w:pStyle w:val="ndice2"/>
            <w:rPr>
              <w:rFonts w:eastAsiaTheme="minorEastAsia" w:cstheme="minorBidi"/>
              <w:iCs w:val="0"/>
              <w:sz w:val="22"/>
              <w:szCs w:val="22"/>
              <w:lang w:eastAsia="pt-PT"/>
            </w:rPr>
          </w:pPr>
          <w:hyperlink w:anchor="_Toc32858121" w:history="1">
            <w:r w:rsidRPr="005910F0">
              <w:rPr>
                <w:rStyle w:val="Hiperligao"/>
              </w:rPr>
              <w:t>Contexto nacional de Cabo Verde e igualdade de género</w:t>
            </w:r>
            <w:r w:rsidRPr="005910F0">
              <w:rPr>
                <w:webHidden/>
              </w:rPr>
              <w:tab/>
            </w:r>
            <w:r w:rsidRPr="005910F0">
              <w:rPr>
                <w:webHidden/>
              </w:rPr>
              <w:fldChar w:fldCharType="begin"/>
            </w:r>
            <w:r w:rsidRPr="005910F0">
              <w:rPr>
                <w:webHidden/>
              </w:rPr>
              <w:instrText xml:space="preserve"> PAGEREF _Toc32858121 \h </w:instrText>
            </w:r>
            <w:r w:rsidRPr="005910F0">
              <w:rPr>
                <w:webHidden/>
              </w:rPr>
            </w:r>
            <w:r w:rsidRPr="005910F0">
              <w:rPr>
                <w:webHidden/>
              </w:rPr>
              <w:fldChar w:fldCharType="separate"/>
            </w:r>
            <w:r w:rsidRPr="005910F0">
              <w:rPr>
                <w:webHidden/>
              </w:rPr>
              <w:t>12</w:t>
            </w:r>
            <w:r w:rsidRPr="005910F0">
              <w:rPr>
                <w:webHidden/>
              </w:rPr>
              <w:fldChar w:fldCharType="end"/>
            </w:r>
          </w:hyperlink>
        </w:p>
        <w:p w14:paraId="19808661" w14:textId="7CAAF03F" w:rsidR="005910F0" w:rsidRPr="005910F0" w:rsidRDefault="005910F0">
          <w:pPr>
            <w:pStyle w:val="ndice2"/>
            <w:rPr>
              <w:rFonts w:eastAsiaTheme="minorEastAsia" w:cstheme="minorBidi"/>
              <w:iCs w:val="0"/>
              <w:sz w:val="22"/>
              <w:szCs w:val="22"/>
              <w:lang w:eastAsia="pt-PT"/>
            </w:rPr>
          </w:pPr>
          <w:hyperlink w:anchor="_Toc32858122" w:history="1">
            <w:r w:rsidRPr="005910F0">
              <w:rPr>
                <w:rStyle w:val="Hiperligao"/>
              </w:rPr>
              <w:t>Principais avanços e desafios de igualdade de género</w:t>
            </w:r>
            <w:r w:rsidRPr="005910F0">
              <w:rPr>
                <w:webHidden/>
              </w:rPr>
              <w:tab/>
            </w:r>
            <w:r w:rsidRPr="005910F0">
              <w:rPr>
                <w:webHidden/>
              </w:rPr>
              <w:fldChar w:fldCharType="begin"/>
            </w:r>
            <w:r w:rsidRPr="005910F0">
              <w:rPr>
                <w:webHidden/>
              </w:rPr>
              <w:instrText xml:space="preserve"> PAGEREF _Toc32858122 \h </w:instrText>
            </w:r>
            <w:r w:rsidRPr="005910F0">
              <w:rPr>
                <w:webHidden/>
              </w:rPr>
            </w:r>
            <w:r w:rsidRPr="005910F0">
              <w:rPr>
                <w:webHidden/>
              </w:rPr>
              <w:fldChar w:fldCharType="separate"/>
            </w:r>
            <w:r w:rsidRPr="005910F0">
              <w:rPr>
                <w:webHidden/>
              </w:rPr>
              <w:t>14</w:t>
            </w:r>
            <w:r w:rsidRPr="005910F0">
              <w:rPr>
                <w:webHidden/>
              </w:rPr>
              <w:fldChar w:fldCharType="end"/>
            </w:r>
          </w:hyperlink>
        </w:p>
        <w:p w14:paraId="72B00769" w14:textId="165F3ACE" w:rsidR="005910F0" w:rsidRPr="005910F0" w:rsidRDefault="005910F0">
          <w:pPr>
            <w:pStyle w:val="ndice2"/>
            <w:rPr>
              <w:rFonts w:eastAsiaTheme="minorEastAsia" w:cstheme="minorBidi"/>
              <w:iCs w:val="0"/>
              <w:sz w:val="22"/>
              <w:szCs w:val="22"/>
              <w:lang w:eastAsia="pt-PT"/>
            </w:rPr>
          </w:pPr>
          <w:hyperlink w:anchor="_Toc32858123" w:history="1">
            <w:r w:rsidRPr="005910F0">
              <w:rPr>
                <w:rStyle w:val="Hiperligao"/>
              </w:rPr>
              <w:t>Lições Aprendidas e desafios na implementação do PNIG 2015-2018</w:t>
            </w:r>
            <w:r w:rsidRPr="005910F0">
              <w:rPr>
                <w:webHidden/>
              </w:rPr>
              <w:tab/>
            </w:r>
            <w:r w:rsidRPr="005910F0">
              <w:rPr>
                <w:webHidden/>
              </w:rPr>
              <w:fldChar w:fldCharType="begin"/>
            </w:r>
            <w:r w:rsidRPr="005910F0">
              <w:rPr>
                <w:webHidden/>
              </w:rPr>
              <w:instrText xml:space="preserve"> PAGEREF _Toc32858123 \h </w:instrText>
            </w:r>
            <w:r w:rsidRPr="005910F0">
              <w:rPr>
                <w:webHidden/>
              </w:rPr>
            </w:r>
            <w:r w:rsidRPr="005910F0">
              <w:rPr>
                <w:webHidden/>
              </w:rPr>
              <w:fldChar w:fldCharType="separate"/>
            </w:r>
            <w:r w:rsidRPr="005910F0">
              <w:rPr>
                <w:webHidden/>
              </w:rPr>
              <w:t>18</w:t>
            </w:r>
            <w:r w:rsidRPr="005910F0">
              <w:rPr>
                <w:webHidden/>
              </w:rPr>
              <w:fldChar w:fldCharType="end"/>
            </w:r>
          </w:hyperlink>
        </w:p>
        <w:p w14:paraId="66192E9E" w14:textId="5484053A"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24" w:history="1">
            <w:r w:rsidRPr="005910F0">
              <w:rPr>
                <w:rStyle w:val="Hiperligao"/>
                <w:rFonts w:ascii="Garamond" w:hAnsi="Garamond"/>
                <w:noProof/>
                <w:lang w:val="pt-PT"/>
              </w:rPr>
              <w:t>PARTE III – QUADRO DE INTERVENÇÃO – PNIG 2020-2023</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_Toc32858124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20</w:t>
            </w:r>
            <w:r w:rsidRPr="005910F0">
              <w:rPr>
                <w:rFonts w:ascii="Garamond" w:hAnsi="Garamond"/>
                <w:noProof/>
                <w:webHidden/>
              </w:rPr>
              <w:fldChar w:fldCharType="end"/>
            </w:r>
          </w:hyperlink>
        </w:p>
        <w:p w14:paraId="6F1E5DC1" w14:textId="3AD8C2A8" w:rsidR="005910F0" w:rsidRPr="005910F0" w:rsidRDefault="005910F0">
          <w:pPr>
            <w:pStyle w:val="ndice2"/>
            <w:rPr>
              <w:rFonts w:eastAsiaTheme="minorEastAsia" w:cstheme="minorBidi"/>
              <w:iCs w:val="0"/>
              <w:sz w:val="22"/>
              <w:szCs w:val="22"/>
              <w:lang w:eastAsia="pt-PT"/>
            </w:rPr>
          </w:pPr>
          <w:hyperlink w:anchor="_Toc32858125" w:history="1">
            <w:r w:rsidRPr="005910F0">
              <w:rPr>
                <w:rStyle w:val="Hiperligao"/>
              </w:rPr>
              <w:t>Princípios e diretrizes orientadores</w:t>
            </w:r>
            <w:r w:rsidRPr="005910F0">
              <w:rPr>
                <w:webHidden/>
              </w:rPr>
              <w:tab/>
            </w:r>
            <w:r w:rsidRPr="005910F0">
              <w:rPr>
                <w:webHidden/>
              </w:rPr>
              <w:fldChar w:fldCharType="begin"/>
            </w:r>
            <w:r w:rsidRPr="005910F0">
              <w:rPr>
                <w:webHidden/>
              </w:rPr>
              <w:instrText xml:space="preserve"> PAGEREF _Toc32858125 \h </w:instrText>
            </w:r>
            <w:r w:rsidRPr="005910F0">
              <w:rPr>
                <w:webHidden/>
              </w:rPr>
            </w:r>
            <w:r w:rsidRPr="005910F0">
              <w:rPr>
                <w:webHidden/>
              </w:rPr>
              <w:fldChar w:fldCharType="separate"/>
            </w:r>
            <w:r w:rsidRPr="005910F0">
              <w:rPr>
                <w:webHidden/>
              </w:rPr>
              <w:t>20</w:t>
            </w:r>
            <w:r w:rsidRPr="005910F0">
              <w:rPr>
                <w:webHidden/>
              </w:rPr>
              <w:fldChar w:fldCharType="end"/>
            </w:r>
          </w:hyperlink>
        </w:p>
        <w:p w14:paraId="7AFFA6B4" w14:textId="6A2A9B3B" w:rsidR="005910F0" w:rsidRPr="005910F0" w:rsidRDefault="005910F0">
          <w:pPr>
            <w:pStyle w:val="ndice2"/>
            <w:rPr>
              <w:rFonts w:eastAsiaTheme="minorEastAsia" w:cstheme="minorBidi"/>
              <w:iCs w:val="0"/>
              <w:sz w:val="22"/>
              <w:szCs w:val="22"/>
              <w:lang w:eastAsia="pt-PT"/>
            </w:rPr>
          </w:pPr>
          <w:hyperlink w:anchor="_Toc32858126" w:history="1">
            <w:r w:rsidRPr="005910F0">
              <w:rPr>
                <w:rStyle w:val="Hiperligao"/>
              </w:rPr>
              <w:t>Visão e Missão do PNIG</w:t>
            </w:r>
            <w:r w:rsidRPr="005910F0">
              <w:rPr>
                <w:webHidden/>
              </w:rPr>
              <w:tab/>
            </w:r>
            <w:r w:rsidRPr="005910F0">
              <w:rPr>
                <w:webHidden/>
              </w:rPr>
              <w:fldChar w:fldCharType="begin"/>
            </w:r>
            <w:r w:rsidRPr="005910F0">
              <w:rPr>
                <w:webHidden/>
              </w:rPr>
              <w:instrText xml:space="preserve"> PAGEREF _Toc32858126 \h </w:instrText>
            </w:r>
            <w:r w:rsidRPr="005910F0">
              <w:rPr>
                <w:webHidden/>
              </w:rPr>
            </w:r>
            <w:r w:rsidRPr="005910F0">
              <w:rPr>
                <w:webHidden/>
              </w:rPr>
              <w:fldChar w:fldCharType="separate"/>
            </w:r>
            <w:r w:rsidRPr="005910F0">
              <w:rPr>
                <w:webHidden/>
              </w:rPr>
              <w:t>23</w:t>
            </w:r>
            <w:r w:rsidRPr="005910F0">
              <w:rPr>
                <w:webHidden/>
              </w:rPr>
              <w:fldChar w:fldCharType="end"/>
            </w:r>
          </w:hyperlink>
        </w:p>
        <w:p w14:paraId="3CAB2F51" w14:textId="2E5C455B" w:rsidR="005910F0" w:rsidRPr="005910F0" w:rsidRDefault="005910F0">
          <w:pPr>
            <w:pStyle w:val="ndice2"/>
            <w:rPr>
              <w:rFonts w:eastAsiaTheme="minorEastAsia" w:cstheme="minorBidi"/>
              <w:iCs w:val="0"/>
              <w:sz w:val="22"/>
              <w:szCs w:val="22"/>
              <w:lang w:eastAsia="pt-PT"/>
            </w:rPr>
          </w:pPr>
          <w:hyperlink w:anchor="_Toc32858127" w:history="1">
            <w:r w:rsidRPr="005910F0">
              <w:rPr>
                <w:rStyle w:val="Hiperligao"/>
              </w:rPr>
              <w:t>Eixos Prioritários</w:t>
            </w:r>
            <w:r w:rsidRPr="005910F0">
              <w:rPr>
                <w:webHidden/>
              </w:rPr>
              <w:tab/>
            </w:r>
            <w:r w:rsidRPr="005910F0">
              <w:rPr>
                <w:webHidden/>
              </w:rPr>
              <w:fldChar w:fldCharType="begin"/>
            </w:r>
            <w:r w:rsidRPr="005910F0">
              <w:rPr>
                <w:webHidden/>
              </w:rPr>
              <w:instrText xml:space="preserve"> PAGEREF _Toc32858127 \h </w:instrText>
            </w:r>
            <w:r w:rsidRPr="005910F0">
              <w:rPr>
                <w:webHidden/>
              </w:rPr>
            </w:r>
            <w:r w:rsidRPr="005910F0">
              <w:rPr>
                <w:webHidden/>
              </w:rPr>
              <w:fldChar w:fldCharType="separate"/>
            </w:r>
            <w:r w:rsidRPr="005910F0">
              <w:rPr>
                <w:webHidden/>
              </w:rPr>
              <w:t>23</w:t>
            </w:r>
            <w:r w:rsidRPr="005910F0">
              <w:rPr>
                <w:webHidden/>
              </w:rPr>
              <w:fldChar w:fldCharType="end"/>
            </w:r>
          </w:hyperlink>
        </w:p>
        <w:p w14:paraId="0E430DDF" w14:textId="69A52F1B"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28" w:history="1">
            <w:r w:rsidRPr="005910F0">
              <w:rPr>
                <w:rStyle w:val="Hiperligao"/>
                <w:rFonts w:ascii="Garamond" w:hAnsi="Garamond" w:cs="Times New Roman"/>
                <w:noProof/>
                <w:lang w:val="pt-PT"/>
              </w:rPr>
              <w:t>Eixo estratégico 1 - Empoderamento económico e igualdade no trabalho</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_Toc32858128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24</w:t>
            </w:r>
            <w:r w:rsidRPr="005910F0">
              <w:rPr>
                <w:rFonts w:ascii="Garamond" w:hAnsi="Garamond"/>
                <w:noProof/>
                <w:webHidden/>
              </w:rPr>
              <w:fldChar w:fldCharType="end"/>
            </w:r>
          </w:hyperlink>
        </w:p>
        <w:p w14:paraId="3D77D684" w14:textId="0FB1D587"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29" w:history="1">
            <w:r w:rsidRPr="005910F0">
              <w:rPr>
                <w:rStyle w:val="Hiperligao"/>
                <w:rFonts w:ascii="Garamond" w:hAnsi="Garamond" w:cs="Times New Roman"/>
                <w:noProof/>
                <w:lang w:val="pt-PT"/>
              </w:rPr>
              <w:t>Eixo estratégico 2 - Violência Baseada no Género</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_Toc32858129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41</w:t>
            </w:r>
            <w:r w:rsidRPr="005910F0">
              <w:rPr>
                <w:rFonts w:ascii="Garamond" w:hAnsi="Garamond"/>
                <w:noProof/>
                <w:webHidden/>
              </w:rPr>
              <w:fldChar w:fldCharType="end"/>
            </w:r>
          </w:hyperlink>
        </w:p>
        <w:p w14:paraId="396D49C4" w14:textId="0F1274FC"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0" w:history="1">
            <w:r w:rsidRPr="005910F0">
              <w:rPr>
                <w:rStyle w:val="Hiperligao"/>
                <w:rFonts w:ascii="Garamond" w:hAnsi="Garamond" w:cs="Times New Roman"/>
                <w:noProof/>
                <w:lang w:val="pt-PT"/>
              </w:rPr>
              <w:t>Eixo estratégico 3 - Educação e formação profissional</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_Toc32858130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66</w:t>
            </w:r>
            <w:r w:rsidRPr="005910F0">
              <w:rPr>
                <w:rFonts w:ascii="Garamond" w:hAnsi="Garamond"/>
                <w:noProof/>
                <w:webHidden/>
              </w:rPr>
              <w:fldChar w:fldCharType="end"/>
            </w:r>
          </w:hyperlink>
        </w:p>
        <w:p w14:paraId="30B3A671" w14:textId="31DCA74F"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1" w:history="1">
            <w:r w:rsidRPr="005910F0">
              <w:rPr>
                <w:rStyle w:val="Hiperligao"/>
                <w:rFonts w:ascii="Garamond" w:hAnsi="Garamond" w:cs="Times New Roman"/>
                <w:noProof/>
                <w:lang w:val="pt-PT"/>
              </w:rPr>
              <w:t>Eixo estratégico 4 – Saúde e direitos sexuais e reprodutivos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_Toc32858131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75</w:t>
            </w:r>
            <w:r w:rsidRPr="005910F0">
              <w:rPr>
                <w:rFonts w:ascii="Garamond" w:hAnsi="Garamond"/>
                <w:noProof/>
                <w:webHidden/>
              </w:rPr>
              <w:fldChar w:fldCharType="end"/>
            </w:r>
          </w:hyperlink>
        </w:p>
        <w:p w14:paraId="77050667" w14:textId="65C16242"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2" w:history="1">
            <w:r w:rsidRPr="005910F0">
              <w:rPr>
                <w:rStyle w:val="Hiperligao"/>
                <w:rFonts w:ascii="Garamond" w:hAnsi="Garamond" w:cs="Times New Roman"/>
                <w:noProof/>
                <w:lang w:val="pt-PT"/>
              </w:rPr>
              <w:t>Eixo estratégico 5 – Participação política e exercício do poder</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_Toc32858132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81</w:t>
            </w:r>
            <w:r w:rsidRPr="005910F0">
              <w:rPr>
                <w:rFonts w:ascii="Garamond" w:hAnsi="Garamond"/>
                <w:noProof/>
                <w:webHidden/>
              </w:rPr>
              <w:fldChar w:fldCharType="end"/>
            </w:r>
          </w:hyperlink>
        </w:p>
        <w:p w14:paraId="16D396F4" w14:textId="321204DD"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3" w:history="1">
            <w:r w:rsidRPr="005910F0">
              <w:rPr>
                <w:rStyle w:val="Hiperligao"/>
                <w:rFonts w:ascii="Garamond" w:hAnsi="Garamond" w:cs="Times New Roman"/>
                <w:noProof/>
                <w:lang w:val="pt-PT"/>
              </w:rPr>
              <w:t>Eixo estratégico 6 – Transversalização da Abordagem de Género</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_Toc32858133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88</w:t>
            </w:r>
            <w:r w:rsidRPr="005910F0">
              <w:rPr>
                <w:rFonts w:ascii="Garamond" w:hAnsi="Garamond"/>
                <w:noProof/>
                <w:webHidden/>
              </w:rPr>
              <w:fldChar w:fldCharType="end"/>
            </w:r>
          </w:hyperlink>
        </w:p>
        <w:p w14:paraId="4E52DA18" w14:textId="10A8EE61" w:rsidR="005910F0" w:rsidRPr="005910F0" w:rsidRDefault="005910F0">
          <w:pPr>
            <w:pStyle w:val="ndice2"/>
            <w:rPr>
              <w:rFonts w:eastAsiaTheme="minorEastAsia" w:cstheme="minorBidi"/>
              <w:iCs w:val="0"/>
              <w:sz w:val="22"/>
              <w:szCs w:val="22"/>
              <w:lang w:eastAsia="pt-PT"/>
            </w:rPr>
          </w:pPr>
          <w:hyperlink w:anchor="_Toc32858134" w:history="1">
            <w:r w:rsidRPr="005910F0">
              <w:rPr>
                <w:rStyle w:val="Hiperligao"/>
              </w:rPr>
              <w:t>Quadro institucional de implementação, coordenação e parceria</w:t>
            </w:r>
            <w:r w:rsidRPr="005910F0">
              <w:rPr>
                <w:webHidden/>
              </w:rPr>
              <w:tab/>
            </w:r>
            <w:r w:rsidRPr="005910F0">
              <w:rPr>
                <w:webHidden/>
              </w:rPr>
              <w:fldChar w:fldCharType="begin"/>
            </w:r>
            <w:r w:rsidRPr="005910F0">
              <w:rPr>
                <w:webHidden/>
              </w:rPr>
              <w:instrText xml:space="preserve"> PAGEREF _Toc32858134 \h </w:instrText>
            </w:r>
            <w:r w:rsidRPr="005910F0">
              <w:rPr>
                <w:webHidden/>
              </w:rPr>
            </w:r>
            <w:r w:rsidRPr="005910F0">
              <w:rPr>
                <w:webHidden/>
              </w:rPr>
              <w:fldChar w:fldCharType="separate"/>
            </w:r>
            <w:r w:rsidRPr="005910F0">
              <w:rPr>
                <w:webHidden/>
              </w:rPr>
              <w:t>94</w:t>
            </w:r>
            <w:r w:rsidRPr="005910F0">
              <w:rPr>
                <w:webHidden/>
              </w:rPr>
              <w:fldChar w:fldCharType="end"/>
            </w:r>
          </w:hyperlink>
        </w:p>
        <w:p w14:paraId="5B85A12F" w14:textId="078D2570"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5" w:history="1">
            <w:r w:rsidRPr="005910F0">
              <w:rPr>
                <w:rStyle w:val="Hiperligao"/>
                <w:rFonts w:ascii="Garamond" w:hAnsi="Garamond" w:cs="Times New Roman"/>
                <w:noProof/>
                <w:lang w:val="pt-PT"/>
              </w:rPr>
              <w:t>Responsabilidades institucionais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_Toc32858135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94</w:t>
            </w:r>
            <w:r w:rsidRPr="005910F0">
              <w:rPr>
                <w:rFonts w:ascii="Garamond" w:hAnsi="Garamond"/>
                <w:noProof/>
                <w:webHidden/>
              </w:rPr>
              <w:fldChar w:fldCharType="end"/>
            </w:r>
          </w:hyperlink>
        </w:p>
        <w:p w14:paraId="30857971" w14:textId="70245ED2"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6" w:history="1">
            <w:r w:rsidRPr="005910F0">
              <w:rPr>
                <w:rStyle w:val="Hiperligao"/>
                <w:rFonts w:ascii="Garamond" w:hAnsi="Garamond" w:cs="Times New Roman"/>
                <w:noProof/>
                <w:lang w:val="pt-PT"/>
              </w:rPr>
              <w:t>Matriz de implementação do PNIG</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_Toc32858136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94</w:t>
            </w:r>
            <w:r w:rsidRPr="005910F0">
              <w:rPr>
                <w:rFonts w:ascii="Garamond" w:hAnsi="Garamond"/>
                <w:noProof/>
                <w:webHidden/>
              </w:rPr>
              <w:fldChar w:fldCharType="end"/>
            </w:r>
          </w:hyperlink>
        </w:p>
        <w:p w14:paraId="0B90B713" w14:textId="066390A3" w:rsidR="005910F0" w:rsidRPr="005910F0" w:rsidRDefault="005910F0">
          <w:pPr>
            <w:pStyle w:val="ndice2"/>
            <w:rPr>
              <w:rFonts w:eastAsiaTheme="minorEastAsia" w:cstheme="minorBidi"/>
              <w:iCs w:val="0"/>
              <w:sz w:val="22"/>
              <w:szCs w:val="22"/>
              <w:lang w:eastAsia="pt-PT"/>
            </w:rPr>
          </w:pPr>
          <w:hyperlink w:anchor="_Toc32858137" w:history="1">
            <w:r w:rsidRPr="005910F0">
              <w:rPr>
                <w:rStyle w:val="Hiperligao"/>
              </w:rPr>
              <w:t>Seguimento, avaliação e reportagem</w:t>
            </w:r>
            <w:r w:rsidRPr="005910F0">
              <w:rPr>
                <w:webHidden/>
              </w:rPr>
              <w:tab/>
            </w:r>
            <w:r w:rsidRPr="005910F0">
              <w:rPr>
                <w:webHidden/>
              </w:rPr>
              <w:fldChar w:fldCharType="begin"/>
            </w:r>
            <w:r w:rsidRPr="005910F0">
              <w:rPr>
                <w:webHidden/>
              </w:rPr>
              <w:instrText xml:space="preserve"> PAGEREF _Toc32858137 \h </w:instrText>
            </w:r>
            <w:r w:rsidRPr="005910F0">
              <w:rPr>
                <w:webHidden/>
              </w:rPr>
            </w:r>
            <w:r w:rsidRPr="005910F0">
              <w:rPr>
                <w:webHidden/>
              </w:rPr>
              <w:fldChar w:fldCharType="separate"/>
            </w:r>
            <w:r w:rsidRPr="005910F0">
              <w:rPr>
                <w:webHidden/>
              </w:rPr>
              <w:t>121</w:t>
            </w:r>
            <w:r w:rsidRPr="005910F0">
              <w:rPr>
                <w:webHidden/>
              </w:rPr>
              <w:fldChar w:fldCharType="end"/>
            </w:r>
          </w:hyperlink>
        </w:p>
        <w:p w14:paraId="49CC1145" w14:textId="352B4969"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8" w:history="1">
            <w:r w:rsidRPr="005910F0">
              <w:rPr>
                <w:rStyle w:val="Hiperligao"/>
                <w:rFonts w:ascii="Garamond" w:hAnsi="Garamond" w:cs="Times New Roman"/>
                <w:noProof/>
                <w:lang w:val="pt-PT"/>
              </w:rPr>
              <w:t>Matriz de seguimento e avaliação dos impactos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_Toc32858138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122</w:t>
            </w:r>
            <w:r w:rsidRPr="005910F0">
              <w:rPr>
                <w:rFonts w:ascii="Garamond" w:hAnsi="Garamond"/>
                <w:noProof/>
                <w:webHidden/>
              </w:rPr>
              <w:fldChar w:fldCharType="end"/>
            </w:r>
          </w:hyperlink>
        </w:p>
        <w:p w14:paraId="34BF54D7" w14:textId="138978A3" w:rsidR="005910F0" w:rsidRPr="005910F0" w:rsidRDefault="005910F0">
          <w:pPr>
            <w:pStyle w:val="ndice3"/>
            <w:tabs>
              <w:tab w:val="right" w:leader="dot" w:pos="9010"/>
            </w:tabs>
            <w:rPr>
              <w:rFonts w:ascii="Garamond" w:eastAsiaTheme="minorEastAsia" w:hAnsi="Garamond"/>
              <w:noProof/>
              <w:sz w:val="22"/>
              <w:szCs w:val="22"/>
              <w:lang w:val="pt-PT" w:eastAsia="pt-PT"/>
            </w:rPr>
          </w:pPr>
          <w:hyperlink w:anchor="_Toc32858139" w:history="1">
            <w:r w:rsidRPr="005910F0">
              <w:rPr>
                <w:rStyle w:val="Hiperligao"/>
                <w:rFonts w:ascii="Garamond" w:hAnsi="Garamond" w:cs="Times New Roman"/>
                <w:noProof/>
                <w:lang w:val="pt-PT"/>
              </w:rPr>
              <w:t>Matriz de seguimento e avaliação dos resultados de nível dos efeitos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_Toc32858139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123</w:t>
            </w:r>
            <w:r w:rsidRPr="005910F0">
              <w:rPr>
                <w:rFonts w:ascii="Garamond" w:hAnsi="Garamond"/>
                <w:noProof/>
                <w:webHidden/>
              </w:rPr>
              <w:fldChar w:fldCharType="end"/>
            </w:r>
          </w:hyperlink>
        </w:p>
        <w:p w14:paraId="2B268E9A" w14:textId="628A09D4" w:rsidR="005910F0" w:rsidRPr="005910F0" w:rsidRDefault="005910F0">
          <w:pPr>
            <w:pStyle w:val="ndice2"/>
            <w:rPr>
              <w:rFonts w:eastAsiaTheme="minorEastAsia" w:cstheme="minorBidi"/>
              <w:iCs w:val="0"/>
              <w:sz w:val="22"/>
              <w:szCs w:val="22"/>
              <w:lang w:eastAsia="pt-PT"/>
            </w:rPr>
          </w:pPr>
          <w:hyperlink w:anchor="_Toc32858140" w:history="1">
            <w:r w:rsidRPr="005910F0">
              <w:rPr>
                <w:rStyle w:val="Hiperligao"/>
              </w:rPr>
              <w:t>Estimativa orçamental e mobilização de recursos</w:t>
            </w:r>
            <w:r w:rsidRPr="005910F0">
              <w:rPr>
                <w:webHidden/>
              </w:rPr>
              <w:tab/>
            </w:r>
            <w:r w:rsidRPr="005910F0">
              <w:rPr>
                <w:webHidden/>
              </w:rPr>
              <w:fldChar w:fldCharType="begin"/>
            </w:r>
            <w:r w:rsidRPr="005910F0">
              <w:rPr>
                <w:webHidden/>
              </w:rPr>
              <w:instrText xml:space="preserve"> PAGEREF _Toc32858140 \h </w:instrText>
            </w:r>
            <w:r w:rsidRPr="005910F0">
              <w:rPr>
                <w:webHidden/>
              </w:rPr>
            </w:r>
            <w:r w:rsidRPr="005910F0">
              <w:rPr>
                <w:webHidden/>
              </w:rPr>
              <w:fldChar w:fldCharType="separate"/>
            </w:r>
            <w:r w:rsidRPr="005910F0">
              <w:rPr>
                <w:webHidden/>
              </w:rPr>
              <w:t>130</w:t>
            </w:r>
            <w:r w:rsidRPr="005910F0">
              <w:rPr>
                <w:webHidden/>
              </w:rPr>
              <w:fldChar w:fldCharType="end"/>
            </w:r>
          </w:hyperlink>
        </w:p>
        <w:p w14:paraId="01398344" w14:textId="4614C7BB"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41" w:history="1">
            <w:r w:rsidRPr="005910F0">
              <w:rPr>
                <w:rStyle w:val="Hiperligao"/>
                <w:rFonts w:ascii="Garamond" w:hAnsi="Garamond"/>
                <w:noProof/>
                <w:lang w:val="pt-PT"/>
              </w:rPr>
              <w:t>Siglas e acrónimos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_Toc32858141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132</w:t>
            </w:r>
            <w:r w:rsidRPr="005910F0">
              <w:rPr>
                <w:rFonts w:ascii="Garamond" w:hAnsi="Garamond"/>
                <w:noProof/>
                <w:webHidden/>
              </w:rPr>
              <w:fldChar w:fldCharType="end"/>
            </w:r>
          </w:hyperlink>
        </w:p>
        <w:p w14:paraId="166D6899" w14:textId="44E54EAE" w:rsidR="005910F0" w:rsidRPr="005910F0" w:rsidRDefault="005910F0">
          <w:pPr>
            <w:pStyle w:val="ndice1"/>
            <w:tabs>
              <w:tab w:val="right" w:leader="dot" w:pos="9010"/>
            </w:tabs>
            <w:rPr>
              <w:rFonts w:ascii="Garamond" w:eastAsiaTheme="minorEastAsia" w:hAnsi="Garamond"/>
              <w:noProof/>
              <w:sz w:val="22"/>
              <w:szCs w:val="22"/>
              <w:lang w:val="pt-PT" w:eastAsia="pt-PT"/>
            </w:rPr>
          </w:pPr>
          <w:hyperlink w:anchor="_Toc32858142" w:history="1">
            <w:r w:rsidRPr="005910F0">
              <w:rPr>
                <w:rStyle w:val="Hiperligao"/>
                <w:rFonts w:ascii="Garamond" w:hAnsi="Garamond"/>
                <w:noProof/>
                <w:lang w:val="pt-PT"/>
              </w:rPr>
              <w:t>Anexos</w:t>
            </w:r>
            <w:r w:rsidRPr="005910F0">
              <w:rPr>
                <w:rFonts w:ascii="Garamond" w:hAnsi="Garamond"/>
                <w:noProof/>
                <w:webHidden/>
              </w:rPr>
              <w:tab/>
            </w:r>
            <w:r w:rsidRPr="005910F0">
              <w:rPr>
                <w:rFonts w:ascii="Garamond" w:hAnsi="Garamond"/>
                <w:noProof/>
                <w:webHidden/>
              </w:rPr>
              <w:fldChar w:fldCharType="begin"/>
            </w:r>
            <w:r w:rsidRPr="005910F0">
              <w:rPr>
                <w:rFonts w:ascii="Garamond" w:hAnsi="Garamond"/>
                <w:noProof/>
                <w:webHidden/>
              </w:rPr>
              <w:instrText xml:space="preserve"> PAGEREF _Toc32858142 \h </w:instrText>
            </w:r>
            <w:r w:rsidRPr="005910F0">
              <w:rPr>
                <w:rFonts w:ascii="Garamond" w:hAnsi="Garamond"/>
                <w:noProof/>
                <w:webHidden/>
              </w:rPr>
            </w:r>
            <w:r w:rsidRPr="005910F0">
              <w:rPr>
                <w:rFonts w:ascii="Garamond" w:hAnsi="Garamond"/>
                <w:noProof/>
                <w:webHidden/>
              </w:rPr>
              <w:fldChar w:fldCharType="separate"/>
            </w:r>
            <w:r w:rsidRPr="005910F0">
              <w:rPr>
                <w:rFonts w:ascii="Garamond" w:hAnsi="Garamond"/>
                <w:noProof/>
                <w:webHidden/>
              </w:rPr>
              <w:t>133</w:t>
            </w:r>
            <w:r w:rsidRPr="005910F0">
              <w:rPr>
                <w:rFonts w:ascii="Garamond" w:hAnsi="Garamond"/>
                <w:noProof/>
                <w:webHidden/>
              </w:rPr>
              <w:fldChar w:fldCharType="end"/>
            </w:r>
          </w:hyperlink>
        </w:p>
        <w:p w14:paraId="06AE04FE" w14:textId="7E528574" w:rsidR="000F2405" w:rsidRPr="005910F0" w:rsidRDefault="000F2405">
          <w:pPr>
            <w:rPr>
              <w:rFonts w:ascii="Garamond" w:hAnsi="Garamond"/>
            </w:rPr>
          </w:pPr>
          <w:r w:rsidRPr="005910F0">
            <w:rPr>
              <w:rFonts w:ascii="Garamond" w:hAnsi="Garamond" w:cs="Times New Roman"/>
              <w:iCs/>
              <w:noProof/>
              <w:lang w:val="pt-PT"/>
            </w:rPr>
            <w:fldChar w:fldCharType="end"/>
          </w:r>
        </w:p>
        <w:bookmarkStart w:id="0" w:name="_GoBack" w:displacedByCustomXml="next"/>
        <w:bookmarkEnd w:id="0" w:displacedByCustomXml="next"/>
      </w:sdtContent>
    </w:sdt>
    <w:p w14:paraId="5FC709B6" w14:textId="77777777" w:rsidR="00AD5660" w:rsidRPr="005910F0" w:rsidRDefault="00AD5660" w:rsidP="006E27ED">
      <w:pPr>
        <w:pStyle w:val="PargrafodaLista"/>
        <w:spacing w:after="240"/>
        <w:ind w:left="0"/>
        <w:jc w:val="both"/>
        <w:rPr>
          <w:rFonts w:ascii="Garamond" w:hAnsi="Garamond" w:cs="Times New Roman"/>
          <w:sz w:val="32"/>
          <w:szCs w:val="32"/>
          <w:lang w:val="pt-PT"/>
        </w:rPr>
      </w:pPr>
    </w:p>
    <w:p w14:paraId="4E34E408" w14:textId="77777777" w:rsidR="00AD5660" w:rsidRDefault="00AD5660" w:rsidP="006E27ED">
      <w:pPr>
        <w:pStyle w:val="PargrafodaLista"/>
        <w:spacing w:after="240"/>
        <w:ind w:left="0"/>
        <w:jc w:val="both"/>
        <w:rPr>
          <w:rFonts w:ascii="Garamond" w:hAnsi="Garamond" w:cs="Times New Roman"/>
          <w:b/>
          <w:sz w:val="32"/>
          <w:szCs w:val="32"/>
          <w:lang w:val="pt-PT"/>
        </w:rPr>
      </w:pPr>
    </w:p>
    <w:p w14:paraId="148AD533" w14:textId="5DE78490" w:rsidR="00F1265A" w:rsidRDefault="00F1265A">
      <w:pPr>
        <w:rPr>
          <w:rFonts w:ascii="Garamond" w:hAnsi="Garamond" w:cs="Times New Roman"/>
          <w:b/>
          <w:sz w:val="32"/>
          <w:szCs w:val="32"/>
          <w:lang w:val="pt-PT"/>
        </w:rPr>
      </w:pPr>
      <w:r>
        <w:rPr>
          <w:rFonts w:ascii="Garamond" w:hAnsi="Garamond" w:cs="Times New Roman"/>
          <w:b/>
          <w:sz w:val="32"/>
          <w:szCs w:val="32"/>
          <w:lang w:val="pt-PT"/>
        </w:rPr>
        <w:br w:type="page"/>
      </w:r>
    </w:p>
    <w:p w14:paraId="322B9E5D" w14:textId="63171B45" w:rsidR="00AC7AC6" w:rsidRPr="00E05403" w:rsidRDefault="00AC7AC6" w:rsidP="00AC7AC6">
      <w:pPr>
        <w:pStyle w:val="Ttulo1"/>
        <w:rPr>
          <w:rFonts w:ascii="Garamond" w:hAnsi="Garamond"/>
          <w:bCs w:val="0"/>
          <w:sz w:val="28"/>
          <w:szCs w:val="28"/>
          <w:lang w:val="pt-PT"/>
        </w:rPr>
      </w:pPr>
      <w:bookmarkStart w:id="1" w:name="_Toc32858112"/>
      <w:r>
        <w:rPr>
          <w:rFonts w:ascii="Garamond" w:hAnsi="Garamond"/>
          <w:bCs w:val="0"/>
          <w:sz w:val="28"/>
          <w:szCs w:val="28"/>
          <w:lang w:val="pt-PT"/>
        </w:rPr>
        <w:t>Lista de Gráficos</w:t>
      </w:r>
      <w:bookmarkEnd w:id="1"/>
    </w:p>
    <w:p w14:paraId="2B383BD2" w14:textId="244D0E14" w:rsidR="005C016A" w:rsidRPr="005C016A" w:rsidRDefault="008A1CF7" w:rsidP="005C016A">
      <w:pPr>
        <w:pStyle w:val="ndicedeilustraes"/>
        <w:tabs>
          <w:tab w:val="right" w:leader="dot" w:pos="9010"/>
        </w:tabs>
        <w:spacing w:before="120" w:after="120"/>
        <w:rPr>
          <w:rFonts w:ascii="Garamond" w:eastAsiaTheme="minorEastAsia" w:hAnsi="Garamond"/>
          <w:bCs/>
          <w:noProof/>
          <w:sz w:val="22"/>
          <w:szCs w:val="22"/>
          <w:lang w:val="pt-PT" w:eastAsia="pt-PT"/>
        </w:rPr>
      </w:pPr>
      <w:r w:rsidRPr="005C016A">
        <w:rPr>
          <w:rFonts w:ascii="Garamond" w:hAnsi="Garamond" w:cs="Times New Roman"/>
          <w:bCs/>
          <w:sz w:val="22"/>
          <w:szCs w:val="22"/>
          <w:lang w:val="pt-PT"/>
        </w:rPr>
        <w:fldChar w:fldCharType="begin"/>
      </w:r>
      <w:r w:rsidRPr="005C016A">
        <w:rPr>
          <w:rFonts w:ascii="Garamond" w:hAnsi="Garamond" w:cs="Times New Roman"/>
          <w:bCs/>
          <w:sz w:val="22"/>
          <w:szCs w:val="22"/>
          <w:lang w:val="pt-PT"/>
        </w:rPr>
        <w:instrText xml:space="preserve"> TOC \h \z \c "Grafico" </w:instrText>
      </w:r>
      <w:r w:rsidRPr="005C016A">
        <w:rPr>
          <w:rFonts w:ascii="Garamond" w:hAnsi="Garamond" w:cs="Times New Roman"/>
          <w:bCs/>
          <w:sz w:val="22"/>
          <w:szCs w:val="22"/>
          <w:lang w:val="pt-PT"/>
        </w:rPr>
        <w:fldChar w:fldCharType="separate"/>
      </w:r>
      <w:hyperlink w:anchor="_Toc32856855" w:history="1">
        <w:r w:rsidR="005C016A" w:rsidRPr="005C016A">
          <w:rPr>
            <w:rStyle w:val="Hiperligao"/>
            <w:rFonts w:ascii="Garamond" w:hAnsi="Garamond"/>
            <w:bCs/>
            <w:noProof/>
            <w:sz w:val="22"/>
            <w:szCs w:val="22"/>
            <w:lang w:val="pt-PT"/>
          </w:rPr>
          <w:t>Gráfico 1 – Proporção de mulheres e homens que são pobres e muito pobres por meio</w:t>
        </w:r>
        <w:r w:rsidR="005C016A" w:rsidRPr="005C016A">
          <w:rPr>
            <w:rFonts w:ascii="Garamond" w:hAnsi="Garamond"/>
            <w:bCs/>
            <w:noProof/>
            <w:webHidden/>
            <w:sz w:val="22"/>
            <w:szCs w:val="22"/>
          </w:rPr>
          <w:tab/>
        </w:r>
        <w:r w:rsidR="005C016A" w:rsidRPr="005C016A">
          <w:rPr>
            <w:rFonts w:ascii="Garamond" w:hAnsi="Garamond"/>
            <w:bCs/>
            <w:noProof/>
            <w:webHidden/>
            <w:sz w:val="22"/>
            <w:szCs w:val="22"/>
          </w:rPr>
          <w:fldChar w:fldCharType="begin"/>
        </w:r>
        <w:r w:rsidR="005C016A" w:rsidRPr="005C016A">
          <w:rPr>
            <w:rFonts w:ascii="Garamond" w:hAnsi="Garamond"/>
            <w:bCs/>
            <w:noProof/>
            <w:webHidden/>
            <w:sz w:val="22"/>
            <w:szCs w:val="22"/>
          </w:rPr>
          <w:instrText xml:space="preserve"> PAGEREF _Toc32856855 \h </w:instrText>
        </w:r>
        <w:r w:rsidR="005C016A" w:rsidRPr="005C016A">
          <w:rPr>
            <w:rFonts w:ascii="Garamond" w:hAnsi="Garamond"/>
            <w:bCs/>
            <w:noProof/>
            <w:webHidden/>
            <w:sz w:val="22"/>
            <w:szCs w:val="22"/>
          </w:rPr>
        </w:r>
        <w:r w:rsidR="005C016A" w:rsidRPr="005C016A">
          <w:rPr>
            <w:rFonts w:ascii="Garamond" w:hAnsi="Garamond"/>
            <w:bCs/>
            <w:noProof/>
            <w:webHidden/>
            <w:sz w:val="22"/>
            <w:szCs w:val="22"/>
          </w:rPr>
          <w:fldChar w:fldCharType="separate"/>
        </w:r>
        <w:r w:rsidR="005C016A" w:rsidRPr="005C016A">
          <w:rPr>
            <w:rFonts w:ascii="Garamond" w:hAnsi="Garamond"/>
            <w:bCs/>
            <w:noProof/>
            <w:webHidden/>
            <w:sz w:val="22"/>
            <w:szCs w:val="22"/>
          </w:rPr>
          <w:t>24</w:t>
        </w:r>
        <w:r w:rsidR="005C016A" w:rsidRPr="005C016A">
          <w:rPr>
            <w:rFonts w:ascii="Garamond" w:hAnsi="Garamond"/>
            <w:bCs/>
            <w:noProof/>
            <w:webHidden/>
            <w:sz w:val="22"/>
            <w:szCs w:val="22"/>
          </w:rPr>
          <w:fldChar w:fldCharType="end"/>
        </w:r>
      </w:hyperlink>
    </w:p>
    <w:p w14:paraId="275BAF99" w14:textId="1E3D5806"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56" w:history="1">
        <w:r w:rsidRPr="005C016A">
          <w:rPr>
            <w:rStyle w:val="Hiperligao"/>
            <w:rFonts w:ascii="Garamond" w:hAnsi="Garamond"/>
            <w:bCs/>
            <w:noProof/>
            <w:sz w:val="22"/>
            <w:szCs w:val="22"/>
            <w:lang w:val="pt-PT"/>
          </w:rPr>
          <w:t>Gráfico 2 – Agregados pobres e muito pobres por sexo do representante e meio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_Toc32856856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24</w:t>
        </w:r>
        <w:r w:rsidRPr="005C016A">
          <w:rPr>
            <w:rFonts w:ascii="Garamond" w:hAnsi="Garamond"/>
            <w:bCs/>
            <w:noProof/>
            <w:webHidden/>
            <w:sz w:val="22"/>
            <w:szCs w:val="22"/>
          </w:rPr>
          <w:fldChar w:fldCharType="end"/>
        </w:r>
      </w:hyperlink>
    </w:p>
    <w:p w14:paraId="036C3EED" w14:textId="1BCA54C9"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57" w:history="1">
        <w:r w:rsidRPr="005C016A">
          <w:rPr>
            <w:rStyle w:val="Hiperligao"/>
            <w:rFonts w:ascii="Garamond" w:hAnsi="Garamond"/>
            <w:bCs/>
            <w:noProof/>
            <w:sz w:val="22"/>
            <w:szCs w:val="22"/>
            <w:lang w:val="pt-PT"/>
          </w:rPr>
          <w:t>Gráfico 3 – Proporção de representantes de agregado inactivos, por sexo do representante e estatuto de pobreza (muito pobre, pobre, não pobre)</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_Toc32856857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25</w:t>
        </w:r>
        <w:r w:rsidRPr="005C016A">
          <w:rPr>
            <w:rFonts w:ascii="Garamond" w:hAnsi="Garamond"/>
            <w:bCs/>
            <w:noProof/>
            <w:webHidden/>
            <w:sz w:val="22"/>
            <w:szCs w:val="22"/>
          </w:rPr>
          <w:fldChar w:fldCharType="end"/>
        </w:r>
      </w:hyperlink>
    </w:p>
    <w:p w14:paraId="6AB6C25E" w14:textId="41712241"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58" w:history="1">
        <w:r w:rsidRPr="005C016A">
          <w:rPr>
            <w:rStyle w:val="Hiperligao"/>
            <w:rFonts w:ascii="Garamond" w:hAnsi="Garamond"/>
            <w:bCs/>
            <w:noProof/>
            <w:sz w:val="22"/>
            <w:szCs w:val="22"/>
            <w:lang w:val="pt-PT"/>
          </w:rPr>
          <w:t>Gráfico 4 – Proporção de mulheres e homens inativos, ativos empregados e ativos desempregados (sobre o total de mulheres e homens em idade ativa em Cabo Verde)</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_Toc32856858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29</w:t>
        </w:r>
        <w:r w:rsidRPr="005C016A">
          <w:rPr>
            <w:rFonts w:ascii="Garamond" w:hAnsi="Garamond"/>
            <w:bCs/>
            <w:noProof/>
            <w:webHidden/>
            <w:sz w:val="22"/>
            <w:szCs w:val="22"/>
          </w:rPr>
          <w:fldChar w:fldCharType="end"/>
        </w:r>
      </w:hyperlink>
    </w:p>
    <w:p w14:paraId="004B79CD" w14:textId="63B1B4B3"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59" w:history="1">
        <w:r w:rsidRPr="005C016A">
          <w:rPr>
            <w:rStyle w:val="Hiperligao"/>
            <w:rFonts w:ascii="Garamond" w:hAnsi="Garamond"/>
            <w:bCs/>
            <w:noProof/>
            <w:sz w:val="22"/>
            <w:szCs w:val="22"/>
            <w:lang w:val="pt-PT"/>
          </w:rPr>
          <w:t>Gráfico 5 – Consumo e rendimento do trabalho de homens de mulheres ao longo do ciclo de vida</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_Toc32856859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30</w:t>
        </w:r>
        <w:r w:rsidRPr="005C016A">
          <w:rPr>
            <w:rFonts w:ascii="Garamond" w:hAnsi="Garamond"/>
            <w:bCs/>
            <w:noProof/>
            <w:webHidden/>
            <w:sz w:val="22"/>
            <w:szCs w:val="22"/>
          </w:rPr>
          <w:fldChar w:fldCharType="end"/>
        </w:r>
      </w:hyperlink>
    </w:p>
    <w:p w14:paraId="6A8C654B" w14:textId="19D5F088"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0" w:history="1">
        <w:r w:rsidRPr="005C016A">
          <w:rPr>
            <w:rStyle w:val="Hiperligao"/>
            <w:rFonts w:ascii="Garamond" w:hAnsi="Garamond"/>
            <w:bCs/>
            <w:noProof/>
            <w:sz w:val="22"/>
            <w:szCs w:val="22"/>
            <w:lang w:val="pt-PT"/>
          </w:rPr>
          <w:t>Grafico 6- População empregada por sexo segundo o ramo de actividade económica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_Toc32856860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35</w:t>
        </w:r>
        <w:r w:rsidRPr="005C016A">
          <w:rPr>
            <w:rFonts w:ascii="Garamond" w:hAnsi="Garamond"/>
            <w:bCs/>
            <w:noProof/>
            <w:webHidden/>
            <w:sz w:val="22"/>
            <w:szCs w:val="22"/>
          </w:rPr>
          <w:fldChar w:fldCharType="end"/>
        </w:r>
      </w:hyperlink>
    </w:p>
    <w:p w14:paraId="2716D474" w14:textId="5B5C3D5E"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1" w:history="1">
        <w:r w:rsidRPr="005C016A">
          <w:rPr>
            <w:rStyle w:val="Hiperligao"/>
            <w:rFonts w:ascii="Garamond" w:hAnsi="Garamond"/>
            <w:bCs/>
            <w:noProof/>
            <w:sz w:val="22"/>
            <w:szCs w:val="22"/>
            <w:lang w:val="pt-PT"/>
          </w:rPr>
          <w:t>Gráfico 7 – Evolução da prevalência da violência física contra mulheres (qualquer perpetrador), em qualquer momento e nos últimos 12 meses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_Toc32856861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41</w:t>
        </w:r>
        <w:r w:rsidRPr="005C016A">
          <w:rPr>
            <w:rFonts w:ascii="Garamond" w:hAnsi="Garamond"/>
            <w:bCs/>
            <w:noProof/>
            <w:webHidden/>
            <w:sz w:val="22"/>
            <w:szCs w:val="22"/>
          </w:rPr>
          <w:fldChar w:fldCharType="end"/>
        </w:r>
      </w:hyperlink>
    </w:p>
    <w:p w14:paraId="31E11EB6" w14:textId="66B09E4C"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2" w:history="1">
        <w:r w:rsidRPr="005C016A">
          <w:rPr>
            <w:rStyle w:val="Hiperligao"/>
            <w:rFonts w:ascii="Garamond" w:hAnsi="Garamond"/>
            <w:bCs/>
            <w:noProof/>
            <w:sz w:val="22"/>
            <w:szCs w:val="22"/>
            <w:lang w:val="pt-PT"/>
          </w:rPr>
          <w:t>Gráfico 8 – Evolução da prevalência da violência contra a mulher nas relações conjugais (exercida pelo marido/companheiro atual ou anterior) em qualquer momento, por tipo de violência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_Toc32856862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42</w:t>
        </w:r>
        <w:r w:rsidRPr="005C016A">
          <w:rPr>
            <w:rFonts w:ascii="Garamond" w:hAnsi="Garamond"/>
            <w:bCs/>
            <w:noProof/>
            <w:webHidden/>
            <w:sz w:val="22"/>
            <w:szCs w:val="22"/>
          </w:rPr>
          <w:fldChar w:fldCharType="end"/>
        </w:r>
      </w:hyperlink>
    </w:p>
    <w:p w14:paraId="24640B47" w14:textId="3789E2B8"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3" w:history="1">
        <w:r w:rsidRPr="005C016A">
          <w:rPr>
            <w:rStyle w:val="Hiperligao"/>
            <w:rFonts w:ascii="Garamond" w:hAnsi="Garamond"/>
            <w:bCs/>
            <w:noProof/>
            <w:sz w:val="22"/>
            <w:szCs w:val="22"/>
            <w:lang w:val="pt-PT"/>
          </w:rPr>
          <w:t>Gráfico 9 – Consequências físicas da violência exercida pelo marido/companheiro contra a mulher (relação atual ou anterior) nos últimos 12 meses, por tipo de violência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_Toc32856863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42</w:t>
        </w:r>
        <w:r w:rsidRPr="005C016A">
          <w:rPr>
            <w:rFonts w:ascii="Garamond" w:hAnsi="Garamond"/>
            <w:bCs/>
            <w:noProof/>
            <w:webHidden/>
            <w:sz w:val="22"/>
            <w:szCs w:val="22"/>
          </w:rPr>
          <w:fldChar w:fldCharType="end"/>
        </w:r>
      </w:hyperlink>
    </w:p>
    <w:p w14:paraId="2D11707F" w14:textId="4AF0C44A"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4" w:history="1">
        <w:r w:rsidRPr="005C016A">
          <w:rPr>
            <w:rStyle w:val="Hiperligao"/>
            <w:rFonts w:ascii="Garamond" w:hAnsi="Garamond"/>
            <w:bCs/>
            <w:noProof/>
            <w:sz w:val="22"/>
            <w:szCs w:val="22"/>
            <w:lang w:val="pt-PT"/>
          </w:rPr>
          <w:t>Gráfico 10 – Prevalência da violência conjugal (exercida contra a mulher pelo marido/companheiro atual ou anterior) (qualquer momento), por consumo de álcool e por tipo de violência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_Toc32856864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43</w:t>
        </w:r>
        <w:r w:rsidRPr="005C016A">
          <w:rPr>
            <w:rFonts w:ascii="Garamond" w:hAnsi="Garamond"/>
            <w:bCs/>
            <w:noProof/>
            <w:webHidden/>
            <w:sz w:val="22"/>
            <w:szCs w:val="22"/>
          </w:rPr>
          <w:fldChar w:fldCharType="end"/>
        </w:r>
      </w:hyperlink>
    </w:p>
    <w:p w14:paraId="1115797A" w14:textId="1F0F0147"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5" w:history="1">
        <w:r w:rsidRPr="005C016A">
          <w:rPr>
            <w:rStyle w:val="Hiperligao"/>
            <w:rFonts w:ascii="Garamond" w:hAnsi="Garamond"/>
            <w:bCs/>
            <w:noProof/>
            <w:sz w:val="22"/>
            <w:szCs w:val="22"/>
            <w:lang w:val="pt-PT"/>
          </w:rPr>
          <w:t>Gráfico 11 – Prevalência da violência conjugal por situação matrimonial e tipo de violência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_Toc32856865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44</w:t>
        </w:r>
        <w:r w:rsidRPr="005C016A">
          <w:rPr>
            <w:rFonts w:ascii="Garamond" w:hAnsi="Garamond"/>
            <w:bCs/>
            <w:noProof/>
            <w:webHidden/>
            <w:sz w:val="22"/>
            <w:szCs w:val="22"/>
          </w:rPr>
          <w:fldChar w:fldCharType="end"/>
        </w:r>
      </w:hyperlink>
    </w:p>
    <w:p w14:paraId="7FE1FFC7" w14:textId="6BDEE645"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6" w:history="1">
        <w:r w:rsidRPr="005C016A">
          <w:rPr>
            <w:rStyle w:val="Hiperligao"/>
            <w:rFonts w:ascii="Garamond" w:hAnsi="Garamond"/>
            <w:bCs/>
            <w:noProof/>
            <w:sz w:val="22"/>
            <w:szCs w:val="22"/>
            <w:lang w:val="pt-PT"/>
          </w:rPr>
          <w:t xml:space="preserve">Gráfico 12 – Violência conjugal e medo do cônjuge (referido pela mulher), por tipo de violência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_Toc32856866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44</w:t>
        </w:r>
        <w:r w:rsidRPr="005C016A">
          <w:rPr>
            <w:rFonts w:ascii="Garamond" w:hAnsi="Garamond"/>
            <w:bCs/>
            <w:noProof/>
            <w:webHidden/>
            <w:sz w:val="22"/>
            <w:szCs w:val="22"/>
          </w:rPr>
          <w:fldChar w:fldCharType="end"/>
        </w:r>
      </w:hyperlink>
    </w:p>
    <w:p w14:paraId="1C1E79EB" w14:textId="6B38C792"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7" w:history="1">
        <w:r w:rsidRPr="005C016A">
          <w:rPr>
            <w:rStyle w:val="Hiperligao"/>
            <w:rFonts w:ascii="Garamond" w:hAnsi="Garamond"/>
            <w:bCs/>
            <w:noProof/>
            <w:sz w:val="22"/>
            <w:szCs w:val="22"/>
            <w:lang w:val="pt-PT"/>
          </w:rPr>
          <w:t xml:space="preserve">Gráfico 13 – Taxa de prevalência da violência física (qualquer perpetrador) e violência conjugal (emocional, física ou sexual) por religião da mulher agredida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_Toc32856867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45</w:t>
        </w:r>
        <w:r w:rsidRPr="005C016A">
          <w:rPr>
            <w:rFonts w:ascii="Garamond" w:hAnsi="Garamond"/>
            <w:bCs/>
            <w:noProof/>
            <w:webHidden/>
            <w:sz w:val="22"/>
            <w:szCs w:val="22"/>
          </w:rPr>
          <w:fldChar w:fldCharType="end"/>
        </w:r>
      </w:hyperlink>
    </w:p>
    <w:p w14:paraId="5837F354" w14:textId="25860CB4"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8" w:history="1">
        <w:r w:rsidRPr="005C016A">
          <w:rPr>
            <w:rStyle w:val="Hiperligao"/>
            <w:rFonts w:ascii="Garamond" w:hAnsi="Garamond"/>
            <w:bCs/>
            <w:noProof/>
            <w:sz w:val="22"/>
            <w:szCs w:val="22"/>
            <w:lang w:val="pt-PT"/>
          </w:rPr>
          <w:t xml:space="preserve">Gráfico 14 – Evolução da prevalência da violência contra a mulher nas relações conjugais (exercida pelo marido/companheiro ou ex) em qualquer momento, por ilha/domínio estudado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_Toc32856868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46</w:t>
        </w:r>
        <w:r w:rsidRPr="005C016A">
          <w:rPr>
            <w:rFonts w:ascii="Garamond" w:hAnsi="Garamond"/>
            <w:bCs/>
            <w:noProof/>
            <w:webHidden/>
            <w:sz w:val="22"/>
            <w:szCs w:val="22"/>
          </w:rPr>
          <w:fldChar w:fldCharType="end"/>
        </w:r>
      </w:hyperlink>
    </w:p>
    <w:p w14:paraId="757EB7E0" w14:textId="7B52E2FD"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69" w:history="1">
        <w:r w:rsidRPr="005C016A">
          <w:rPr>
            <w:rStyle w:val="Hiperligao"/>
            <w:rFonts w:ascii="Garamond" w:hAnsi="Garamond"/>
            <w:bCs/>
            <w:noProof/>
            <w:sz w:val="22"/>
            <w:szCs w:val="22"/>
            <w:lang w:val="pt-PT"/>
          </w:rPr>
          <w:t xml:space="preserve">Gráfico 15 – Prevalência da violência contra a mulher nas relações conjugais (exercida pelo marido/companheiro atual ou anterior) nos últimos 12 meses, por ilha/domínio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_Toc32856869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48</w:t>
        </w:r>
        <w:r w:rsidRPr="005C016A">
          <w:rPr>
            <w:rFonts w:ascii="Garamond" w:hAnsi="Garamond"/>
            <w:bCs/>
            <w:noProof/>
            <w:webHidden/>
            <w:sz w:val="22"/>
            <w:szCs w:val="22"/>
          </w:rPr>
          <w:fldChar w:fldCharType="end"/>
        </w:r>
      </w:hyperlink>
    </w:p>
    <w:p w14:paraId="19610ED4" w14:textId="2DFDD6C1"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0" w:history="1">
        <w:r w:rsidRPr="005C016A">
          <w:rPr>
            <w:rStyle w:val="Hiperligao"/>
            <w:rFonts w:ascii="Garamond" w:hAnsi="Garamond"/>
            <w:bCs/>
            <w:noProof/>
            <w:sz w:val="22"/>
            <w:szCs w:val="22"/>
            <w:lang w:val="pt-PT"/>
          </w:rPr>
          <w:t>Gráfico 16 - Evolução da proporção de mulheres que concordam com pelo menos 1 motivo que justifica um marido/companheiro bater na sua mulher/companheira, por características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_Toc32856870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49</w:t>
        </w:r>
        <w:r w:rsidRPr="005C016A">
          <w:rPr>
            <w:rFonts w:ascii="Garamond" w:hAnsi="Garamond"/>
            <w:bCs/>
            <w:noProof/>
            <w:webHidden/>
            <w:sz w:val="22"/>
            <w:szCs w:val="22"/>
          </w:rPr>
          <w:fldChar w:fldCharType="end"/>
        </w:r>
      </w:hyperlink>
    </w:p>
    <w:p w14:paraId="3B8297A2" w14:textId="34A9FF3A"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1" w:history="1">
        <w:r w:rsidRPr="005C016A">
          <w:rPr>
            <w:rStyle w:val="Hiperligao"/>
            <w:rFonts w:ascii="Garamond" w:hAnsi="Garamond"/>
            <w:bCs/>
            <w:noProof/>
            <w:sz w:val="22"/>
            <w:szCs w:val="22"/>
            <w:lang w:val="pt-PT"/>
          </w:rPr>
          <w:t>Gráfico 17 - Evolução da proporção de homens que concordam com pelo menos 1 motivo que justifica um marido/companheiro bater na sua mulher/companheira, por características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_Toc32856871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49</w:t>
        </w:r>
        <w:r w:rsidRPr="005C016A">
          <w:rPr>
            <w:rFonts w:ascii="Garamond" w:hAnsi="Garamond"/>
            <w:bCs/>
            <w:noProof/>
            <w:webHidden/>
            <w:sz w:val="22"/>
            <w:szCs w:val="22"/>
          </w:rPr>
          <w:fldChar w:fldCharType="end"/>
        </w:r>
      </w:hyperlink>
    </w:p>
    <w:p w14:paraId="1BFFF9AC" w14:textId="4F41D4EA"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2" w:history="1">
        <w:r w:rsidRPr="005C016A">
          <w:rPr>
            <w:rStyle w:val="Hiperligao"/>
            <w:rFonts w:ascii="Garamond" w:hAnsi="Garamond"/>
            <w:bCs/>
            <w:noProof/>
            <w:sz w:val="22"/>
            <w:szCs w:val="22"/>
            <w:lang w:val="pt-PT"/>
          </w:rPr>
          <w:t xml:space="preserve">Gráfico 18 – Evolução da proporção de mulheres que concordam com pelo menos 1 motivo que justifica um marido/companheiro bater na sua mulher/companheira, por ilha/domínio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_Toc32856872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50</w:t>
        </w:r>
        <w:r w:rsidRPr="005C016A">
          <w:rPr>
            <w:rFonts w:ascii="Garamond" w:hAnsi="Garamond"/>
            <w:bCs/>
            <w:noProof/>
            <w:webHidden/>
            <w:sz w:val="22"/>
            <w:szCs w:val="22"/>
          </w:rPr>
          <w:fldChar w:fldCharType="end"/>
        </w:r>
      </w:hyperlink>
    </w:p>
    <w:p w14:paraId="4619EA77" w14:textId="6C2D6FFD"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3" w:history="1">
        <w:r w:rsidRPr="005C016A">
          <w:rPr>
            <w:rStyle w:val="Hiperligao"/>
            <w:rFonts w:ascii="Garamond" w:hAnsi="Garamond"/>
            <w:bCs/>
            <w:noProof/>
            <w:sz w:val="22"/>
            <w:szCs w:val="22"/>
            <w:lang w:val="pt-PT"/>
          </w:rPr>
          <w:t xml:space="preserve">Gráfico 19 – Evolução da proporção de homens que concordam com pelo menos 1 motivo que justifica um marido/companheiro bater na sua mulher/companheira, por ilha/domínio (%)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_Toc32856873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50</w:t>
        </w:r>
        <w:r w:rsidRPr="005C016A">
          <w:rPr>
            <w:rFonts w:ascii="Garamond" w:hAnsi="Garamond"/>
            <w:bCs/>
            <w:noProof/>
            <w:webHidden/>
            <w:sz w:val="22"/>
            <w:szCs w:val="22"/>
          </w:rPr>
          <w:fldChar w:fldCharType="end"/>
        </w:r>
      </w:hyperlink>
    </w:p>
    <w:p w14:paraId="6B44ACCC" w14:textId="4EA4C464"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4" w:history="1">
        <w:r w:rsidRPr="005C016A">
          <w:rPr>
            <w:rStyle w:val="Hiperligao"/>
            <w:rFonts w:ascii="Garamond" w:hAnsi="Garamond"/>
            <w:bCs/>
            <w:noProof/>
            <w:sz w:val="22"/>
            <w:szCs w:val="22"/>
            <w:lang w:val="pt-PT"/>
          </w:rPr>
          <w:t>Gráfico 20 – Evolução da proporção de maridos/companheiros que exerce pelo menos 3 tipos de controle/nenhum sobre a mulher/companheira (declaração mulheres)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_Toc32856874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51</w:t>
        </w:r>
        <w:r w:rsidRPr="005C016A">
          <w:rPr>
            <w:rFonts w:ascii="Garamond" w:hAnsi="Garamond"/>
            <w:bCs/>
            <w:noProof/>
            <w:webHidden/>
            <w:sz w:val="22"/>
            <w:szCs w:val="22"/>
          </w:rPr>
          <w:fldChar w:fldCharType="end"/>
        </w:r>
      </w:hyperlink>
    </w:p>
    <w:p w14:paraId="44A5F895" w14:textId="3D92A8FA"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5" w:history="1">
        <w:r w:rsidRPr="005C016A">
          <w:rPr>
            <w:rStyle w:val="Hiperligao"/>
            <w:rFonts w:ascii="Garamond" w:hAnsi="Garamond"/>
            <w:bCs/>
            <w:noProof/>
            <w:sz w:val="22"/>
            <w:szCs w:val="22"/>
            <w:lang w:val="pt-PT"/>
          </w:rPr>
          <w:t>Gráfico 21 - % de mulheres que sofreram algum tipo de violência conjugal (emocional, física ou sexual) de acordo com o nº de comportamentos de controle exercidos pelo marido/companheiro</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_Toc32856875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52</w:t>
        </w:r>
        <w:r w:rsidRPr="005C016A">
          <w:rPr>
            <w:rFonts w:ascii="Garamond" w:hAnsi="Garamond"/>
            <w:bCs/>
            <w:noProof/>
            <w:webHidden/>
            <w:sz w:val="22"/>
            <w:szCs w:val="22"/>
          </w:rPr>
          <w:fldChar w:fldCharType="end"/>
        </w:r>
      </w:hyperlink>
    </w:p>
    <w:p w14:paraId="2E3E4A51" w14:textId="759BA432"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6" w:history="1">
        <w:r w:rsidRPr="005C016A">
          <w:rPr>
            <w:rStyle w:val="Hiperligao"/>
            <w:rFonts w:ascii="Garamond" w:hAnsi="Garamond"/>
            <w:bCs/>
            <w:noProof/>
            <w:sz w:val="22"/>
            <w:szCs w:val="22"/>
            <w:lang w:val="pt-PT"/>
          </w:rPr>
          <w:t>Gráfico 22 - Nº de denúncias de VBG recebidas pela Polícia Nacional (2010 a 2018)</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_Toc32856876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54</w:t>
        </w:r>
        <w:r w:rsidRPr="005C016A">
          <w:rPr>
            <w:rFonts w:ascii="Garamond" w:hAnsi="Garamond"/>
            <w:bCs/>
            <w:noProof/>
            <w:webHidden/>
            <w:sz w:val="22"/>
            <w:szCs w:val="22"/>
          </w:rPr>
          <w:fldChar w:fldCharType="end"/>
        </w:r>
      </w:hyperlink>
    </w:p>
    <w:p w14:paraId="26B5C544" w14:textId="36E7DC4A"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7" w:history="1">
        <w:r w:rsidRPr="005C016A">
          <w:rPr>
            <w:rStyle w:val="Hiperligao"/>
            <w:rFonts w:ascii="Garamond" w:hAnsi="Garamond"/>
            <w:bCs/>
            <w:noProof/>
            <w:sz w:val="22"/>
            <w:szCs w:val="22"/>
            <w:lang w:val="pt-PT"/>
          </w:rPr>
          <w:t>Gráfico 23 – Evolução do número de atendimentos a vítimas de VBG no país (CAV e Rede SOL)</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_Toc32856877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59</w:t>
        </w:r>
        <w:r w:rsidRPr="005C016A">
          <w:rPr>
            <w:rFonts w:ascii="Garamond" w:hAnsi="Garamond"/>
            <w:bCs/>
            <w:noProof/>
            <w:webHidden/>
            <w:sz w:val="22"/>
            <w:szCs w:val="22"/>
          </w:rPr>
          <w:fldChar w:fldCharType="end"/>
        </w:r>
      </w:hyperlink>
    </w:p>
    <w:p w14:paraId="265D9241" w14:textId="17253246"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8" w:history="1">
        <w:r w:rsidRPr="005C016A">
          <w:rPr>
            <w:rStyle w:val="Hiperligao"/>
            <w:rFonts w:ascii="Garamond" w:hAnsi="Garamond"/>
            <w:bCs/>
            <w:noProof/>
            <w:sz w:val="22"/>
            <w:szCs w:val="22"/>
            <w:lang w:val="pt-PT"/>
          </w:rPr>
          <w:t>Gráfico 24 – Proporção de alunos e alunas por área de estudo escolhida no 11º-12º anos (2015/2016)</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_Toc32856878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68</w:t>
        </w:r>
        <w:r w:rsidRPr="005C016A">
          <w:rPr>
            <w:rFonts w:ascii="Garamond" w:hAnsi="Garamond"/>
            <w:bCs/>
            <w:noProof/>
            <w:webHidden/>
            <w:sz w:val="22"/>
            <w:szCs w:val="22"/>
          </w:rPr>
          <w:fldChar w:fldCharType="end"/>
        </w:r>
      </w:hyperlink>
    </w:p>
    <w:p w14:paraId="6EC08534" w14:textId="340A6834"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79" w:history="1">
        <w:r w:rsidRPr="005C016A">
          <w:rPr>
            <w:rStyle w:val="Hiperligao"/>
            <w:rFonts w:ascii="Garamond" w:hAnsi="Garamond"/>
            <w:bCs/>
            <w:noProof/>
            <w:sz w:val="22"/>
            <w:szCs w:val="22"/>
            <w:lang w:val="pt-PT"/>
          </w:rPr>
          <w:t>Gráfico 25 – Alunas e alunos inscritos no ensino superior em CV por área de estudo escolhida</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_Toc32856879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69</w:t>
        </w:r>
        <w:r w:rsidRPr="005C016A">
          <w:rPr>
            <w:rFonts w:ascii="Garamond" w:hAnsi="Garamond"/>
            <w:bCs/>
            <w:noProof/>
            <w:webHidden/>
            <w:sz w:val="22"/>
            <w:szCs w:val="22"/>
          </w:rPr>
          <w:fldChar w:fldCharType="end"/>
        </w:r>
      </w:hyperlink>
    </w:p>
    <w:p w14:paraId="6AC30191" w14:textId="5C6DB06D"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0" w:history="1">
        <w:r w:rsidRPr="005C016A">
          <w:rPr>
            <w:rStyle w:val="Hiperligao"/>
            <w:rFonts w:ascii="Garamond" w:hAnsi="Garamond"/>
            <w:bCs/>
            <w:noProof/>
            <w:sz w:val="22"/>
            <w:szCs w:val="22"/>
            <w:lang w:val="pt-PT"/>
          </w:rPr>
          <w:t>Gráfico 26 - Proporção da população com competências em utilização das TIC por tipo de competências (ambos os sexos) (dados de 2015 para o indicador 4.4.4 do ODS 4)</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_Toc32856880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69</w:t>
        </w:r>
        <w:r w:rsidRPr="005C016A">
          <w:rPr>
            <w:rFonts w:ascii="Garamond" w:hAnsi="Garamond"/>
            <w:bCs/>
            <w:noProof/>
            <w:webHidden/>
            <w:sz w:val="22"/>
            <w:szCs w:val="22"/>
          </w:rPr>
          <w:fldChar w:fldCharType="end"/>
        </w:r>
      </w:hyperlink>
    </w:p>
    <w:p w14:paraId="5620043F" w14:textId="0F8739F3"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1" w:history="1">
        <w:r w:rsidRPr="005C016A">
          <w:rPr>
            <w:rStyle w:val="Hiperligao"/>
            <w:rFonts w:ascii="Garamond" w:hAnsi="Garamond"/>
            <w:bCs/>
            <w:noProof/>
            <w:sz w:val="22"/>
            <w:szCs w:val="22"/>
            <w:lang w:val="pt-PT"/>
          </w:rPr>
          <w:t>Gráfico 27 - Percentagem de crianças/adolescentes com nível mínimo de proficiência em MATEMÁTICA, por ciclo do EB (ambos os sexos) (indicador 4.1.1 do ODS 4) (2017)</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_Toc32856881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70</w:t>
        </w:r>
        <w:r w:rsidRPr="005C016A">
          <w:rPr>
            <w:rFonts w:ascii="Garamond" w:hAnsi="Garamond"/>
            <w:bCs/>
            <w:noProof/>
            <w:webHidden/>
            <w:sz w:val="22"/>
            <w:szCs w:val="22"/>
          </w:rPr>
          <w:fldChar w:fldCharType="end"/>
        </w:r>
      </w:hyperlink>
    </w:p>
    <w:p w14:paraId="254FC64C" w14:textId="49048F5C"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2" w:history="1">
        <w:r w:rsidRPr="005C016A">
          <w:rPr>
            <w:rStyle w:val="Hiperligao"/>
            <w:rFonts w:ascii="Garamond" w:hAnsi="Garamond"/>
            <w:bCs/>
            <w:noProof/>
            <w:sz w:val="22"/>
            <w:szCs w:val="22"/>
            <w:lang w:val="pt-PT"/>
          </w:rPr>
          <w:t>Gráfico 28 - Percentagem de crianças/adolescentes com nível mínimo de proficiência na LEITURA, por ciclo do EB (ambos os sexos) (indicador 4.1.1 do ODS 4) (2017)</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_Toc32856882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70</w:t>
        </w:r>
        <w:r w:rsidRPr="005C016A">
          <w:rPr>
            <w:rFonts w:ascii="Garamond" w:hAnsi="Garamond"/>
            <w:bCs/>
            <w:noProof/>
            <w:webHidden/>
            <w:sz w:val="22"/>
            <w:szCs w:val="22"/>
          </w:rPr>
          <w:fldChar w:fldCharType="end"/>
        </w:r>
      </w:hyperlink>
    </w:p>
    <w:p w14:paraId="00770A2F" w14:textId="03A40D50"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3" w:history="1">
        <w:r w:rsidRPr="005C016A">
          <w:rPr>
            <w:rStyle w:val="Hiperligao"/>
            <w:rFonts w:ascii="Garamond" w:hAnsi="Garamond"/>
            <w:bCs/>
            <w:noProof/>
            <w:sz w:val="22"/>
            <w:szCs w:val="22"/>
            <w:lang w:val="pt-PT"/>
          </w:rPr>
          <w:t>Gráfico 29 – 12 primeiras c</w:t>
        </w:r>
        <w:r w:rsidRPr="005C016A">
          <w:rPr>
            <w:rStyle w:val="Hiperligao"/>
            <w:rFonts w:ascii="Garamond" w:hAnsi="Garamond" w:cs="Arial"/>
            <w:bCs/>
            <w:noProof/>
            <w:sz w:val="22"/>
            <w:szCs w:val="22"/>
            <w:lang w:val="pt-PT"/>
          </w:rPr>
          <w:t>ausas de mortalidade geral por sexo, 2017 (taxas por 100.000)</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_Toc32856883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75</w:t>
        </w:r>
        <w:r w:rsidRPr="005C016A">
          <w:rPr>
            <w:rFonts w:ascii="Garamond" w:hAnsi="Garamond"/>
            <w:bCs/>
            <w:noProof/>
            <w:webHidden/>
            <w:sz w:val="22"/>
            <w:szCs w:val="22"/>
          </w:rPr>
          <w:fldChar w:fldCharType="end"/>
        </w:r>
      </w:hyperlink>
    </w:p>
    <w:p w14:paraId="71CE65DE" w14:textId="68DACE3E"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4" w:history="1">
        <w:r w:rsidRPr="005C016A">
          <w:rPr>
            <w:rStyle w:val="Hiperligao"/>
            <w:rFonts w:ascii="Garamond" w:hAnsi="Garamond"/>
            <w:bCs/>
            <w:noProof/>
            <w:sz w:val="22"/>
            <w:szCs w:val="22"/>
            <w:lang w:val="pt-PT"/>
          </w:rPr>
          <w:t>Gráfico 30 – Percentagem de deputadas e deputados eleitos nas eleições legislativas de 1991 a 2016</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_Toc32856884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81</w:t>
        </w:r>
        <w:r w:rsidRPr="005C016A">
          <w:rPr>
            <w:rFonts w:ascii="Garamond" w:hAnsi="Garamond"/>
            <w:bCs/>
            <w:noProof/>
            <w:webHidden/>
            <w:sz w:val="22"/>
            <w:szCs w:val="22"/>
          </w:rPr>
          <w:fldChar w:fldCharType="end"/>
        </w:r>
      </w:hyperlink>
    </w:p>
    <w:p w14:paraId="1626E9B7" w14:textId="54B79780"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5" w:history="1">
        <w:r w:rsidRPr="005C016A">
          <w:rPr>
            <w:rStyle w:val="Hiperligao"/>
            <w:rFonts w:ascii="Garamond" w:hAnsi="Garamond"/>
            <w:bCs/>
            <w:noProof/>
            <w:sz w:val="22"/>
            <w:szCs w:val="22"/>
            <w:lang w:val="pt-PT"/>
          </w:rPr>
          <w:t>Gráfico 31 – Percentagem de mulheres e homens eleitos nas eleições autárquicas de 2016, por cargo</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_Toc32856885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81</w:t>
        </w:r>
        <w:r w:rsidRPr="005C016A">
          <w:rPr>
            <w:rFonts w:ascii="Garamond" w:hAnsi="Garamond"/>
            <w:bCs/>
            <w:noProof/>
            <w:webHidden/>
            <w:sz w:val="22"/>
            <w:szCs w:val="22"/>
          </w:rPr>
          <w:fldChar w:fldCharType="end"/>
        </w:r>
      </w:hyperlink>
    </w:p>
    <w:p w14:paraId="6DE0DE6E" w14:textId="7204234C"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886" w:history="1">
        <w:r w:rsidRPr="005C016A">
          <w:rPr>
            <w:rStyle w:val="Hiperligao"/>
            <w:rFonts w:ascii="Garamond" w:hAnsi="Garamond"/>
            <w:bCs/>
            <w:i/>
            <w:iCs/>
            <w:noProof/>
            <w:sz w:val="22"/>
            <w:szCs w:val="22"/>
            <w:lang w:val="pt-PT"/>
          </w:rPr>
          <w:t>Gráfico 32 – Percentagem de Dirigentes da Administração Pública por sexo (2015)</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_Toc32856886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85</w:t>
        </w:r>
        <w:r w:rsidRPr="005C016A">
          <w:rPr>
            <w:rFonts w:ascii="Garamond" w:hAnsi="Garamond"/>
            <w:bCs/>
            <w:noProof/>
            <w:webHidden/>
            <w:sz w:val="22"/>
            <w:szCs w:val="22"/>
          </w:rPr>
          <w:fldChar w:fldCharType="end"/>
        </w:r>
      </w:hyperlink>
    </w:p>
    <w:p w14:paraId="15D56228" w14:textId="66C210B4" w:rsidR="00AC7AC6" w:rsidRPr="00F73C45" w:rsidRDefault="008A1CF7" w:rsidP="005C016A">
      <w:pPr>
        <w:spacing w:before="120" w:after="120"/>
        <w:rPr>
          <w:rFonts w:ascii="Garamond" w:hAnsi="Garamond" w:cs="Times New Roman"/>
          <w:bCs/>
          <w:lang w:val="pt-PT"/>
        </w:rPr>
      </w:pPr>
      <w:r w:rsidRPr="005C016A">
        <w:rPr>
          <w:rFonts w:ascii="Garamond" w:hAnsi="Garamond" w:cs="Times New Roman"/>
          <w:bCs/>
          <w:sz w:val="22"/>
          <w:szCs w:val="22"/>
          <w:lang w:val="pt-PT"/>
        </w:rPr>
        <w:fldChar w:fldCharType="end"/>
      </w:r>
    </w:p>
    <w:p w14:paraId="5D0B7D7B" w14:textId="099E6882" w:rsidR="00AC7AC6" w:rsidRPr="00E05403" w:rsidRDefault="00AC7AC6" w:rsidP="00AC7AC6">
      <w:pPr>
        <w:pStyle w:val="Ttulo1"/>
        <w:rPr>
          <w:rFonts w:ascii="Garamond" w:hAnsi="Garamond"/>
          <w:bCs w:val="0"/>
          <w:sz w:val="28"/>
          <w:szCs w:val="28"/>
          <w:lang w:val="pt-PT"/>
        </w:rPr>
      </w:pPr>
      <w:bookmarkStart w:id="2" w:name="_Toc32858113"/>
      <w:r>
        <w:rPr>
          <w:rFonts w:ascii="Garamond" w:hAnsi="Garamond"/>
          <w:bCs w:val="0"/>
          <w:sz w:val="28"/>
          <w:szCs w:val="28"/>
          <w:lang w:val="pt-PT"/>
        </w:rPr>
        <w:t>Lista de Tabelas</w:t>
      </w:r>
      <w:bookmarkEnd w:id="2"/>
    </w:p>
    <w:p w14:paraId="5826266F" w14:textId="35365F67" w:rsidR="005C016A" w:rsidRPr="005C016A" w:rsidRDefault="0020758D" w:rsidP="005C016A">
      <w:pPr>
        <w:pStyle w:val="ndicedeilustraes"/>
        <w:tabs>
          <w:tab w:val="right" w:leader="dot" w:pos="9010"/>
        </w:tabs>
        <w:spacing w:before="120" w:after="120"/>
        <w:rPr>
          <w:rFonts w:ascii="Garamond" w:eastAsiaTheme="minorEastAsia" w:hAnsi="Garamond"/>
          <w:bCs/>
          <w:noProof/>
          <w:sz w:val="22"/>
          <w:szCs w:val="22"/>
          <w:lang w:val="pt-PT" w:eastAsia="pt-PT"/>
        </w:rPr>
      </w:pPr>
      <w:r w:rsidRPr="005C016A">
        <w:rPr>
          <w:rFonts w:ascii="Garamond" w:hAnsi="Garamond" w:cs="Times New Roman"/>
          <w:bCs/>
          <w:sz w:val="22"/>
          <w:szCs w:val="22"/>
          <w:lang w:val="pt-PT"/>
        </w:rPr>
        <w:fldChar w:fldCharType="begin"/>
      </w:r>
      <w:r w:rsidRPr="005C016A">
        <w:rPr>
          <w:rFonts w:ascii="Garamond" w:hAnsi="Garamond" w:cs="Times New Roman"/>
          <w:bCs/>
          <w:sz w:val="22"/>
          <w:szCs w:val="22"/>
          <w:lang w:val="pt-PT"/>
        </w:rPr>
        <w:instrText xml:space="preserve"> TOC \h \z \c "Tabela" </w:instrText>
      </w:r>
      <w:r w:rsidRPr="005C016A">
        <w:rPr>
          <w:rFonts w:ascii="Garamond" w:hAnsi="Garamond" w:cs="Times New Roman"/>
          <w:bCs/>
          <w:sz w:val="22"/>
          <w:szCs w:val="22"/>
          <w:lang w:val="pt-PT"/>
        </w:rPr>
        <w:fldChar w:fldCharType="separate"/>
      </w:r>
      <w:hyperlink w:anchor="_Toc32856923" w:history="1">
        <w:r w:rsidR="005C016A" w:rsidRPr="005C016A">
          <w:rPr>
            <w:rStyle w:val="Hiperligao"/>
            <w:rFonts w:ascii="Garamond" w:hAnsi="Garamond" w:cs="Times"/>
            <w:bCs/>
            <w:noProof/>
            <w:sz w:val="22"/>
            <w:szCs w:val="22"/>
            <w:shd w:val="clear" w:color="auto" w:fill="FFFFFF"/>
            <w:lang w:val="pt-PT"/>
          </w:rPr>
          <w:t>Tabela 1 – Alinhamento entre os eixos do PEDS para a igualdade de género, PNIG e ODSs</w:t>
        </w:r>
        <w:r w:rsidR="005C016A" w:rsidRPr="005C016A">
          <w:rPr>
            <w:rFonts w:ascii="Garamond" w:hAnsi="Garamond"/>
            <w:bCs/>
            <w:noProof/>
            <w:webHidden/>
            <w:sz w:val="22"/>
            <w:szCs w:val="22"/>
          </w:rPr>
          <w:tab/>
        </w:r>
        <w:r w:rsidR="005C016A" w:rsidRPr="005C016A">
          <w:rPr>
            <w:rFonts w:ascii="Garamond" w:hAnsi="Garamond"/>
            <w:bCs/>
            <w:noProof/>
            <w:webHidden/>
            <w:sz w:val="22"/>
            <w:szCs w:val="22"/>
          </w:rPr>
          <w:fldChar w:fldCharType="begin"/>
        </w:r>
        <w:r w:rsidR="005C016A" w:rsidRPr="005C016A">
          <w:rPr>
            <w:rFonts w:ascii="Garamond" w:hAnsi="Garamond"/>
            <w:bCs/>
            <w:noProof/>
            <w:webHidden/>
            <w:sz w:val="22"/>
            <w:szCs w:val="22"/>
          </w:rPr>
          <w:instrText xml:space="preserve"> PAGEREF _Toc32856923 \h </w:instrText>
        </w:r>
        <w:r w:rsidR="005C016A" w:rsidRPr="005C016A">
          <w:rPr>
            <w:rFonts w:ascii="Garamond" w:hAnsi="Garamond"/>
            <w:bCs/>
            <w:noProof/>
            <w:webHidden/>
            <w:sz w:val="22"/>
            <w:szCs w:val="22"/>
          </w:rPr>
        </w:r>
        <w:r w:rsidR="005C016A" w:rsidRPr="005C016A">
          <w:rPr>
            <w:rFonts w:ascii="Garamond" w:hAnsi="Garamond"/>
            <w:bCs/>
            <w:noProof/>
            <w:webHidden/>
            <w:sz w:val="22"/>
            <w:szCs w:val="22"/>
          </w:rPr>
          <w:fldChar w:fldCharType="separate"/>
        </w:r>
        <w:r w:rsidR="005C016A" w:rsidRPr="005C016A">
          <w:rPr>
            <w:rFonts w:ascii="Garamond" w:hAnsi="Garamond"/>
            <w:bCs/>
            <w:noProof/>
            <w:webHidden/>
            <w:sz w:val="22"/>
            <w:szCs w:val="22"/>
          </w:rPr>
          <w:t>9</w:t>
        </w:r>
        <w:r w:rsidR="005C016A" w:rsidRPr="005C016A">
          <w:rPr>
            <w:rFonts w:ascii="Garamond" w:hAnsi="Garamond"/>
            <w:bCs/>
            <w:noProof/>
            <w:webHidden/>
            <w:sz w:val="22"/>
            <w:szCs w:val="22"/>
          </w:rPr>
          <w:fldChar w:fldCharType="end"/>
        </w:r>
      </w:hyperlink>
    </w:p>
    <w:p w14:paraId="4A9D5A7F" w14:textId="1EEBBDAB"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924" w:history="1">
        <w:r w:rsidRPr="005C016A">
          <w:rPr>
            <w:rStyle w:val="Hiperligao"/>
            <w:rFonts w:ascii="Garamond" w:hAnsi="Garamond"/>
            <w:bCs/>
            <w:noProof/>
            <w:sz w:val="22"/>
            <w:szCs w:val="22"/>
            <w:lang w:val="pt-PT"/>
          </w:rPr>
          <w:t>Tabela 2 – Evolução de quem decide como gastar o dinheiro ganho pelo marido/companheiro e pela mulher/companheira (pessoas casadas/em união) (%)</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_Toc32856924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51</w:t>
        </w:r>
        <w:r w:rsidRPr="005C016A">
          <w:rPr>
            <w:rFonts w:ascii="Garamond" w:hAnsi="Garamond"/>
            <w:bCs/>
            <w:noProof/>
            <w:webHidden/>
            <w:sz w:val="22"/>
            <w:szCs w:val="22"/>
          </w:rPr>
          <w:fldChar w:fldCharType="end"/>
        </w:r>
      </w:hyperlink>
    </w:p>
    <w:p w14:paraId="11A5A2BD" w14:textId="085E8B31"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925" w:history="1">
        <w:r w:rsidRPr="005C016A">
          <w:rPr>
            <w:rStyle w:val="Hiperligao"/>
            <w:rFonts w:ascii="Garamond" w:hAnsi="Garamond"/>
            <w:bCs/>
            <w:noProof/>
            <w:sz w:val="22"/>
            <w:szCs w:val="22"/>
            <w:lang w:val="pt-PT"/>
          </w:rPr>
          <w:t>Tabela 3 – Tramitação dos processos por VBG no sistema judicial (anos judiciais 2011 a 2017/18)</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_Toc32856925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55</w:t>
        </w:r>
        <w:r w:rsidRPr="005C016A">
          <w:rPr>
            <w:rFonts w:ascii="Garamond" w:hAnsi="Garamond"/>
            <w:bCs/>
            <w:noProof/>
            <w:webHidden/>
            <w:sz w:val="22"/>
            <w:szCs w:val="22"/>
          </w:rPr>
          <w:fldChar w:fldCharType="end"/>
        </w:r>
      </w:hyperlink>
    </w:p>
    <w:p w14:paraId="1A60F604" w14:textId="1185A340"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926" w:history="1">
        <w:r w:rsidRPr="005C016A">
          <w:rPr>
            <w:rStyle w:val="Hiperligao"/>
            <w:rFonts w:ascii="Garamond" w:hAnsi="Garamond"/>
            <w:bCs/>
            <w:noProof/>
            <w:sz w:val="22"/>
            <w:szCs w:val="22"/>
            <w:lang w:val="pt-PT"/>
          </w:rPr>
          <w:t>Tabela 4 – Indicadores seleccionados do Ensino Básico (ambos so sexos) (2016/2017)</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_Toc32856926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71</w:t>
        </w:r>
        <w:r w:rsidRPr="005C016A">
          <w:rPr>
            <w:rFonts w:ascii="Garamond" w:hAnsi="Garamond"/>
            <w:bCs/>
            <w:noProof/>
            <w:webHidden/>
            <w:sz w:val="22"/>
            <w:szCs w:val="22"/>
          </w:rPr>
          <w:fldChar w:fldCharType="end"/>
        </w:r>
      </w:hyperlink>
    </w:p>
    <w:p w14:paraId="14CACAA0" w14:textId="4E2EED64"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927" w:history="1">
        <w:r w:rsidRPr="005C016A">
          <w:rPr>
            <w:rStyle w:val="Hiperligao"/>
            <w:rFonts w:ascii="Garamond" w:hAnsi="Garamond"/>
            <w:bCs/>
            <w:noProof/>
            <w:sz w:val="22"/>
            <w:szCs w:val="22"/>
            <w:lang w:val="pt-PT"/>
          </w:rPr>
          <w:t>Tabela 5 - Indicadores seleccionados do Ensino Secundário (ambos os sexos) (2016/2017)</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_Toc32856927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71</w:t>
        </w:r>
        <w:r w:rsidRPr="005C016A">
          <w:rPr>
            <w:rFonts w:ascii="Garamond" w:hAnsi="Garamond"/>
            <w:bCs/>
            <w:noProof/>
            <w:webHidden/>
            <w:sz w:val="22"/>
            <w:szCs w:val="22"/>
          </w:rPr>
          <w:fldChar w:fldCharType="end"/>
        </w:r>
      </w:hyperlink>
    </w:p>
    <w:p w14:paraId="42CC276E" w14:textId="755FE675" w:rsidR="005C016A" w:rsidRPr="005C016A" w:rsidRDefault="005C016A" w:rsidP="005C016A">
      <w:pPr>
        <w:pStyle w:val="ndicedeilustraes"/>
        <w:tabs>
          <w:tab w:val="right" w:leader="dot" w:pos="9010"/>
        </w:tabs>
        <w:spacing w:before="120" w:after="120"/>
        <w:rPr>
          <w:rFonts w:ascii="Garamond" w:eastAsiaTheme="minorEastAsia" w:hAnsi="Garamond"/>
          <w:bCs/>
          <w:noProof/>
          <w:sz w:val="22"/>
          <w:szCs w:val="22"/>
          <w:lang w:val="pt-PT" w:eastAsia="pt-PT"/>
        </w:rPr>
      </w:pPr>
      <w:hyperlink w:anchor="_Toc32856928" w:history="1">
        <w:r w:rsidRPr="005C016A">
          <w:rPr>
            <w:rStyle w:val="Hiperligao"/>
            <w:rFonts w:ascii="Garamond" w:hAnsi="Garamond"/>
            <w:bCs/>
            <w:noProof/>
            <w:sz w:val="22"/>
            <w:szCs w:val="22"/>
            <w:lang w:val="pt-PT"/>
          </w:rPr>
          <w:t>Tabela 6 – Estimativa orçamental do PNIG (2020-2023) por Eixo Estratégico e por Ano</w:t>
        </w:r>
        <w:r w:rsidRPr="005C016A">
          <w:rPr>
            <w:rFonts w:ascii="Garamond" w:hAnsi="Garamond"/>
            <w:bCs/>
            <w:noProof/>
            <w:webHidden/>
            <w:sz w:val="22"/>
            <w:szCs w:val="22"/>
          </w:rPr>
          <w:tab/>
        </w:r>
        <w:r w:rsidRPr="005C016A">
          <w:rPr>
            <w:rFonts w:ascii="Garamond" w:hAnsi="Garamond"/>
            <w:bCs/>
            <w:noProof/>
            <w:webHidden/>
            <w:sz w:val="22"/>
            <w:szCs w:val="22"/>
          </w:rPr>
          <w:fldChar w:fldCharType="begin"/>
        </w:r>
        <w:r w:rsidRPr="005C016A">
          <w:rPr>
            <w:rFonts w:ascii="Garamond" w:hAnsi="Garamond"/>
            <w:bCs/>
            <w:noProof/>
            <w:webHidden/>
            <w:sz w:val="22"/>
            <w:szCs w:val="22"/>
          </w:rPr>
          <w:instrText xml:space="preserve"> PAGEREF _Toc32856928 \h </w:instrText>
        </w:r>
        <w:r w:rsidRPr="005C016A">
          <w:rPr>
            <w:rFonts w:ascii="Garamond" w:hAnsi="Garamond"/>
            <w:bCs/>
            <w:noProof/>
            <w:webHidden/>
            <w:sz w:val="22"/>
            <w:szCs w:val="22"/>
          </w:rPr>
        </w:r>
        <w:r w:rsidRPr="005C016A">
          <w:rPr>
            <w:rFonts w:ascii="Garamond" w:hAnsi="Garamond"/>
            <w:bCs/>
            <w:noProof/>
            <w:webHidden/>
            <w:sz w:val="22"/>
            <w:szCs w:val="22"/>
          </w:rPr>
          <w:fldChar w:fldCharType="separate"/>
        </w:r>
        <w:r w:rsidRPr="005C016A">
          <w:rPr>
            <w:rFonts w:ascii="Garamond" w:hAnsi="Garamond"/>
            <w:bCs/>
            <w:noProof/>
            <w:webHidden/>
            <w:sz w:val="22"/>
            <w:szCs w:val="22"/>
          </w:rPr>
          <w:t>131</w:t>
        </w:r>
        <w:r w:rsidRPr="005C016A">
          <w:rPr>
            <w:rFonts w:ascii="Garamond" w:hAnsi="Garamond"/>
            <w:bCs/>
            <w:noProof/>
            <w:webHidden/>
            <w:sz w:val="22"/>
            <w:szCs w:val="22"/>
          </w:rPr>
          <w:fldChar w:fldCharType="end"/>
        </w:r>
      </w:hyperlink>
    </w:p>
    <w:p w14:paraId="657E8E1C" w14:textId="2D116F7E" w:rsidR="00AC7AC6" w:rsidRPr="005C016A" w:rsidRDefault="0020758D" w:rsidP="005C016A">
      <w:pPr>
        <w:spacing w:before="120" w:after="120"/>
        <w:rPr>
          <w:rFonts w:ascii="Garamond" w:hAnsi="Garamond" w:cs="Times New Roman"/>
          <w:bCs/>
          <w:sz w:val="22"/>
          <w:szCs w:val="22"/>
          <w:lang w:val="pt-PT"/>
        </w:rPr>
      </w:pPr>
      <w:r w:rsidRPr="005C016A">
        <w:rPr>
          <w:rFonts w:ascii="Garamond" w:hAnsi="Garamond" w:cs="Times New Roman"/>
          <w:bCs/>
          <w:sz w:val="22"/>
          <w:szCs w:val="22"/>
          <w:lang w:val="pt-PT"/>
        </w:rPr>
        <w:fldChar w:fldCharType="end"/>
      </w:r>
    </w:p>
    <w:p w14:paraId="0065B001" w14:textId="544361BA" w:rsidR="00F73C45" w:rsidRDefault="00F73C45">
      <w:pPr>
        <w:rPr>
          <w:rFonts w:ascii="Garamond" w:hAnsi="Garamond" w:cs="Times New Roman"/>
          <w:b/>
          <w:sz w:val="32"/>
          <w:szCs w:val="32"/>
          <w:lang w:val="pt-PT"/>
        </w:rPr>
      </w:pPr>
      <w:r>
        <w:rPr>
          <w:rFonts w:ascii="Garamond" w:hAnsi="Garamond" w:cs="Times New Roman"/>
          <w:b/>
          <w:sz w:val="32"/>
          <w:szCs w:val="32"/>
          <w:lang w:val="pt-PT"/>
        </w:rPr>
        <w:br w:type="page"/>
      </w:r>
    </w:p>
    <w:p w14:paraId="42E97A28" w14:textId="77777777" w:rsidR="00F1265A" w:rsidRPr="00CD09C2" w:rsidRDefault="00F1265A" w:rsidP="009D0E9C">
      <w:pPr>
        <w:pStyle w:val="Ttulo1"/>
        <w:rPr>
          <w:rFonts w:ascii="Garamond" w:hAnsi="Garamond"/>
          <w:bCs w:val="0"/>
          <w:sz w:val="28"/>
          <w:szCs w:val="28"/>
          <w:lang w:val="pt-PT"/>
        </w:rPr>
      </w:pPr>
      <w:bookmarkStart w:id="3" w:name="_Toc32858114"/>
      <w:r w:rsidRPr="00CD09C2">
        <w:rPr>
          <w:rFonts w:ascii="Garamond" w:hAnsi="Garamond"/>
          <w:bCs w:val="0"/>
          <w:sz w:val="28"/>
          <w:szCs w:val="28"/>
          <w:lang w:val="pt-PT"/>
        </w:rPr>
        <w:t>PARTE I – INTRODUÇÃO</w:t>
      </w:r>
      <w:bookmarkEnd w:id="3"/>
    </w:p>
    <w:p w14:paraId="2438CDFC" w14:textId="19EAF49D" w:rsidR="00F1265A" w:rsidRPr="004F1905" w:rsidRDefault="00F1265A" w:rsidP="00CD09C2">
      <w:pPr>
        <w:pStyle w:val="PargrafodaLista"/>
        <w:spacing w:line="276" w:lineRule="auto"/>
        <w:ind w:left="0"/>
        <w:jc w:val="both"/>
        <w:outlineLvl w:val="1"/>
        <w:rPr>
          <w:rFonts w:ascii="Garamond" w:hAnsi="Garamond" w:cs="Times New Roman"/>
          <w:b/>
          <w:iCs/>
          <w:lang w:val="pt-PT"/>
        </w:rPr>
      </w:pPr>
      <w:bookmarkStart w:id="4" w:name="_Toc32858115"/>
      <w:r w:rsidRPr="004F1905">
        <w:rPr>
          <w:rFonts w:ascii="Garamond" w:hAnsi="Garamond" w:cs="Times New Roman"/>
          <w:b/>
          <w:iCs/>
          <w:lang w:val="pt-PT"/>
        </w:rPr>
        <w:t xml:space="preserve">O que é o </w:t>
      </w:r>
      <w:proofErr w:type="spellStart"/>
      <w:r w:rsidRPr="004F1905">
        <w:rPr>
          <w:rFonts w:ascii="Garamond" w:hAnsi="Garamond" w:cs="Times New Roman"/>
          <w:b/>
          <w:iCs/>
          <w:lang w:val="pt-PT"/>
        </w:rPr>
        <w:t>PNIG</w:t>
      </w:r>
      <w:bookmarkEnd w:id="4"/>
      <w:proofErr w:type="spellEnd"/>
    </w:p>
    <w:p w14:paraId="3242F75E" w14:textId="6A444B10" w:rsidR="00F1265A" w:rsidRPr="00236FE5" w:rsidRDefault="00F1265A" w:rsidP="00F1265A">
      <w:pPr>
        <w:jc w:val="both"/>
        <w:rPr>
          <w:rFonts w:ascii="Garamond" w:eastAsia="Times New Roman" w:hAnsi="Garamond" w:cs="Tahoma"/>
          <w:color w:val="000000"/>
          <w:lang w:val="pt-PT"/>
        </w:rPr>
      </w:pPr>
      <w:r w:rsidRPr="00236FE5">
        <w:rPr>
          <w:rFonts w:ascii="Garamond" w:eastAsia="Times New Roman" w:hAnsi="Garamond" w:cs="Tahoma"/>
          <w:color w:val="000000"/>
          <w:lang w:val="pt-PT"/>
        </w:rPr>
        <w:t>O Plano Nacional de Igualdade de Género 2019-</w:t>
      </w:r>
      <w:r w:rsidRPr="00861830">
        <w:rPr>
          <w:rFonts w:ascii="Garamond" w:eastAsia="Times New Roman" w:hAnsi="Garamond" w:cs="Tahoma"/>
          <w:lang w:val="pt-PT"/>
        </w:rPr>
        <w:t>202</w:t>
      </w:r>
      <w:r w:rsidR="00D23662" w:rsidRPr="00861830">
        <w:rPr>
          <w:rFonts w:ascii="Garamond" w:eastAsia="Times New Roman" w:hAnsi="Garamond" w:cs="Tahoma"/>
          <w:lang w:val="pt-PT"/>
        </w:rPr>
        <w:t>3</w:t>
      </w:r>
      <w:r w:rsidRPr="00861830">
        <w:rPr>
          <w:rFonts w:ascii="Garamond" w:eastAsia="Times New Roman" w:hAnsi="Garamond" w:cs="Tahoma"/>
          <w:lang w:val="pt-PT"/>
        </w:rPr>
        <w:t xml:space="preserve"> sucede </w:t>
      </w:r>
      <w:r w:rsidRPr="00236FE5">
        <w:rPr>
          <w:rFonts w:ascii="Garamond" w:eastAsia="Times New Roman" w:hAnsi="Garamond" w:cs="Tahoma"/>
          <w:color w:val="000000"/>
          <w:lang w:val="pt-PT"/>
        </w:rPr>
        <w:t xml:space="preserve">o </w:t>
      </w:r>
      <w:proofErr w:type="spellStart"/>
      <w:r w:rsidRPr="00236FE5">
        <w:rPr>
          <w:rFonts w:ascii="Garamond" w:eastAsia="Times New Roman" w:hAnsi="Garamond" w:cs="Tahoma"/>
          <w:color w:val="000000"/>
          <w:lang w:val="pt-PT"/>
        </w:rPr>
        <w:t>PNIG</w:t>
      </w:r>
      <w:proofErr w:type="spellEnd"/>
      <w:r w:rsidRPr="00236FE5">
        <w:rPr>
          <w:rFonts w:ascii="Garamond" w:eastAsia="Times New Roman" w:hAnsi="Garamond" w:cs="Tahoma"/>
          <w:color w:val="000000"/>
          <w:lang w:val="pt-PT"/>
        </w:rPr>
        <w:t xml:space="preserve"> 2015-2018. O documento está alinhado</w:t>
      </w:r>
      <w:r>
        <w:rPr>
          <w:rFonts w:ascii="Garamond" w:eastAsia="Times New Roman" w:hAnsi="Garamond" w:cs="Tahoma"/>
          <w:color w:val="000000"/>
          <w:lang w:val="pt-PT"/>
        </w:rPr>
        <w:t xml:space="preserve"> </w:t>
      </w:r>
      <w:r w:rsidRPr="00236FE5">
        <w:rPr>
          <w:rFonts w:ascii="Garamond" w:eastAsia="Times New Roman" w:hAnsi="Garamond" w:cs="Tahoma"/>
          <w:color w:val="000000"/>
          <w:lang w:val="pt-PT"/>
        </w:rPr>
        <w:t>com o Programa do Governo para a IX Legislatura (2016-2021), com o Plano Estratégico de Desenvolvimento Sustentável (</w:t>
      </w:r>
      <w:proofErr w:type="spellStart"/>
      <w:r w:rsidRPr="00236FE5">
        <w:rPr>
          <w:rFonts w:ascii="Garamond" w:eastAsia="Times New Roman" w:hAnsi="Garamond" w:cs="Tahoma"/>
          <w:color w:val="000000"/>
          <w:lang w:val="pt-PT"/>
        </w:rPr>
        <w:t>PEDS</w:t>
      </w:r>
      <w:proofErr w:type="spellEnd"/>
      <w:r w:rsidRPr="00236FE5">
        <w:rPr>
          <w:rFonts w:ascii="Garamond" w:eastAsia="Times New Roman" w:hAnsi="Garamond" w:cs="Tahoma"/>
          <w:color w:val="000000"/>
          <w:lang w:val="pt-PT"/>
        </w:rPr>
        <w:t>) 2017-2021, assim como com as principais agendas internacionais de promoção da igualdade de género e de desenvolvimento</w:t>
      </w:r>
      <w:r w:rsidR="003E7D46">
        <w:rPr>
          <w:rFonts w:ascii="Garamond" w:eastAsia="Times New Roman" w:hAnsi="Garamond" w:cs="Tahoma"/>
          <w:color w:val="000000"/>
          <w:lang w:val="pt-PT"/>
        </w:rPr>
        <w:t>, como a Agenda 2030,</w:t>
      </w:r>
      <w:r w:rsidRPr="00236FE5">
        <w:rPr>
          <w:rFonts w:ascii="Garamond" w:eastAsia="Times New Roman" w:hAnsi="Garamond" w:cs="Tahoma"/>
          <w:color w:val="000000"/>
          <w:lang w:val="pt-PT"/>
        </w:rPr>
        <w:t xml:space="preserve"> e os compromissos nelas assumidas </w:t>
      </w:r>
      <w:proofErr w:type="spellStart"/>
      <w:r w:rsidRPr="00236FE5">
        <w:rPr>
          <w:rFonts w:ascii="Garamond" w:eastAsia="Times New Roman" w:hAnsi="Garamond" w:cs="Tahoma"/>
          <w:color w:val="000000"/>
          <w:lang w:val="pt-PT"/>
        </w:rPr>
        <w:t>pelo</w:t>
      </w:r>
      <w:proofErr w:type="spellEnd"/>
      <w:r w:rsidRPr="00236FE5">
        <w:rPr>
          <w:rFonts w:ascii="Garamond" w:eastAsia="Times New Roman" w:hAnsi="Garamond" w:cs="Tahoma"/>
          <w:color w:val="000000"/>
          <w:lang w:val="pt-PT"/>
        </w:rPr>
        <w:t xml:space="preserve"> Estado de Cabo Verde.</w:t>
      </w:r>
    </w:p>
    <w:p w14:paraId="4E189B2D" w14:textId="1183825B" w:rsidR="00F1265A" w:rsidRDefault="00F1265A" w:rsidP="00F1265A">
      <w:pPr>
        <w:shd w:val="clear" w:color="auto" w:fill="FFFFFF"/>
        <w:spacing w:before="240"/>
        <w:jc w:val="both"/>
        <w:rPr>
          <w:rFonts w:ascii="Garamond" w:eastAsia="Times New Roman" w:hAnsi="Garamond" w:cs="Tahoma"/>
          <w:color w:val="000000"/>
          <w:lang w:val="pt-PT"/>
        </w:rPr>
      </w:pPr>
      <w:r w:rsidRPr="00236FE5">
        <w:rPr>
          <w:rFonts w:ascii="Garamond" w:eastAsia="Times New Roman" w:hAnsi="Garamond" w:cs="Tahoma"/>
          <w:color w:val="000000"/>
          <w:lang w:val="pt-PT"/>
        </w:rPr>
        <w:t xml:space="preserve">O </w:t>
      </w:r>
      <w:proofErr w:type="spellStart"/>
      <w:r w:rsidRPr="00236FE5">
        <w:rPr>
          <w:rFonts w:ascii="Garamond" w:eastAsia="Times New Roman" w:hAnsi="Garamond" w:cs="Tahoma"/>
          <w:color w:val="000000"/>
          <w:lang w:val="pt-PT"/>
        </w:rPr>
        <w:t>PNIG</w:t>
      </w:r>
      <w:proofErr w:type="spellEnd"/>
      <w:r w:rsidRPr="00236FE5">
        <w:rPr>
          <w:rFonts w:ascii="Garamond" w:eastAsia="Times New Roman" w:hAnsi="Garamond" w:cs="Tahoma"/>
          <w:color w:val="000000"/>
          <w:lang w:val="pt-PT"/>
        </w:rPr>
        <w:t xml:space="preserve"> 2019-202</w:t>
      </w:r>
      <w:r w:rsidR="00861830">
        <w:rPr>
          <w:rFonts w:ascii="Garamond" w:eastAsia="Times New Roman" w:hAnsi="Garamond" w:cs="Tahoma"/>
          <w:color w:val="000000"/>
          <w:lang w:val="pt-PT"/>
        </w:rPr>
        <w:t>3</w:t>
      </w:r>
      <w:r w:rsidRPr="00236FE5">
        <w:rPr>
          <w:rFonts w:ascii="Garamond" w:eastAsia="Times New Roman" w:hAnsi="Garamond" w:cs="Tahoma"/>
          <w:color w:val="000000"/>
          <w:lang w:val="pt-PT"/>
        </w:rPr>
        <w:t xml:space="preserve"> descreve a visão estratégica, </w:t>
      </w:r>
      <w:proofErr w:type="spellStart"/>
      <w:r w:rsidRPr="00236FE5">
        <w:rPr>
          <w:rFonts w:ascii="Garamond" w:eastAsia="Times New Roman" w:hAnsi="Garamond" w:cs="Tahoma"/>
          <w:color w:val="000000"/>
          <w:lang w:val="pt-PT"/>
        </w:rPr>
        <w:t>objetivos</w:t>
      </w:r>
      <w:proofErr w:type="spellEnd"/>
      <w:r w:rsidRPr="00236FE5">
        <w:rPr>
          <w:rFonts w:ascii="Garamond" w:eastAsia="Times New Roman" w:hAnsi="Garamond" w:cs="Tahoma"/>
          <w:color w:val="000000"/>
          <w:lang w:val="pt-PT"/>
        </w:rPr>
        <w:t xml:space="preserve"> e abordagens do Governo para </w:t>
      </w:r>
      <w:r>
        <w:rPr>
          <w:rFonts w:ascii="Garamond" w:eastAsia="Times New Roman" w:hAnsi="Garamond" w:cs="Tahoma"/>
          <w:color w:val="000000"/>
          <w:lang w:val="pt-PT"/>
        </w:rPr>
        <w:t>a realização de</w:t>
      </w:r>
      <w:r w:rsidRPr="00236FE5">
        <w:rPr>
          <w:rFonts w:ascii="Garamond" w:eastAsia="Times New Roman" w:hAnsi="Garamond" w:cs="Tahoma"/>
          <w:color w:val="000000"/>
          <w:lang w:val="pt-PT"/>
        </w:rPr>
        <w:t xml:space="preserve"> esforços para alcançar a igualdade de género e empoderar as mulheres e meninas. O Plano considera </w:t>
      </w:r>
      <w:r>
        <w:rPr>
          <w:rFonts w:ascii="Garamond" w:eastAsia="Times New Roman" w:hAnsi="Garamond" w:cs="Tahoma"/>
          <w:color w:val="000000"/>
          <w:lang w:val="pt-PT"/>
        </w:rPr>
        <w:t>os pr</w:t>
      </w:r>
      <w:r w:rsidR="00D23662">
        <w:rPr>
          <w:rFonts w:ascii="Garamond" w:eastAsia="Times New Roman" w:hAnsi="Garamond" w:cs="Tahoma"/>
          <w:color w:val="000000"/>
          <w:lang w:val="pt-PT"/>
        </w:rPr>
        <w:t>o</w:t>
      </w:r>
      <w:r>
        <w:rPr>
          <w:rFonts w:ascii="Garamond" w:eastAsia="Times New Roman" w:hAnsi="Garamond" w:cs="Tahoma"/>
          <w:color w:val="000000"/>
          <w:lang w:val="pt-PT"/>
        </w:rPr>
        <w:t xml:space="preserve">gressos, os desafios e </w:t>
      </w:r>
      <w:r w:rsidRPr="00236FE5">
        <w:rPr>
          <w:rFonts w:ascii="Garamond" w:eastAsia="Times New Roman" w:hAnsi="Garamond" w:cs="Tahoma"/>
          <w:color w:val="000000"/>
          <w:lang w:val="pt-PT"/>
        </w:rPr>
        <w:t xml:space="preserve">as lições aprendidas ao longo da implementação do último </w:t>
      </w:r>
      <w:proofErr w:type="spellStart"/>
      <w:r w:rsidRPr="00236FE5">
        <w:rPr>
          <w:rFonts w:ascii="Garamond" w:eastAsia="Times New Roman" w:hAnsi="Garamond" w:cs="Tahoma"/>
          <w:color w:val="000000"/>
          <w:lang w:val="pt-PT"/>
        </w:rPr>
        <w:t>PNIG</w:t>
      </w:r>
      <w:proofErr w:type="spellEnd"/>
      <w:r w:rsidRPr="00236FE5">
        <w:rPr>
          <w:rFonts w:ascii="Garamond" w:eastAsia="Times New Roman" w:hAnsi="Garamond" w:cs="Tahoma"/>
          <w:color w:val="000000"/>
          <w:lang w:val="pt-PT"/>
        </w:rPr>
        <w:t xml:space="preserve"> e procura capitalizar as boas praticas, no sentido de sua ampliação territorial e consolidação pr</w:t>
      </w:r>
      <w:r w:rsidR="00D23662">
        <w:rPr>
          <w:rFonts w:ascii="Garamond" w:eastAsia="Times New Roman" w:hAnsi="Garamond" w:cs="Tahoma"/>
          <w:color w:val="000000"/>
          <w:lang w:val="pt-PT"/>
        </w:rPr>
        <w:t>á</w:t>
      </w:r>
      <w:r w:rsidRPr="00236FE5">
        <w:rPr>
          <w:rFonts w:ascii="Garamond" w:eastAsia="Times New Roman" w:hAnsi="Garamond" w:cs="Tahoma"/>
          <w:color w:val="000000"/>
          <w:lang w:val="pt-PT"/>
        </w:rPr>
        <w:t xml:space="preserve">tica em termos de resultados impactantes. Baseia-se igualmente nas conclusões e recomendações do recente exercício de revisão e avaliação de 25 anos de implementação da Declaração e Plataforma de </w:t>
      </w:r>
      <w:proofErr w:type="spellStart"/>
      <w:r w:rsidRPr="00236FE5">
        <w:rPr>
          <w:rFonts w:ascii="Garamond" w:eastAsia="Times New Roman" w:hAnsi="Garamond" w:cs="Tahoma"/>
          <w:color w:val="000000"/>
          <w:lang w:val="pt-PT"/>
        </w:rPr>
        <w:t>Ação</w:t>
      </w:r>
      <w:proofErr w:type="spellEnd"/>
      <w:r w:rsidRPr="00236FE5">
        <w:rPr>
          <w:rFonts w:ascii="Garamond" w:eastAsia="Times New Roman" w:hAnsi="Garamond" w:cs="Tahoma"/>
          <w:color w:val="000000"/>
          <w:lang w:val="pt-PT"/>
        </w:rPr>
        <w:t xml:space="preserve"> de </w:t>
      </w:r>
      <w:proofErr w:type="spellStart"/>
      <w:r w:rsidR="00D23662">
        <w:rPr>
          <w:rFonts w:ascii="Garamond" w:eastAsia="Times New Roman" w:hAnsi="Garamond" w:cs="Tahoma"/>
          <w:color w:val="000000"/>
          <w:lang w:val="pt-PT"/>
        </w:rPr>
        <w:t>Beijing</w:t>
      </w:r>
      <w:proofErr w:type="spellEnd"/>
      <w:r w:rsidRPr="00236FE5">
        <w:rPr>
          <w:rFonts w:ascii="Garamond" w:eastAsia="Times New Roman" w:hAnsi="Garamond" w:cs="Tahoma"/>
          <w:color w:val="000000"/>
          <w:lang w:val="pt-PT"/>
        </w:rPr>
        <w:t xml:space="preserve"> em Cabo Verde, bem como nas conclusões e recomendações </w:t>
      </w:r>
      <w:r w:rsidR="00D23662">
        <w:rPr>
          <w:rFonts w:ascii="Garamond" w:eastAsia="Times New Roman" w:hAnsi="Garamond" w:cs="Tahoma"/>
          <w:color w:val="000000"/>
          <w:lang w:val="pt-PT"/>
        </w:rPr>
        <w:t xml:space="preserve">a Cabo Verde </w:t>
      </w:r>
      <w:r w:rsidRPr="00236FE5">
        <w:rPr>
          <w:rFonts w:ascii="Garamond" w:eastAsia="Times New Roman" w:hAnsi="Garamond" w:cs="Tahoma"/>
          <w:color w:val="000000"/>
          <w:lang w:val="pt-PT"/>
        </w:rPr>
        <w:t xml:space="preserve">do </w:t>
      </w:r>
      <w:r w:rsidR="00D23662">
        <w:rPr>
          <w:rFonts w:ascii="Garamond" w:eastAsia="Times New Roman" w:hAnsi="Garamond" w:cs="Tahoma"/>
          <w:color w:val="000000"/>
          <w:lang w:val="pt-PT"/>
        </w:rPr>
        <w:t>C</w:t>
      </w:r>
      <w:r w:rsidRPr="00236FE5">
        <w:rPr>
          <w:rFonts w:ascii="Garamond" w:eastAsia="Times New Roman" w:hAnsi="Garamond" w:cs="Tahoma"/>
          <w:color w:val="000000"/>
          <w:lang w:val="pt-PT"/>
        </w:rPr>
        <w:t xml:space="preserve">omité da </w:t>
      </w:r>
      <w:proofErr w:type="spellStart"/>
      <w:r w:rsidRPr="00236FE5">
        <w:rPr>
          <w:rFonts w:ascii="Garamond" w:eastAsia="Times New Roman" w:hAnsi="Garamond" w:cs="Tahoma"/>
          <w:color w:val="000000"/>
          <w:lang w:val="pt-PT"/>
        </w:rPr>
        <w:t>CEDAW</w:t>
      </w:r>
      <w:proofErr w:type="spellEnd"/>
      <w:r w:rsidRPr="00236FE5">
        <w:rPr>
          <w:rFonts w:ascii="Garamond" w:eastAsia="Times New Roman" w:hAnsi="Garamond" w:cs="Tahoma"/>
          <w:color w:val="000000"/>
          <w:lang w:val="pt-PT"/>
        </w:rPr>
        <w:t xml:space="preserve">, saídas </w:t>
      </w:r>
      <w:r>
        <w:rPr>
          <w:rFonts w:ascii="Garamond" w:eastAsia="Times New Roman" w:hAnsi="Garamond" w:cs="Tahoma"/>
          <w:color w:val="000000"/>
          <w:lang w:val="pt-PT"/>
        </w:rPr>
        <w:t>d</w:t>
      </w:r>
      <w:r w:rsidR="00D23662">
        <w:rPr>
          <w:rFonts w:ascii="Garamond" w:eastAsia="Times New Roman" w:hAnsi="Garamond" w:cs="Tahoma"/>
          <w:color w:val="000000"/>
          <w:lang w:val="pt-PT"/>
        </w:rPr>
        <w:t xml:space="preserve">o diálogo </w:t>
      </w:r>
      <w:r>
        <w:rPr>
          <w:rFonts w:ascii="Garamond" w:eastAsia="Times New Roman" w:hAnsi="Garamond" w:cs="Tahoma"/>
          <w:color w:val="000000"/>
          <w:lang w:val="pt-PT"/>
        </w:rPr>
        <w:t>realizad</w:t>
      </w:r>
      <w:r w:rsidR="00D23662">
        <w:rPr>
          <w:rFonts w:ascii="Garamond" w:eastAsia="Times New Roman" w:hAnsi="Garamond" w:cs="Tahoma"/>
          <w:color w:val="000000"/>
          <w:lang w:val="pt-PT"/>
        </w:rPr>
        <w:t>o</w:t>
      </w:r>
      <w:r>
        <w:rPr>
          <w:rFonts w:ascii="Garamond" w:eastAsia="Times New Roman" w:hAnsi="Garamond" w:cs="Tahoma"/>
          <w:color w:val="000000"/>
          <w:lang w:val="pt-PT"/>
        </w:rPr>
        <w:t xml:space="preserve"> a 11 de</w:t>
      </w:r>
      <w:r w:rsidRPr="00236FE5">
        <w:rPr>
          <w:rFonts w:ascii="Garamond" w:eastAsia="Times New Roman" w:hAnsi="Garamond" w:cs="Tahoma"/>
          <w:color w:val="000000"/>
          <w:lang w:val="pt-PT"/>
        </w:rPr>
        <w:t xml:space="preserve"> Julho de 2019</w:t>
      </w:r>
      <w:r>
        <w:rPr>
          <w:rFonts w:ascii="Garamond" w:eastAsia="Times New Roman" w:hAnsi="Garamond" w:cs="Tahoma"/>
          <w:color w:val="000000"/>
          <w:lang w:val="pt-PT"/>
        </w:rPr>
        <w:t>, aquando da análise do IX relatório periódico de Cabo Verde (</w:t>
      </w:r>
      <w:proofErr w:type="spellStart"/>
      <w:r>
        <w:rPr>
          <w:rFonts w:ascii="Garamond" w:eastAsia="Times New Roman" w:hAnsi="Garamond" w:cs="Tahoma"/>
          <w:color w:val="000000"/>
          <w:lang w:val="pt-PT"/>
        </w:rPr>
        <w:t>CEDAW</w:t>
      </w:r>
      <w:proofErr w:type="spellEnd"/>
      <w:r>
        <w:rPr>
          <w:rFonts w:ascii="Garamond" w:eastAsia="Times New Roman" w:hAnsi="Garamond" w:cs="Tahoma"/>
          <w:color w:val="000000"/>
          <w:lang w:val="pt-PT"/>
        </w:rPr>
        <w:t xml:space="preserve">/C/CPV/9). </w:t>
      </w:r>
    </w:p>
    <w:p w14:paraId="7D294F96" w14:textId="4580D002" w:rsidR="00F1265A" w:rsidRDefault="00F1265A" w:rsidP="00F1265A">
      <w:pPr>
        <w:shd w:val="clear" w:color="auto" w:fill="FFFFFF"/>
        <w:spacing w:before="240"/>
        <w:jc w:val="both"/>
        <w:rPr>
          <w:rFonts w:ascii="Garamond" w:eastAsia="Times New Roman" w:hAnsi="Garamond" w:cs="Tahoma"/>
          <w:color w:val="000000"/>
          <w:lang w:val="pt-PT"/>
        </w:rPr>
      </w:pPr>
      <w:r>
        <w:rPr>
          <w:rFonts w:ascii="Garamond" w:eastAsia="Times New Roman" w:hAnsi="Garamond" w:cs="Tahoma"/>
          <w:color w:val="000000"/>
          <w:lang w:val="pt-PT"/>
        </w:rPr>
        <w:t>Enquanto</w:t>
      </w:r>
      <w:r w:rsidRPr="00236FE5">
        <w:rPr>
          <w:rFonts w:ascii="Garamond" w:eastAsia="Times New Roman" w:hAnsi="Garamond" w:cs="Tahoma"/>
          <w:color w:val="000000"/>
          <w:lang w:val="pt-PT"/>
        </w:rPr>
        <w:t xml:space="preserve"> quadro político e estratégico de promoção da igualdade de género no país para os </w:t>
      </w:r>
      <w:r w:rsidRPr="001C50C8">
        <w:rPr>
          <w:rFonts w:ascii="Garamond" w:eastAsia="Times New Roman" w:hAnsi="Garamond" w:cs="Tahoma"/>
          <w:lang w:val="pt-PT"/>
        </w:rPr>
        <w:t xml:space="preserve">próximos </w:t>
      </w:r>
      <w:r w:rsidR="00DE1199">
        <w:rPr>
          <w:rFonts w:ascii="Garamond" w:eastAsia="Times New Roman" w:hAnsi="Garamond" w:cs="Tahoma"/>
          <w:lang w:val="pt-PT"/>
        </w:rPr>
        <w:t>4</w:t>
      </w:r>
      <w:r w:rsidRPr="001C50C8">
        <w:rPr>
          <w:rFonts w:ascii="Garamond" w:eastAsia="Times New Roman" w:hAnsi="Garamond" w:cs="Tahoma"/>
          <w:lang w:val="pt-PT"/>
        </w:rPr>
        <w:t xml:space="preserve"> anos, o plano </w:t>
      </w:r>
      <w:r w:rsidR="00D23662">
        <w:rPr>
          <w:rFonts w:ascii="Garamond" w:eastAsia="Times New Roman" w:hAnsi="Garamond" w:cs="Tahoma"/>
          <w:color w:val="000000"/>
          <w:lang w:val="pt-PT"/>
        </w:rPr>
        <w:t>estabelece</w:t>
      </w:r>
      <w:r>
        <w:rPr>
          <w:rFonts w:ascii="Garamond" w:eastAsia="Times New Roman" w:hAnsi="Garamond" w:cs="Tahoma"/>
          <w:color w:val="000000"/>
          <w:lang w:val="pt-PT"/>
        </w:rPr>
        <w:t>, por um lado,</w:t>
      </w:r>
      <w:r w:rsidRPr="00236FE5">
        <w:rPr>
          <w:rFonts w:ascii="Garamond" w:eastAsia="Times New Roman" w:hAnsi="Garamond" w:cs="Tahoma"/>
          <w:color w:val="000000"/>
          <w:lang w:val="pt-PT"/>
        </w:rPr>
        <w:t xml:space="preserve"> áreas chaves e prioridades de </w:t>
      </w:r>
      <w:proofErr w:type="spellStart"/>
      <w:r w:rsidRPr="00236FE5">
        <w:rPr>
          <w:rFonts w:ascii="Garamond" w:eastAsia="Times New Roman" w:hAnsi="Garamond" w:cs="Tahoma"/>
          <w:color w:val="000000"/>
          <w:lang w:val="pt-PT"/>
        </w:rPr>
        <w:t>ação</w:t>
      </w:r>
      <w:proofErr w:type="spellEnd"/>
      <w:r w:rsidRPr="00236FE5">
        <w:rPr>
          <w:rFonts w:ascii="Garamond" w:eastAsia="Times New Roman" w:hAnsi="Garamond" w:cs="Tahoma"/>
          <w:color w:val="000000"/>
          <w:lang w:val="pt-PT"/>
        </w:rPr>
        <w:t xml:space="preserve"> </w:t>
      </w:r>
      <w:r>
        <w:rPr>
          <w:rFonts w:ascii="Garamond" w:eastAsia="Times New Roman" w:hAnsi="Garamond" w:cs="Tahoma"/>
          <w:color w:val="000000"/>
          <w:lang w:val="pt-PT"/>
        </w:rPr>
        <w:t>espec</w:t>
      </w:r>
      <w:r w:rsidR="00D23662">
        <w:rPr>
          <w:rFonts w:ascii="Garamond" w:eastAsia="Times New Roman" w:hAnsi="Garamond" w:cs="Tahoma"/>
          <w:color w:val="000000"/>
          <w:lang w:val="pt-PT"/>
        </w:rPr>
        <w:t>í</w:t>
      </w:r>
      <w:r>
        <w:rPr>
          <w:rFonts w:ascii="Garamond" w:eastAsia="Times New Roman" w:hAnsi="Garamond" w:cs="Tahoma"/>
          <w:color w:val="000000"/>
          <w:lang w:val="pt-PT"/>
        </w:rPr>
        <w:t xml:space="preserve">ficas </w:t>
      </w:r>
      <w:r w:rsidRPr="00236FE5">
        <w:rPr>
          <w:rFonts w:ascii="Garamond" w:eastAsia="Times New Roman" w:hAnsi="Garamond" w:cs="Tahoma"/>
          <w:color w:val="000000"/>
          <w:lang w:val="pt-PT"/>
        </w:rPr>
        <w:t>para a</w:t>
      </w:r>
      <w:r>
        <w:rPr>
          <w:rFonts w:ascii="Garamond" w:eastAsia="Times New Roman" w:hAnsi="Garamond" w:cs="Tahoma"/>
          <w:color w:val="000000"/>
          <w:lang w:val="pt-PT"/>
        </w:rPr>
        <w:t xml:space="preserve"> redução das disparidades de género e o empoderamento das mulheres, e por outro, medidas para a institucionalização </w:t>
      </w:r>
      <w:proofErr w:type="spellStart"/>
      <w:r>
        <w:rPr>
          <w:rFonts w:ascii="Garamond" w:eastAsia="Times New Roman" w:hAnsi="Garamond" w:cs="Tahoma"/>
          <w:color w:val="000000"/>
          <w:lang w:val="pt-PT"/>
        </w:rPr>
        <w:t>efetiva</w:t>
      </w:r>
      <w:proofErr w:type="spellEnd"/>
      <w:r>
        <w:rPr>
          <w:rFonts w:ascii="Garamond" w:eastAsia="Times New Roman" w:hAnsi="Garamond" w:cs="Tahoma"/>
          <w:color w:val="000000"/>
          <w:lang w:val="pt-PT"/>
        </w:rPr>
        <w:t xml:space="preserve"> da </w:t>
      </w:r>
      <w:proofErr w:type="spellStart"/>
      <w:r>
        <w:rPr>
          <w:rFonts w:ascii="Garamond" w:eastAsia="Times New Roman" w:hAnsi="Garamond" w:cs="Tahoma"/>
          <w:color w:val="000000"/>
          <w:lang w:val="pt-PT"/>
        </w:rPr>
        <w:t>transversaliza</w:t>
      </w:r>
      <w:r w:rsidR="00D23662">
        <w:rPr>
          <w:rFonts w:ascii="Garamond" w:eastAsia="Times New Roman" w:hAnsi="Garamond" w:cs="Tahoma"/>
          <w:color w:val="000000"/>
          <w:lang w:val="pt-PT"/>
        </w:rPr>
        <w:t>ção</w:t>
      </w:r>
      <w:proofErr w:type="spellEnd"/>
      <w:r>
        <w:rPr>
          <w:rFonts w:ascii="Garamond" w:eastAsia="Times New Roman" w:hAnsi="Garamond" w:cs="Tahoma"/>
          <w:color w:val="000000"/>
          <w:lang w:val="pt-PT"/>
        </w:rPr>
        <w:t xml:space="preserve"> da abordagem de género a nível da planificação de pol</w:t>
      </w:r>
      <w:r w:rsidR="00D23662">
        <w:rPr>
          <w:rFonts w:ascii="Garamond" w:eastAsia="Times New Roman" w:hAnsi="Garamond" w:cs="Tahoma"/>
          <w:color w:val="000000"/>
          <w:lang w:val="pt-PT"/>
        </w:rPr>
        <w:t>í</w:t>
      </w:r>
      <w:r>
        <w:rPr>
          <w:rFonts w:ascii="Garamond" w:eastAsia="Times New Roman" w:hAnsi="Garamond" w:cs="Tahoma"/>
          <w:color w:val="000000"/>
          <w:lang w:val="pt-PT"/>
        </w:rPr>
        <w:t xml:space="preserve">ticas, programas e </w:t>
      </w:r>
      <w:proofErr w:type="spellStart"/>
      <w:r>
        <w:rPr>
          <w:rFonts w:ascii="Garamond" w:eastAsia="Times New Roman" w:hAnsi="Garamond" w:cs="Tahoma"/>
          <w:color w:val="000000"/>
          <w:lang w:val="pt-PT"/>
        </w:rPr>
        <w:t>projetos</w:t>
      </w:r>
      <w:proofErr w:type="spellEnd"/>
      <w:r>
        <w:rPr>
          <w:rFonts w:ascii="Garamond" w:eastAsia="Times New Roman" w:hAnsi="Garamond" w:cs="Tahoma"/>
          <w:color w:val="000000"/>
          <w:lang w:val="pt-PT"/>
        </w:rPr>
        <w:t xml:space="preserve"> sectoriais, quer a nível nacional central</w:t>
      </w:r>
      <w:r w:rsidR="00D23662">
        <w:rPr>
          <w:rFonts w:ascii="Garamond" w:eastAsia="Times New Roman" w:hAnsi="Garamond" w:cs="Tahoma"/>
          <w:color w:val="000000"/>
          <w:lang w:val="pt-PT"/>
        </w:rPr>
        <w:t>,</w:t>
      </w:r>
      <w:r>
        <w:rPr>
          <w:rFonts w:ascii="Garamond" w:eastAsia="Times New Roman" w:hAnsi="Garamond" w:cs="Tahoma"/>
          <w:color w:val="000000"/>
          <w:lang w:val="pt-PT"/>
        </w:rPr>
        <w:t xml:space="preserve"> quer a nível local municipal, como estratégia eficaz de consolidação dos ganhos e </w:t>
      </w:r>
      <w:proofErr w:type="spellStart"/>
      <w:r w:rsidR="00D23662">
        <w:rPr>
          <w:rFonts w:ascii="Garamond" w:eastAsia="Times New Roman" w:hAnsi="Garamond" w:cs="Tahoma"/>
          <w:color w:val="000000"/>
          <w:lang w:val="pt-PT"/>
        </w:rPr>
        <w:t>perenização</w:t>
      </w:r>
      <w:proofErr w:type="spellEnd"/>
      <w:r>
        <w:rPr>
          <w:rFonts w:ascii="Garamond" w:eastAsia="Times New Roman" w:hAnsi="Garamond" w:cs="Tahoma"/>
          <w:color w:val="000000"/>
          <w:lang w:val="pt-PT"/>
        </w:rPr>
        <w:t xml:space="preserve"> dos progressos.   </w:t>
      </w:r>
      <w:r w:rsidRPr="00236FE5">
        <w:rPr>
          <w:rFonts w:ascii="Garamond" w:eastAsia="Times New Roman" w:hAnsi="Garamond" w:cs="Tahoma"/>
          <w:color w:val="000000"/>
          <w:lang w:val="pt-PT"/>
        </w:rPr>
        <w:t>Consubstancia-se num documento orientador</w:t>
      </w:r>
      <w:r>
        <w:rPr>
          <w:rFonts w:ascii="Garamond" w:eastAsia="Times New Roman" w:hAnsi="Garamond" w:cs="Tahoma"/>
          <w:color w:val="000000"/>
          <w:lang w:val="pt-PT"/>
        </w:rPr>
        <w:t xml:space="preserve">, que guia as diferentes intervenções e define as atribuições e responsabilidades de implementação, coordenação, seguimento e avaliação de seus vários intervenientes, para uma abordagem coerente, integrada e articulada. </w:t>
      </w:r>
      <w:r w:rsidR="00D23662">
        <w:rPr>
          <w:rFonts w:ascii="Garamond" w:eastAsia="Times New Roman" w:hAnsi="Garamond" w:cs="Tahoma"/>
          <w:color w:val="000000"/>
          <w:lang w:val="pt-PT"/>
        </w:rPr>
        <w:t>P</w:t>
      </w:r>
      <w:r w:rsidRPr="00236FE5">
        <w:rPr>
          <w:rFonts w:ascii="Garamond" w:eastAsia="Times New Roman" w:hAnsi="Garamond" w:cs="Tahoma"/>
          <w:color w:val="000000"/>
          <w:lang w:val="pt-PT"/>
        </w:rPr>
        <w:t>retende contribuir para uma sociedade mais equilibrada, mais coesa e mais igualitária em termos de direitos e oportunidades para mulheres e homens.</w:t>
      </w:r>
      <w:r>
        <w:rPr>
          <w:rFonts w:ascii="Garamond" w:eastAsia="Times New Roman" w:hAnsi="Garamond" w:cs="Tahoma"/>
          <w:color w:val="000000"/>
          <w:lang w:val="pt-PT"/>
        </w:rPr>
        <w:t xml:space="preserve"> O </w:t>
      </w:r>
      <w:proofErr w:type="spellStart"/>
      <w:r>
        <w:rPr>
          <w:rFonts w:ascii="Garamond" w:eastAsia="Times New Roman" w:hAnsi="Garamond" w:cs="Tahoma"/>
          <w:color w:val="000000"/>
          <w:lang w:val="pt-PT"/>
        </w:rPr>
        <w:t>objetivo</w:t>
      </w:r>
      <w:proofErr w:type="spellEnd"/>
      <w:r>
        <w:rPr>
          <w:rFonts w:ascii="Garamond" w:eastAsia="Times New Roman" w:hAnsi="Garamond" w:cs="Tahoma"/>
          <w:color w:val="000000"/>
          <w:lang w:val="pt-PT"/>
        </w:rPr>
        <w:t xml:space="preserve"> a longo prazo e de reduzir as desigualdades de género nas oportunidades e nos resultados sociais, económicos, políticos e culturais e promover o gozo </w:t>
      </w:r>
      <w:proofErr w:type="spellStart"/>
      <w:r>
        <w:rPr>
          <w:rFonts w:ascii="Garamond" w:eastAsia="Times New Roman" w:hAnsi="Garamond" w:cs="Tahoma"/>
          <w:color w:val="000000"/>
          <w:lang w:val="pt-PT"/>
        </w:rPr>
        <w:t>efetivo</w:t>
      </w:r>
      <w:proofErr w:type="spellEnd"/>
      <w:r>
        <w:rPr>
          <w:rFonts w:ascii="Garamond" w:eastAsia="Times New Roman" w:hAnsi="Garamond" w:cs="Tahoma"/>
          <w:color w:val="000000"/>
          <w:lang w:val="pt-PT"/>
        </w:rPr>
        <w:t xml:space="preserve"> dos direitos humanos de mulheres e homens. </w:t>
      </w:r>
    </w:p>
    <w:p w14:paraId="34DF1FC2" w14:textId="04CBE762" w:rsidR="00F1265A" w:rsidRPr="006F039A" w:rsidRDefault="00F1265A" w:rsidP="00F1265A">
      <w:pPr>
        <w:pStyle w:val="NormalWeb"/>
        <w:jc w:val="both"/>
        <w:rPr>
          <w:rFonts w:ascii="Garamond" w:hAnsi="Garamond" w:cs="DaunPenh"/>
          <w:lang w:val="pt-PT"/>
        </w:rPr>
      </w:pPr>
      <w:r>
        <w:rPr>
          <w:rFonts w:ascii="Garamond" w:hAnsi="Garamond" w:cs="Tahoma"/>
          <w:color w:val="000000"/>
          <w:lang w:val="pt-PT"/>
        </w:rPr>
        <w:t xml:space="preserve">O </w:t>
      </w:r>
      <w:proofErr w:type="spellStart"/>
      <w:r>
        <w:rPr>
          <w:rFonts w:ascii="Garamond" w:hAnsi="Garamond" w:cs="Tahoma"/>
          <w:color w:val="000000"/>
          <w:lang w:val="pt-PT"/>
        </w:rPr>
        <w:t>PNIG</w:t>
      </w:r>
      <w:proofErr w:type="spellEnd"/>
      <w:r>
        <w:rPr>
          <w:rFonts w:ascii="Garamond" w:hAnsi="Garamond" w:cs="Tahoma"/>
          <w:color w:val="000000"/>
          <w:lang w:val="pt-PT"/>
        </w:rPr>
        <w:t xml:space="preserve"> 2019-</w:t>
      </w:r>
      <w:r w:rsidRPr="00861830">
        <w:rPr>
          <w:rFonts w:ascii="Garamond" w:hAnsi="Garamond" w:cs="Tahoma"/>
          <w:lang w:val="pt-PT"/>
        </w:rPr>
        <w:t>202</w:t>
      </w:r>
      <w:r w:rsidR="00861830">
        <w:rPr>
          <w:rFonts w:ascii="Garamond" w:hAnsi="Garamond" w:cs="Tahoma"/>
          <w:lang w:val="pt-PT"/>
        </w:rPr>
        <w:t>3</w:t>
      </w:r>
      <w:r>
        <w:rPr>
          <w:rFonts w:ascii="Garamond" w:hAnsi="Garamond" w:cs="Tahoma"/>
          <w:color w:val="000000"/>
          <w:lang w:val="pt-PT"/>
        </w:rPr>
        <w:t xml:space="preserve"> pretende alinhar-se com o novo contexto de planificação nacional e harmonizar-se com as </w:t>
      </w:r>
      <w:proofErr w:type="spellStart"/>
      <w:r>
        <w:rPr>
          <w:rFonts w:ascii="Garamond" w:hAnsi="Garamond" w:cs="Tahoma"/>
          <w:color w:val="000000"/>
          <w:lang w:val="pt-PT"/>
        </w:rPr>
        <w:t>atuais</w:t>
      </w:r>
      <w:proofErr w:type="spellEnd"/>
      <w:r>
        <w:rPr>
          <w:rFonts w:ascii="Garamond" w:hAnsi="Garamond" w:cs="Tahoma"/>
          <w:color w:val="000000"/>
          <w:lang w:val="pt-PT"/>
        </w:rPr>
        <w:t xml:space="preserve"> aspirações e metas nacionais. Pretende igualmente </w:t>
      </w:r>
      <w:proofErr w:type="spellStart"/>
      <w:r>
        <w:rPr>
          <w:rFonts w:ascii="Garamond" w:hAnsi="Garamond" w:cs="Tahoma"/>
          <w:color w:val="000000"/>
          <w:lang w:val="pt-PT"/>
        </w:rPr>
        <w:t>atualizar</w:t>
      </w:r>
      <w:proofErr w:type="spellEnd"/>
      <w:r>
        <w:rPr>
          <w:rFonts w:ascii="Garamond" w:hAnsi="Garamond" w:cs="Tahoma"/>
          <w:color w:val="000000"/>
          <w:lang w:val="pt-PT"/>
        </w:rPr>
        <w:t xml:space="preserve"> as estratégias e as metas, </w:t>
      </w:r>
      <w:r w:rsidR="00DE30C2">
        <w:rPr>
          <w:rFonts w:ascii="Garamond" w:hAnsi="Garamond" w:cs="Tahoma"/>
          <w:color w:val="000000"/>
          <w:lang w:val="pt-PT"/>
        </w:rPr>
        <w:t>à</w:t>
      </w:r>
      <w:r>
        <w:rPr>
          <w:rFonts w:ascii="Garamond" w:hAnsi="Garamond" w:cs="Tahoma"/>
          <w:color w:val="000000"/>
          <w:lang w:val="pt-PT"/>
        </w:rPr>
        <w:t xml:space="preserve"> luz das oportunidades existentes, dos desenvolvimentos de género </w:t>
      </w:r>
      <w:r w:rsidR="00DE30C2">
        <w:rPr>
          <w:rFonts w:ascii="Garamond" w:hAnsi="Garamond" w:cs="Tahoma"/>
          <w:color w:val="000000"/>
          <w:lang w:val="pt-PT"/>
        </w:rPr>
        <w:t>no</w:t>
      </w:r>
      <w:r>
        <w:rPr>
          <w:rFonts w:ascii="Garamond" w:hAnsi="Garamond" w:cs="Tahoma"/>
          <w:color w:val="000000"/>
          <w:lang w:val="pt-PT"/>
        </w:rPr>
        <w:t xml:space="preserve"> país e das recomendações internacionais</w:t>
      </w:r>
      <w:r w:rsidR="00DE30C2">
        <w:rPr>
          <w:rFonts w:ascii="Garamond" w:hAnsi="Garamond" w:cs="Tahoma"/>
          <w:color w:val="000000"/>
          <w:lang w:val="pt-PT"/>
        </w:rPr>
        <w:t xml:space="preserve"> ao país na matéria</w:t>
      </w:r>
      <w:r>
        <w:rPr>
          <w:rFonts w:ascii="Garamond" w:hAnsi="Garamond" w:cs="Tahoma"/>
          <w:color w:val="000000"/>
          <w:lang w:val="pt-PT"/>
        </w:rPr>
        <w:t xml:space="preserve">. O </w:t>
      </w:r>
      <w:proofErr w:type="spellStart"/>
      <w:r>
        <w:rPr>
          <w:rFonts w:ascii="Garamond" w:hAnsi="Garamond" w:cs="Tahoma"/>
          <w:color w:val="000000"/>
          <w:lang w:val="pt-PT"/>
        </w:rPr>
        <w:t>PNIG</w:t>
      </w:r>
      <w:proofErr w:type="spellEnd"/>
      <w:r>
        <w:rPr>
          <w:rFonts w:ascii="Garamond" w:hAnsi="Garamond" w:cs="Tahoma"/>
          <w:color w:val="000000"/>
          <w:lang w:val="pt-PT"/>
        </w:rPr>
        <w:t xml:space="preserve"> identifica ainda oportunidades de sinergia e de integração com outras iniciativas em curso no país, baseado na premissa do estabelecimento de parcerias e esforços conjuntos, como elemento chave do sucesso de sua implementação e </w:t>
      </w:r>
      <w:proofErr w:type="spellStart"/>
      <w:r>
        <w:rPr>
          <w:rFonts w:ascii="Garamond" w:hAnsi="Garamond" w:cs="Tahoma"/>
          <w:color w:val="000000"/>
          <w:lang w:val="pt-PT"/>
        </w:rPr>
        <w:t>efetividade</w:t>
      </w:r>
      <w:proofErr w:type="spellEnd"/>
      <w:r>
        <w:rPr>
          <w:rFonts w:ascii="Garamond" w:hAnsi="Garamond" w:cs="Tahoma"/>
          <w:color w:val="000000"/>
          <w:lang w:val="pt-PT"/>
        </w:rPr>
        <w:t xml:space="preserve">. </w:t>
      </w:r>
      <w:r w:rsidRPr="006F039A">
        <w:rPr>
          <w:rFonts w:ascii="Garamond" w:hAnsi="Garamond" w:cs="DaunPenh"/>
          <w:lang w:val="pt-PT"/>
        </w:rPr>
        <w:t xml:space="preserve">O sucesso da implementação do </w:t>
      </w:r>
      <w:proofErr w:type="spellStart"/>
      <w:r w:rsidRPr="006F039A">
        <w:rPr>
          <w:rFonts w:ascii="Garamond" w:hAnsi="Garamond" w:cs="DaunPenh"/>
          <w:lang w:val="pt-PT"/>
        </w:rPr>
        <w:t>PNIG</w:t>
      </w:r>
      <w:proofErr w:type="spellEnd"/>
      <w:r w:rsidRPr="006F039A">
        <w:rPr>
          <w:rFonts w:ascii="Garamond" w:hAnsi="Garamond" w:cs="DaunPenh"/>
          <w:lang w:val="pt-PT"/>
        </w:rPr>
        <w:t xml:space="preserve"> </w:t>
      </w:r>
      <w:r>
        <w:rPr>
          <w:rFonts w:ascii="Garamond" w:hAnsi="Garamond" w:cs="DaunPenh"/>
          <w:lang w:val="pt-PT"/>
        </w:rPr>
        <w:t xml:space="preserve">depende do engajamento e da </w:t>
      </w:r>
      <w:proofErr w:type="spellStart"/>
      <w:r>
        <w:rPr>
          <w:rFonts w:ascii="Garamond" w:hAnsi="Garamond" w:cs="DaunPenh"/>
          <w:lang w:val="pt-PT"/>
        </w:rPr>
        <w:t>coresponsabilização</w:t>
      </w:r>
      <w:proofErr w:type="spellEnd"/>
      <w:r>
        <w:rPr>
          <w:rFonts w:ascii="Garamond" w:hAnsi="Garamond" w:cs="DaunPenh"/>
          <w:lang w:val="pt-PT"/>
        </w:rPr>
        <w:t xml:space="preserve"> de todos os </w:t>
      </w:r>
      <w:proofErr w:type="spellStart"/>
      <w:r>
        <w:rPr>
          <w:rFonts w:ascii="Garamond" w:hAnsi="Garamond" w:cs="DaunPenh"/>
          <w:lang w:val="pt-PT"/>
        </w:rPr>
        <w:t>atores</w:t>
      </w:r>
      <w:proofErr w:type="spellEnd"/>
      <w:r>
        <w:rPr>
          <w:rFonts w:ascii="Garamond" w:hAnsi="Garamond" w:cs="DaunPenh"/>
          <w:lang w:val="pt-PT"/>
        </w:rPr>
        <w:t xml:space="preserve"> e intervenientes, do grau de apropriação dos mesmos e do apoio ao desenvolvimento das capacidades das diferentes organizações e instituições.</w:t>
      </w:r>
    </w:p>
    <w:p w14:paraId="6ED22F77" w14:textId="77777777" w:rsidR="00F1265A" w:rsidRPr="001121BE" w:rsidRDefault="00F1265A" w:rsidP="00F1265A">
      <w:pPr>
        <w:jc w:val="both"/>
        <w:rPr>
          <w:rFonts w:ascii="Garamond" w:hAnsi="Garamond" w:cs="Arial"/>
          <w:lang w:val="pt-PT"/>
        </w:rPr>
      </w:pPr>
      <w:r w:rsidRPr="001121BE">
        <w:rPr>
          <w:rFonts w:ascii="Garamond" w:hAnsi="Garamond" w:cs="Arial"/>
          <w:lang w:val="pt-PT"/>
        </w:rPr>
        <w:t>O Plano constitui uma referência nacional e um instrumento de trabalho para a promoção da igualdade de género em Cabo Verde, na medida em que:</w:t>
      </w:r>
    </w:p>
    <w:p w14:paraId="1073C7D8" w14:textId="77777777" w:rsidR="00F1265A" w:rsidRPr="001121BE" w:rsidRDefault="00F1265A" w:rsidP="00152725">
      <w:pPr>
        <w:numPr>
          <w:ilvl w:val="0"/>
          <w:numId w:val="1"/>
        </w:numPr>
        <w:jc w:val="both"/>
        <w:rPr>
          <w:rFonts w:ascii="Garamond" w:hAnsi="Garamond" w:cs="Arial"/>
          <w:lang w:val="pt-PT"/>
        </w:rPr>
      </w:pPr>
      <w:r w:rsidRPr="001121BE">
        <w:rPr>
          <w:rFonts w:ascii="Garamond" w:hAnsi="Garamond" w:cs="Arial"/>
          <w:lang w:val="pt-PT"/>
        </w:rPr>
        <w:t>Constitui um instrumento estratégico nacional de promoção da igualdade de género e dos direitos humanos das mulheres;</w:t>
      </w:r>
    </w:p>
    <w:p w14:paraId="44C65441" w14:textId="3B45E546" w:rsidR="00F1265A" w:rsidRPr="001121BE" w:rsidRDefault="00955FDF" w:rsidP="00152725">
      <w:pPr>
        <w:numPr>
          <w:ilvl w:val="0"/>
          <w:numId w:val="1"/>
        </w:numPr>
        <w:jc w:val="both"/>
        <w:rPr>
          <w:rFonts w:ascii="Garamond" w:hAnsi="Garamond" w:cs="Arial"/>
          <w:lang w:val="pt-PT"/>
        </w:rPr>
      </w:pPr>
      <w:r>
        <w:rPr>
          <w:rFonts w:ascii="Garamond" w:hAnsi="Garamond" w:cs="Arial"/>
          <w:lang w:val="pt-PT"/>
        </w:rPr>
        <w:t>Consiste n</w:t>
      </w:r>
      <w:r w:rsidR="00F1265A" w:rsidRPr="001121BE">
        <w:rPr>
          <w:rFonts w:ascii="Garamond" w:hAnsi="Garamond" w:cs="Arial"/>
          <w:lang w:val="pt-PT"/>
        </w:rPr>
        <w:t>uma agenda</w:t>
      </w:r>
      <w:r>
        <w:rPr>
          <w:rFonts w:ascii="Garamond" w:hAnsi="Garamond" w:cs="Arial"/>
          <w:lang w:val="pt-PT"/>
        </w:rPr>
        <w:t xml:space="preserve"> comum</w:t>
      </w:r>
      <w:r w:rsidR="00F1265A" w:rsidRPr="001121BE">
        <w:rPr>
          <w:rFonts w:ascii="Garamond" w:hAnsi="Garamond" w:cs="Arial"/>
          <w:lang w:val="pt-PT"/>
        </w:rPr>
        <w:t xml:space="preserve"> </w:t>
      </w:r>
      <w:r w:rsidR="00DE30C2">
        <w:rPr>
          <w:rFonts w:ascii="Garamond" w:hAnsi="Garamond" w:cs="Arial"/>
          <w:lang w:val="pt-PT"/>
        </w:rPr>
        <w:t xml:space="preserve">para </w:t>
      </w:r>
      <w:r w:rsidR="00F1265A" w:rsidRPr="001121BE">
        <w:rPr>
          <w:rFonts w:ascii="Garamond" w:hAnsi="Garamond" w:cs="Arial"/>
          <w:lang w:val="pt-PT"/>
        </w:rPr>
        <w:t xml:space="preserve">os diferentes </w:t>
      </w:r>
      <w:proofErr w:type="spellStart"/>
      <w:r w:rsidR="00F1265A" w:rsidRPr="001121BE">
        <w:rPr>
          <w:rFonts w:ascii="Garamond" w:hAnsi="Garamond" w:cs="Arial"/>
          <w:lang w:val="pt-PT"/>
        </w:rPr>
        <w:t>atores</w:t>
      </w:r>
      <w:proofErr w:type="spellEnd"/>
      <w:r w:rsidR="00F1265A" w:rsidRPr="001121BE">
        <w:rPr>
          <w:rFonts w:ascii="Garamond" w:hAnsi="Garamond" w:cs="Arial"/>
          <w:lang w:val="pt-PT"/>
        </w:rPr>
        <w:t xml:space="preserve"> (Governo, Sociedade Civil Organizada, Sector Privado e Parceiros de Desenvolvimento) para o desenvolvimento de </w:t>
      </w:r>
      <w:proofErr w:type="spellStart"/>
      <w:r w:rsidR="00F1265A" w:rsidRPr="001121BE">
        <w:rPr>
          <w:rFonts w:ascii="Garamond" w:hAnsi="Garamond" w:cs="Arial"/>
          <w:lang w:val="pt-PT"/>
        </w:rPr>
        <w:t>ações</w:t>
      </w:r>
      <w:proofErr w:type="spellEnd"/>
      <w:r w:rsidR="00F1265A" w:rsidRPr="001121BE">
        <w:rPr>
          <w:rFonts w:ascii="Garamond" w:hAnsi="Garamond" w:cs="Arial"/>
          <w:lang w:val="pt-PT"/>
        </w:rPr>
        <w:t xml:space="preserve"> que garantam a igualdade </w:t>
      </w:r>
      <w:proofErr w:type="spellStart"/>
      <w:r w:rsidR="00F1265A" w:rsidRPr="001121BE">
        <w:rPr>
          <w:rFonts w:ascii="Garamond" w:hAnsi="Garamond" w:cs="Arial"/>
          <w:lang w:val="pt-PT"/>
        </w:rPr>
        <w:t>efetiva</w:t>
      </w:r>
      <w:proofErr w:type="spellEnd"/>
      <w:r w:rsidR="00F1265A" w:rsidRPr="001121BE">
        <w:rPr>
          <w:rFonts w:ascii="Garamond" w:hAnsi="Garamond" w:cs="Arial"/>
          <w:lang w:val="pt-PT"/>
        </w:rPr>
        <w:t xml:space="preserve"> entre mulheres e homens;</w:t>
      </w:r>
    </w:p>
    <w:p w14:paraId="079B1097" w14:textId="77777777" w:rsidR="00F1265A" w:rsidRPr="001121BE" w:rsidRDefault="00F1265A" w:rsidP="00152725">
      <w:pPr>
        <w:numPr>
          <w:ilvl w:val="0"/>
          <w:numId w:val="1"/>
        </w:numPr>
        <w:jc w:val="both"/>
        <w:rPr>
          <w:rFonts w:ascii="Garamond" w:hAnsi="Garamond" w:cs="Times New Roman"/>
          <w:lang w:val="pt-PT"/>
        </w:rPr>
      </w:pPr>
      <w:r w:rsidRPr="001121BE">
        <w:rPr>
          <w:rFonts w:ascii="Garamond" w:hAnsi="Garamond" w:cs="Arial"/>
          <w:lang w:val="pt-PT"/>
        </w:rPr>
        <w:t>Possibilita a coordenação, a monitorização e avaliação do desempenho do país no cumprimento de suas metas nacionais relativamente a igualdade de género e a seus compromissos internacionais nessa matéria.</w:t>
      </w:r>
    </w:p>
    <w:p w14:paraId="62D83590" w14:textId="2B74E5A5" w:rsidR="00F1265A" w:rsidRPr="001121BE" w:rsidRDefault="00F1265A" w:rsidP="00F1265A">
      <w:pPr>
        <w:shd w:val="clear" w:color="auto" w:fill="FFFFFF"/>
        <w:spacing w:before="240"/>
        <w:jc w:val="both"/>
        <w:rPr>
          <w:rFonts w:ascii="Garamond" w:eastAsia="Times New Roman" w:hAnsi="Garamond" w:cs="Tahoma"/>
          <w:color w:val="000000"/>
          <w:lang w:val="pt-PT"/>
        </w:rPr>
      </w:pPr>
      <w:r w:rsidRPr="001121BE">
        <w:rPr>
          <w:rFonts w:ascii="Garamond" w:eastAsia="Times New Roman" w:hAnsi="Garamond" w:cs="Tahoma"/>
          <w:color w:val="000000"/>
          <w:lang w:val="pt-PT"/>
        </w:rPr>
        <w:t xml:space="preserve">Especificamente, o </w:t>
      </w:r>
      <w:proofErr w:type="spellStart"/>
      <w:r w:rsidRPr="001121BE">
        <w:rPr>
          <w:rFonts w:ascii="Garamond" w:eastAsia="Times New Roman" w:hAnsi="Garamond" w:cs="Tahoma"/>
          <w:color w:val="000000"/>
          <w:lang w:val="pt-PT"/>
        </w:rPr>
        <w:t>PNIG</w:t>
      </w:r>
      <w:proofErr w:type="spellEnd"/>
      <w:r w:rsidRPr="001121BE">
        <w:rPr>
          <w:rFonts w:ascii="Garamond" w:eastAsia="Times New Roman" w:hAnsi="Garamond" w:cs="Tahoma"/>
          <w:color w:val="000000"/>
          <w:lang w:val="pt-PT"/>
        </w:rPr>
        <w:t xml:space="preserve"> 2019-202</w:t>
      </w:r>
      <w:r w:rsidR="00861830">
        <w:rPr>
          <w:rFonts w:ascii="Garamond" w:eastAsia="Times New Roman" w:hAnsi="Garamond" w:cs="Tahoma"/>
          <w:color w:val="000000"/>
          <w:lang w:val="pt-PT"/>
        </w:rPr>
        <w:t>3</w:t>
      </w:r>
      <w:r w:rsidRPr="001121BE">
        <w:rPr>
          <w:rFonts w:ascii="Garamond" w:eastAsia="Times New Roman" w:hAnsi="Garamond" w:cs="Tahoma"/>
          <w:color w:val="000000"/>
          <w:lang w:val="pt-PT"/>
        </w:rPr>
        <w:t xml:space="preserve"> pretende: </w:t>
      </w:r>
    </w:p>
    <w:p w14:paraId="1B8BC4CF" w14:textId="77777777" w:rsidR="00F1265A" w:rsidRPr="001121BE" w:rsidRDefault="00F1265A" w:rsidP="00152725">
      <w:pPr>
        <w:pStyle w:val="PargrafodaLista"/>
        <w:numPr>
          <w:ilvl w:val="0"/>
          <w:numId w:val="2"/>
        </w:numPr>
        <w:shd w:val="clear" w:color="auto" w:fill="FFFFFF"/>
        <w:spacing w:before="240"/>
        <w:jc w:val="both"/>
        <w:rPr>
          <w:rFonts w:ascii="Garamond" w:eastAsia="Times New Roman" w:hAnsi="Garamond" w:cs="Tahoma"/>
          <w:color w:val="000000"/>
          <w:lang w:val="pt-PT"/>
        </w:rPr>
      </w:pPr>
      <w:r w:rsidRPr="001121BE">
        <w:rPr>
          <w:rFonts w:ascii="Garamond" w:eastAsia="Times New Roman" w:hAnsi="Garamond" w:cs="Tahoma"/>
          <w:color w:val="000000"/>
          <w:lang w:val="pt-PT"/>
        </w:rPr>
        <w:t xml:space="preserve">Criar um ambiente propício para a igualdade de género e o empoderamento das mulheres, abordando os </w:t>
      </w:r>
      <w:proofErr w:type="spellStart"/>
      <w:r w:rsidRPr="001121BE">
        <w:rPr>
          <w:rFonts w:ascii="Garamond" w:eastAsia="Times New Roman" w:hAnsi="Garamond" w:cs="Tahoma"/>
          <w:color w:val="000000"/>
          <w:lang w:val="pt-PT"/>
        </w:rPr>
        <w:t>fatores</w:t>
      </w:r>
      <w:proofErr w:type="spellEnd"/>
      <w:r w:rsidRPr="001121BE">
        <w:rPr>
          <w:rFonts w:ascii="Garamond" w:eastAsia="Times New Roman" w:hAnsi="Garamond" w:cs="Tahoma"/>
          <w:color w:val="000000"/>
          <w:lang w:val="pt-PT"/>
        </w:rPr>
        <w:t xml:space="preserve"> que contribuem para as desigualdades de género em Cabo Verde;</w:t>
      </w:r>
    </w:p>
    <w:p w14:paraId="5C09F777" w14:textId="77777777" w:rsidR="00F1265A" w:rsidRPr="001121BE" w:rsidRDefault="00F1265A" w:rsidP="00152725">
      <w:pPr>
        <w:pStyle w:val="PargrafodaLista"/>
        <w:numPr>
          <w:ilvl w:val="0"/>
          <w:numId w:val="2"/>
        </w:numPr>
        <w:shd w:val="clear" w:color="auto" w:fill="FFFFFF"/>
        <w:spacing w:before="240"/>
        <w:jc w:val="both"/>
        <w:rPr>
          <w:rFonts w:ascii="Garamond" w:eastAsia="Times New Roman" w:hAnsi="Garamond" w:cs="Tahoma"/>
          <w:color w:val="000000"/>
          <w:lang w:val="pt-PT"/>
        </w:rPr>
      </w:pPr>
      <w:r w:rsidRPr="001121BE">
        <w:rPr>
          <w:rFonts w:ascii="Garamond" w:eastAsia="Times New Roman" w:hAnsi="Garamond" w:cs="Tahoma"/>
          <w:color w:val="000000"/>
          <w:lang w:val="pt-PT"/>
        </w:rPr>
        <w:t>Reforçar as capacidades nacionais para a implementação, coordenação, monitorização, avaliação e prestação de contas relativamente a iniciativas de promoção da igualdade de género e empoderamento das mulheres e meninas;</w:t>
      </w:r>
    </w:p>
    <w:p w14:paraId="056767E7" w14:textId="77777777" w:rsidR="00F1265A" w:rsidRPr="00B962F7" w:rsidRDefault="00F1265A" w:rsidP="00152725">
      <w:pPr>
        <w:pStyle w:val="PargrafodaLista"/>
        <w:numPr>
          <w:ilvl w:val="0"/>
          <w:numId w:val="2"/>
        </w:numPr>
        <w:shd w:val="clear" w:color="auto" w:fill="FFFFFF"/>
        <w:spacing w:before="240"/>
        <w:jc w:val="both"/>
        <w:rPr>
          <w:rFonts w:ascii="Garamond" w:eastAsia="Times New Roman" w:hAnsi="Garamond" w:cs="Tahoma"/>
          <w:color w:val="000000"/>
          <w:lang w:val="pt-PT"/>
        </w:rPr>
      </w:pPr>
      <w:r w:rsidRPr="001121BE">
        <w:rPr>
          <w:rFonts w:ascii="Garamond" w:eastAsia="Times New Roman" w:hAnsi="Garamond" w:cs="Tahoma"/>
          <w:color w:val="000000"/>
          <w:lang w:val="pt-PT"/>
        </w:rPr>
        <w:t>Reforçar e promover a integração da abordagem de género nos processos de planificação nacional, formulação de políticas, legislação e sua implementação</w:t>
      </w:r>
      <w:r>
        <w:rPr>
          <w:rFonts w:ascii="Garamond" w:eastAsia="Times New Roman" w:hAnsi="Garamond" w:cs="Tahoma"/>
          <w:color w:val="000000"/>
          <w:lang w:val="pt-PT"/>
        </w:rPr>
        <w:t>.</w:t>
      </w:r>
    </w:p>
    <w:p w14:paraId="6B09A9F6" w14:textId="77777777" w:rsidR="00F1265A" w:rsidRDefault="00F1265A" w:rsidP="00F1265A">
      <w:pPr>
        <w:spacing w:line="276" w:lineRule="auto"/>
        <w:jc w:val="both"/>
        <w:rPr>
          <w:rFonts w:ascii="Garamond" w:hAnsi="Garamond" w:cs="Times New Roman"/>
          <w:i/>
          <w:color w:val="FF0000"/>
          <w:lang w:val="pt-PT"/>
        </w:rPr>
      </w:pPr>
    </w:p>
    <w:p w14:paraId="5D5C78BF" w14:textId="7CD6F877" w:rsidR="004F1905" w:rsidRPr="00CD09C2" w:rsidRDefault="004F1905" w:rsidP="00CD09C2">
      <w:pPr>
        <w:pStyle w:val="PargrafodaLista"/>
        <w:spacing w:line="276" w:lineRule="auto"/>
        <w:ind w:left="0"/>
        <w:jc w:val="both"/>
        <w:outlineLvl w:val="1"/>
        <w:rPr>
          <w:rFonts w:ascii="Garamond" w:hAnsi="Garamond" w:cs="Times New Roman"/>
          <w:b/>
          <w:iCs/>
          <w:lang w:val="pt-PT"/>
        </w:rPr>
      </w:pPr>
      <w:bookmarkStart w:id="5" w:name="_Toc32858116"/>
      <w:r w:rsidRPr="00CD09C2">
        <w:rPr>
          <w:rFonts w:ascii="Garamond" w:hAnsi="Garamond" w:cs="Times New Roman"/>
          <w:b/>
          <w:iCs/>
          <w:lang w:val="pt-PT"/>
        </w:rPr>
        <w:t xml:space="preserve">Estruturação do </w:t>
      </w:r>
      <w:proofErr w:type="spellStart"/>
      <w:r w:rsidRPr="00CD09C2">
        <w:rPr>
          <w:rFonts w:ascii="Garamond" w:hAnsi="Garamond" w:cs="Times New Roman"/>
          <w:b/>
          <w:iCs/>
          <w:lang w:val="pt-PT"/>
        </w:rPr>
        <w:t>PNIG</w:t>
      </w:r>
      <w:bookmarkEnd w:id="5"/>
      <w:proofErr w:type="spellEnd"/>
    </w:p>
    <w:p w14:paraId="6D765CD6" w14:textId="201F8845" w:rsidR="005C620E" w:rsidRPr="001C50C8" w:rsidRDefault="00705C64" w:rsidP="00291811">
      <w:pPr>
        <w:pStyle w:val="PargrafodaLista"/>
        <w:spacing w:after="240"/>
        <w:ind w:left="0"/>
        <w:contextualSpacing w:val="0"/>
        <w:jc w:val="both"/>
        <w:rPr>
          <w:rFonts w:ascii="Garamond" w:hAnsi="Garamond" w:cs="Times New Roman"/>
          <w:lang w:val="pt-PT"/>
        </w:rPr>
      </w:pPr>
      <w:r w:rsidRPr="001C50C8">
        <w:rPr>
          <w:rFonts w:ascii="Garamond" w:hAnsi="Garamond" w:cs="Times New Roman"/>
          <w:lang w:val="pt-PT"/>
        </w:rPr>
        <w:t xml:space="preserve">O </w:t>
      </w:r>
      <w:proofErr w:type="spellStart"/>
      <w:r w:rsidR="0070412B" w:rsidRPr="001C50C8">
        <w:rPr>
          <w:rFonts w:ascii="Garamond" w:hAnsi="Garamond" w:cs="Times New Roman"/>
          <w:lang w:val="pt-PT"/>
        </w:rPr>
        <w:t>PNIG</w:t>
      </w:r>
      <w:proofErr w:type="spellEnd"/>
      <w:r w:rsidR="0070412B" w:rsidRPr="001C50C8">
        <w:rPr>
          <w:rFonts w:ascii="Garamond" w:hAnsi="Garamond" w:cs="Times New Roman"/>
          <w:lang w:val="pt-PT"/>
        </w:rPr>
        <w:t xml:space="preserve"> é um documento integrado, que </w:t>
      </w:r>
      <w:r w:rsidR="00F76F45" w:rsidRPr="001C50C8">
        <w:rPr>
          <w:rFonts w:ascii="Garamond" w:hAnsi="Garamond" w:cs="Times New Roman"/>
          <w:lang w:val="pt-PT"/>
        </w:rPr>
        <w:t xml:space="preserve">inclui a temática da </w:t>
      </w:r>
      <w:proofErr w:type="spellStart"/>
      <w:r w:rsidR="00F76F45" w:rsidRPr="001C50C8">
        <w:rPr>
          <w:rFonts w:ascii="Garamond" w:hAnsi="Garamond" w:cs="Times New Roman"/>
          <w:lang w:val="pt-PT"/>
        </w:rPr>
        <w:t>VBG</w:t>
      </w:r>
      <w:proofErr w:type="spellEnd"/>
      <w:r w:rsidR="00F76F45" w:rsidRPr="001C50C8">
        <w:rPr>
          <w:rFonts w:ascii="Garamond" w:hAnsi="Garamond" w:cs="Times New Roman"/>
          <w:lang w:val="pt-PT"/>
        </w:rPr>
        <w:t xml:space="preserve"> e as medidas preconizadas para lhe dar resposta, quando a </w:t>
      </w:r>
      <w:proofErr w:type="spellStart"/>
      <w:r w:rsidR="00F76F45" w:rsidRPr="001C50C8">
        <w:rPr>
          <w:rFonts w:ascii="Garamond" w:hAnsi="Garamond" w:cs="Times New Roman"/>
          <w:lang w:val="pt-PT"/>
        </w:rPr>
        <w:t>VBG</w:t>
      </w:r>
      <w:proofErr w:type="spellEnd"/>
      <w:r w:rsidR="00F76F45" w:rsidRPr="001C50C8">
        <w:rPr>
          <w:rFonts w:ascii="Garamond" w:hAnsi="Garamond" w:cs="Times New Roman"/>
          <w:lang w:val="pt-PT"/>
        </w:rPr>
        <w:t xml:space="preserve"> </w:t>
      </w:r>
      <w:r w:rsidRPr="001C50C8">
        <w:rPr>
          <w:rFonts w:ascii="Garamond" w:hAnsi="Garamond" w:cs="Times New Roman"/>
          <w:lang w:val="pt-PT"/>
        </w:rPr>
        <w:t xml:space="preserve">teve </w:t>
      </w:r>
      <w:r w:rsidR="00F76F45" w:rsidRPr="001C50C8">
        <w:rPr>
          <w:rFonts w:ascii="Garamond" w:hAnsi="Garamond" w:cs="Times New Roman"/>
          <w:lang w:val="pt-PT"/>
        </w:rPr>
        <w:t>trata</w:t>
      </w:r>
      <w:r w:rsidRPr="001C50C8">
        <w:rPr>
          <w:rFonts w:ascii="Garamond" w:hAnsi="Garamond" w:cs="Times New Roman"/>
          <w:lang w:val="pt-PT"/>
        </w:rPr>
        <w:t xml:space="preserve">mento em </w:t>
      </w:r>
      <w:r w:rsidR="00F76F45" w:rsidRPr="001C50C8">
        <w:rPr>
          <w:rFonts w:ascii="Garamond" w:hAnsi="Garamond" w:cs="Times New Roman"/>
          <w:lang w:val="pt-PT"/>
        </w:rPr>
        <w:t>documento específico</w:t>
      </w:r>
      <w:r w:rsidRPr="001C50C8">
        <w:rPr>
          <w:rFonts w:ascii="Garamond" w:hAnsi="Garamond" w:cs="Times New Roman"/>
          <w:lang w:val="pt-PT"/>
        </w:rPr>
        <w:t xml:space="preserve"> em períodos anteriores</w:t>
      </w:r>
      <w:r w:rsidR="00F76F45" w:rsidRPr="001C50C8">
        <w:rPr>
          <w:rFonts w:ascii="Garamond" w:hAnsi="Garamond" w:cs="Times New Roman"/>
          <w:lang w:val="pt-PT"/>
        </w:rPr>
        <w:t xml:space="preserve"> - </w:t>
      </w:r>
      <w:r w:rsidR="009C4883" w:rsidRPr="001C50C8">
        <w:rPr>
          <w:rFonts w:ascii="Garamond" w:hAnsi="Garamond" w:cs="Times New Roman"/>
          <w:lang w:val="pt-PT"/>
        </w:rPr>
        <w:t xml:space="preserve">1º </w:t>
      </w:r>
      <w:proofErr w:type="spellStart"/>
      <w:r w:rsidR="009C4883" w:rsidRPr="001C50C8">
        <w:rPr>
          <w:rFonts w:ascii="Garamond" w:hAnsi="Garamond" w:cs="Times New Roman"/>
          <w:lang w:val="pt-PT"/>
        </w:rPr>
        <w:t>PNVBG</w:t>
      </w:r>
      <w:proofErr w:type="spellEnd"/>
      <w:r w:rsidR="009C4883" w:rsidRPr="001C50C8">
        <w:rPr>
          <w:rFonts w:ascii="Garamond" w:hAnsi="Garamond" w:cs="Times New Roman"/>
          <w:lang w:val="pt-PT"/>
        </w:rPr>
        <w:t xml:space="preserve"> (</w:t>
      </w:r>
      <w:r w:rsidR="00D917F8" w:rsidRPr="001C50C8">
        <w:rPr>
          <w:rFonts w:ascii="Garamond" w:hAnsi="Garamond" w:cs="Times New Roman"/>
          <w:lang w:val="pt-PT"/>
        </w:rPr>
        <w:t>2008-2011</w:t>
      </w:r>
      <w:r w:rsidR="009C4883" w:rsidRPr="001C50C8">
        <w:rPr>
          <w:rFonts w:ascii="Garamond" w:hAnsi="Garamond" w:cs="Times New Roman"/>
          <w:lang w:val="pt-PT"/>
        </w:rPr>
        <w:t xml:space="preserve">) e 2º </w:t>
      </w:r>
      <w:proofErr w:type="spellStart"/>
      <w:r w:rsidR="009C4883" w:rsidRPr="001C50C8">
        <w:rPr>
          <w:rFonts w:ascii="Garamond" w:hAnsi="Garamond" w:cs="Times New Roman"/>
          <w:lang w:val="pt-PT"/>
        </w:rPr>
        <w:t>PNVBG</w:t>
      </w:r>
      <w:proofErr w:type="spellEnd"/>
      <w:r w:rsidR="00291811" w:rsidRPr="001C50C8">
        <w:rPr>
          <w:rFonts w:ascii="Garamond" w:hAnsi="Garamond" w:cs="Times New Roman"/>
          <w:lang w:val="pt-PT"/>
        </w:rPr>
        <w:t xml:space="preserve"> (</w:t>
      </w:r>
      <w:r w:rsidR="0074388A" w:rsidRPr="001C50C8">
        <w:rPr>
          <w:rFonts w:ascii="Garamond" w:hAnsi="Garamond" w:cs="Times New Roman"/>
          <w:lang w:val="pt-PT"/>
        </w:rPr>
        <w:t>2015-2018)</w:t>
      </w:r>
      <w:r w:rsidR="009C4883" w:rsidRPr="001C50C8">
        <w:rPr>
          <w:rFonts w:ascii="Garamond" w:hAnsi="Garamond" w:cs="Times New Roman"/>
          <w:lang w:val="pt-PT"/>
        </w:rPr>
        <w:t xml:space="preserve">. </w:t>
      </w:r>
      <w:r w:rsidR="00291811" w:rsidRPr="001C50C8">
        <w:rPr>
          <w:rFonts w:ascii="Garamond" w:hAnsi="Garamond" w:cs="Times New Roman"/>
          <w:lang w:val="pt-PT"/>
        </w:rPr>
        <w:t xml:space="preserve">A </w:t>
      </w:r>
      <w:proofErr w:type="spellStart"/>
      <w:r w:rsidR="00291811" w:rsidRPr="001C50C8">
        <w:rPr>
          <w:rFonts w:ascii="Garamond" w:hAnsi="Garamond" w:cs="Times New Roman"/>
          <w:lang w:val="pt-PT"/>
        </w:rPr>
        <w:t>VBG</w:t>
      </w:r>
      <w:proofErr w:type="spellEnd"/>
      <w:r w:rsidR="00291811" w:rsidRPr="001C50C8">
        <w:rPr>
          <w:rFonts w:ascii="Garamond" w:hAnsi="Garamond" w:cs="Times New Roman"/>
          <w:lang w:val="pt-PT"/>
        </w:rPr>
        <w:t xml:space="preserve"> é assim tratada como um de entre vários desafios em matéria de igualdade de género e direitos,</w:t>
      </w:r>
      <w:r w:rsidRPr="001C50C8">
        <w:rPr>
          <w:rStyle w:val="Refdenotaderodap"/>
          <w:rFonts w:ascii="Garamond" w:hAnsi="Garamond" w:cs="Times New Roman"/>
          <w:lang w:val="pt-PT"/>
        </w:rPr>
        <w:footnoteReference w:id="1"/>
      </w:r>
      <w:r w:rsidR="00291811" w:rsidRPr="001C50C8">
        <w:rPr>
          <w:rFonts w:ascii="Garamond" w:hAnsi="Garamond" w:cs="Times New Roman"/>
          <w:lang w:val="pt-PT"/>
        </w:rPr>
        <w:t xml:space="preserve"> dando uma visão global de todos os problemas e desafios em matéria de igualdade de género; reflecte </w:t>
      </w:r>
      <w:r w:rsidR="009C4883" w:rsidRPr="001C50C8">
        <w:rPr>
          <w:rFonts w:ascii="Garamond" w:hAnsi="Garamond" w:cs="Times New Roman"/>
          <w:lang w:val="pt-PT"/>
        </w:rPr>
        <w:t>o fato d</w:t>
      </w:r>
      <w:r w:rsidR="001337AD" w:rsidRPr="001C50C8">
        <w:rPr>
          <w:rFonts w:ascii="Garamond" w:hAnsi="Garamond" w:cs="Times New Roman"/>
          <w:lang w:val="pt-PT"/>
        </w:rPr>
        <w:t xml:space="preserve">a </w:t>
      </w:r>
      <w:proofErr w:type="spellStart"/>
      <w:r w:rsidR="001337AD" w:rsidRPr="001C50C8">
        <w:rPr>
          <w:rFonts w:ascii="Garamond" w:hAnsi="Garamond" w:cs="Times New Roman"/>
          <w:lang w:val="pt-PT"/>
        </w:rPr>
        <w:t>VBG</w:t>
      </w:r>
      <w:proofErr w:type="spellEnd"/>
      <w:r w:rsidR="001337AD" w:rsidRPr="001C50C8">
        <w:rPr>
          <w:rFonts w:ascii="Garamond" w:hAnsi="Garamond" w:cs="Times New Roman"/>
          <w:lang w:val="pt-PT"/>
        </w:rPr>
        <w:t xml:space="preserve"> </w:t>
      </w:r>
      <w:r w:rsidR="009C4883" w:rsidRPr="001C50C8">
        <w:rPr>
          <w:rFonts w:ascii="Garamond" w:hAnsi="Garamond" w:cs="Times New Roman"/>
          <w:lang w:val="pt-PT"/>
        </w:rPr>
        <w:t xml:space="preserve">ser </w:t>
      </w:r>
      <w:r w:rsidR="001337AD" w:rsidRPr="001C50C8">
        <w:rPr>
          <w:rFonts w:ascii="Garamond" w:hAnsi="Garamond" w:cs="Times New Roman"/>
          <w:lang w:val="pt-PT"/>
        </w:rPr>
        <w:t xml:space="preserve">assunto de todos os sectores e </w:t>
      </w:r>
      <w:proofErr w:type="spellStart"/>
      <w:r w:rsidR="001337AD" w:rsidRPr="001C50C8">
        <w:rPr>
          <w:rFonts w:ascii="Garamond" w:hAnsi="Garamond" w:cs="Times New Roman"/>
          <w:lang w:val="pt-PT"/>
        </w:rPr>
        <w:t>atores</w:t>
      </w:r>
      <w:proofErr w:type="spellEnd"/>
      <w:r w:rsidR="001337AD" w:rsidRPr="001C50C8">
        <w:rPr>
          <w:rFonts w:ascii="Garamond" w:hAnsi="Garamond" w:cs="Times New Roman"/>
          <w:lang w:val="pt-PT"/>
        </w:rPr>
        <w:t xml:space="preserve"> envolvidos na implementação do </w:t>
      </w:r>
      <w:proofErr w:type="spellStart"/>
      <w:r w:rsidR="001337AD" w:rsidRPr="001C50C8">
        <w:rPr>
          <w:rFonts w:ascii="Garamond" w:hAnsi="Garamond" w:cs="Times New Roman"/>
          <w:lang w:val="pt-PT"/>
        </w:rPr>
        <w:t>PNIG</w:t>
      </w:r>
      <w:proofErr w:type="spellEnd"/>
      <w:r w:rsidR="00291811" w:rsidRPr="001C50C8">
        <w:rPr>
          <w:rFonts w:ascii="Garamond" w:hAnsi="Garamond" w:cs="Times New Roman"/>
          <w:lang w:val="pt-PT"/>
        </w:rPr>
        <w:t xml:space="preserve">; </w:t>
      </w:r>
      <w:r w:rsidR="009C4883" w:rsidRPr="001C50C8">
        <w:rPr>
          <w:rFonts w:ascii="Garamond" w:hAnsi="Garamond" w:cs="Times New Roman"/>
          <w:lang w:val="pt-PT"/>
        </w:rPr>
        <w:t xml:space="preserve">e permite </w:t>
      </w:r>
      <w:r w:rsidR="00291811" w:rsidRPr="001C50C8">
        <w:rPr>
          <w:rFonts w:ascii="Garamond" w:hAnsi="Garamond" w:cs="Times New Roman"/>
          <w:lang w:val="pt-PT"/>
        </w:rPr>
        <w:t>minimizar os esforços</w:t>
      </w:r>
      <w:r w:rsidR="005C620E" w:rsidRPr="001C50C8">
        <w:rPr>
          <w:rFonts w:ascii="Garamond" w:hAnsi="Garamond" w:cs="Times New Roman"/>
          <w:lang w:val="pt-PT"/>
        </w:rPr>
        <w:t xml:space="preserve"> com a implementação e seguimento de dois Planos.</w:t>
      </w:r>
    </w:p>
    <w:p w14:paraId="6076BFC4" w14:textId="78A98A95" w:rsidR="00F1265A" w:rsidRPr="00287F69" w:rsidRDefault="00F1265A" w:rsidP="00D23662">
      <w:pPr>
        <w:pStyle w:val="PargrafodaLista"/>
        <w:spacing w:after="240"/>
        <w:ind w:left="0"/>
        <w:contextualSpacing w:val="0"/>
        <w:jc w:val="both"/>
        <w:rPr>
          <w:rFonts w:ascii="Garamond" w:hAnsi="Garamond" w:cs="Times New Roman"/>
          <w:color w:val="000000" w:themeColor="text1"/>
          <w:lang w:val="pt-PT"/>
        </w:rPr>
      </w:pPr>
      <w:r w:rsidRPr="00287F69">
        <w:rPr>
          <w:rFonts w:ascii="Garamond" w:hAnsi="Garamond" w:cs="Times New Roman"/>
          <w:color w:val="000000" w:themeColor="text1"/>
          <w:lang w:val="pt-PT"/>
        </w:rPr>
        <w:t xml:space="preserve">O </w:t>
      </w:r>
      <w:proofErr w:type="spellStart"/>
      <w:r w:rsidRPr="00287F69">
        <w:rPr>
          <w:rFonts w:ascii="Garamond" w:hAnsi="Garamond" w:cs="Times New Roman"/>
          <w:color w:val="000000" w:themeColor="text1"/>
          <w:lang w:val="pt-PT"/>
        </w:rPr>
        <w:t>PNIG</w:t>
      </w:r>
      <w:proofErr w:type="spellEnd"/>
      <w:r w:rsidRPr="00287F69">
        <w:rPr>
          <w:rFonts w:ascii="Garamond" w:hAnsi="Garamond" w:cs="Times New Roman"/>
          <w:color w:val="000000" w:themeColor="text1"/>
          <w:lang w:val="pt-PT"/>
        </w:rPr>
        <w:t xml:space="preserve"> 2019-20</w:t>
      </w:r>
      <w:r w:rsidR="00861830">
        <w:rPr>
          <w:rFonts w:ascii="Garamond" w:hAnsi="Garamond" w:cs="Times New Roman"/>
          <w:color w:val="000000" w:themeColor="text1"/>
          <w:lang w:val="pt-PT"/>
        </w:rPr>
        <w:t>23</w:t>
      </w:r>
      <w:r w:rsidRPr="00287F69">
        <w:rPr>
          <w:rFonts w:ascii="Garamond" w:hAnsi="Garamond" w:cs="Times New Roman"/>
          <w:color w:val="000000" w:themeColor="text1"/>
          <w:lang w:val="pt-PT"/>
        </w:rPr>
        <w:t xml:space="preserve"> esta estruturado em três grandes partes: </w:t>
      </w:r>
    </w:p>
    <w:p w14:paraId="2961A96B" w14:textId="59801F40" w:rsidR="00F1265A" w:rsidRDefault="00F1265A" w:rsidP="00D23662">
      <w:pPr>
        <w:pStyle w:val="PargrafodaLista"/>
        <w:spacing w:after="240"/>
        <w:ind w:left="0"/>
        <w:contextualSpacing w:val="0"/>
        <w:jc w:val="both"/>
        <w:rPr>
          <w:rFonts w:ascii="Garamond" w:hAnsi="Garamond" w:cs="Times New Roman"/>
          <w:color w:val="000000" w:themeColor="text1"/>
          <w:lang w:val="pt-PT"/>
        </w:rPr>
      </w:pPr>
      <w:r w:rsidRPr="00CF2867">
        <w:rPr>
          <w:rFonts w:ascii="Garamond" w:hAnsi="Garamond" w:cs="Times New Roman"/>
          <w:b/>
          <w:color w:val="000000" w:themeColor="text1"/>
          <w:lang w:val="pt-PT"/>
        </w:rPr>
        <w:t>Uma primeira parte introdutória</w:t>
      </w:r>
      <w:r w:rsidRPr="00287F69">
        <w:rPr>
          <w:rFonts w:ascii="Garamond" w:hAnsi="Garamond" w:cs="Times New Roman"/>
          <w:color w:val="000000" w:themeColor="text1"/>
          <w:lang w:val="pt-PT"/>
        </w:rPr>
        <w:t xml:space="preserve">, que explica </w:t>
      </w:r>
      <w:r w:rsidRPr="00CF2867">
        <w:rPr>
          <w:rFonts w:ascii="Garamond" w:hAnsi="Garamond" w:cs="Times New Roman"/>
          <w:b/>
          <w:color w:val="000000" w:themeColor="text1"/>
          <w:lang w:val="pt-PT"/>
        </w:rPr>
        <w:t xml:space="preserve">o que é o </w:t>
      </w:r>
      <w:proofErr w:type="spellStart"/>
      <w:r w:rsidRPr="00CF2867">
        <w:rPr>
          <w:rFonts w:ascii="Garamond" w:hAnsi="Garamond" w:cs="Times New Roman"/>
          <w:b/>
          <w:color w:val="000000" w:themeColor="text1"/>
          <w:lang w:val="pt-PT"/>
        </w:rPr>
        <w:t>PNIG</w:t>
      </w:r>
      <w:proofErr w:type="spellEnd"/>
      <w:r w:rsidRPr="00CF2867">
        <w:rPr>
          <w:rFonts w:ascii="Garamond" w:hAnsi="Garamond" w:cs="Times New Roman"/>
          <w:b/>
          <w:color w:val="000000" w:themeColor="text1"/>
          <w:lang w:val="pt-PT"/>
        </w:rPr>
        <w:t xml:space="preserve"> e qual o seu propósito e alinhamento estratégico, e quais os seus principais </w:t>
      </w:r>
      <w:proofErr w:type="spellStart"/>
      <w:r w:rsidRPr="00CF2867">
        <w:rPr>
          <w:rFonts w:ascii="Garamond" w:hAnsi="Garamond" w:cs="Times New Roman"/>
          <w:b/>
          <w:color w:val="000000" w:themeColor="text1"/>
          <w:lang w:val="pt-PT"/>
        </w:rPr>
        <w:t>objetivos</w:t>
      </w:r>
      <w:proofErr w:type="spellEnd"/>
      <w:r w:rsidRPr="00287F69">
        <w:rPr>
          <w:rFonts w:ascii="Garamond" w:hAnsi="Garamond" w:cs="Times New Roman"/>
          <w:color w:val="000000" w:themeColor="text1"/>
          <w:lang w:val="pt-PT"/>
        </w:rPr>
        <w:t xml:space="preserve">. </w:t>
      </w:r>
      <w:r w:rsidR="00DE1199">
        <w:rPr>
          <w:rFonts w:ascii="Garamond" w:hAnsi="Garamond" w:cs="Times New Roman"/>
          <w:color w:val="000000" w:themeColor="text1"/>
          <w:lang w:val="pt-PT"/>
        </w:rPr>
        <w:t>E</w:t>
      </w:r>
      <w:r w:rsidRPr="00287F69">
        <w:rPr>
          <w:rFonts w:ascii="Garamond" w:hAnsi="Garamond" w:cs="Times New Roman"/>
          <w:color w:val="000000" w:themeColor="text1"/>
          <w:lang w:val="pt-PT"/>
        </w:rPr>
        <w:t xml:space="preserve">ssa primeira parte introdutória, também inclui a </w:t>
      </w:r>
      <w:r>
        <w:rPr>
          <w:rFonts w:ascii="Garamond" w:hAnsi="Garamond" w:cs="Times New Roman"/>
          <w:color w:val="000000" w:themeColor="text1"/>
          <w:lang w:val="pt-PT"/>
        </w:rPr>
        <w:t xml:space="preserve">descrição </w:t>
      </w:r>
      <w:r w:rsidR="00DE1199">
        <w:rPr>
          <w:rFonts w:ascii="Garamond" w:hAnsi="Garamond" w:cs="Times New Roman"/>
          <w:color w:val="000000" w:themeColor="text1"/>
          <w:lang w:val="pt-PT"/>
        </w:rPr>
        <w:t>d</w:t>
      </w:r>
      <w:r>
        <w:rPr>
          <w:rFonts w:ascii="Garamond" w:hAnsi="Garamond" w:cs="Times New Roman"/>
          <w:color w:val="000000" w:themeColor="text1"/>
          <w:lang w:val="pt-PT"/>
        </w:rPr>
        <w:t xml:space="preserve">a </w:t>
      </w:r>
      <w:r w:rsidRPr="00287F69">
        <w:rPr>
          <w:rFonts w:ascii="Garamond" w:hAnsi="Garamond" w:cs="Times New Roman"/>
          <w:color w:val="000000" w:themeColor="text1"/>
          <w:lang w:val="pt-PT"/>
        </w:rPr>
        <w:t>estrutura</w:t>
      </w:r>
      <w:r w:rsidR="00DE1199">
        <w:rPr>
          <w:rFonts w:ascii="Garamond" w:hAnsi="Garamond" w:cs="Times New Roman"/>
          <w:color w:val="000000" w:themeColor="text1"/>
          <w:lang w:val="pt-PT"/>
        </w:rPr>
        <w:t xml:space="preserve"> </w:t>
      </w:r>
      <w:r w:rsidRPr="00287F69">
        <w:rPr>
          <w:rFonts w:ascii="Garamond" w:hAnsi="Garamond" w:cs="Times New Roman"/>
          <w:color w:val="000000" w:themeColor="text1"/>
          <w:lang w:val="pt-PT"/>
        </w:rPr>
        <w:t>do documento, assim como a metodologia utilizada para a sua elaboração.</w:t>
      </w:r>
    </w:p>
    <w:p w14:paraId="22AD2851" w14:textId="7D571B99" w:rsidR="00F1265A" w:rsidRDefault="00F1265A" w:rsidP="00D23662">
      <w:pPr>
        <w:pStyle w:val="PargrafodaLista"/>
        <w:spacing w:after="240"/>
        <w:ind w:left="0"/>
        <w:contextualSpacing w:val="0"/>
        <w:jc w:val="both"/>
        <w:rPr>
          <w:rFonts w:ascii="Garamond" w:hAnsi="Garamond" w:cs="Times New Roman"/>
          <w:color w:val="000000" w:themeColor="text1"/>
          <w:lang w:val="pt-PT"/>
        </w:rPr>
      </w:pPr>
      <w:r w:rsidRPr="00CF2867">
        <w:rPr>
          <w:rFonts w:ascii="Garamond" w:hAnsi="Garamond" w:cs="Times New Roman"/>
          <w:b/>
          <w:color w:val="000000" w:themeColor="text1"/>
          <w:lang w:val="pt-PT"/>
        </w:rPr>
        <w:t>A segunda parte do documento</w:t>
      </w:r>
      <w:r w:rsidRPr="00287F69">
        <w:rPr>
          <w:rFonts w:ascii="Garamond" w:hAnsi="Garamond" w:cs="Times New Roman"/>
          <w:color w:val="000000" w:themeColor="text1"/>
          <w:lang w:val="pt-PT"/>
        </w:rPr>
        <w:t xml:space="preserve">, pretende </w:t>
      </w:r>
      <w:r w:rsidRPr="00CF2867">
        <w:rPr>
          <w:rFonts w:ascii="Garamond" w:hAnsi="Garamond" w:cs="Times New Roman"/>
          <w:b/>
          <w:color w:val="000000" w:themeColor="text1"/>
          <w:lang w:val="pt-PT"/>
        </w:rPr>
        <w:t>contextualizar o plano</w:t>
      </w:r>
      <w:r w:rsidRPr="00287F69">
        <w:rPr>
          <w:rFonts w:ascii="Garamond" w:hAnsi="Garamond" w:cs="Times New Roman"/>
          <w:color w:val="000000" w:themeColor="text1"/>
          <w:lang w:val="pt-PT"/>
        </w:rPr>
        <w:t xml:space="preserve">, </w:t>
      </w:r>
      <w:r w:rsidR="00DE1199">
        <w:rPr>
          <w:rFonts w:ascii="Garamond" w:hAnsi="Garamond" w:cs="Times New Roman"/>
          <w:color w:val="000000" w:themeColor="text1"/>
          <w:lang w:val="pt-PT"/>
        </w:rPr>
        <w:t>em termos de perfil</w:t>
      </w:r>
      <w:r w:rsidRPr="00287F69">
        <w:rPr>
          <w:rFonts w:ascii="Garamond" w:hAnsi="Garamond" w:cs="Times New Roman"/>
          <w:color w:val="000000" w:themeColor="text1"/>
          <w:lang w:val="pt-PT"/>
        </w:rPr>
        <w:t xml:space="preserve"> </w:t>
      </w:r>
      <w:r w:rsidRPr="00CF2867">
        <w:rPr>
          <w:rFonts w:ascii="Garamond" w:hAnsi="Garamond" w:cs="Times New Roman"/>
          <w:b/>
          <w:color w:val="000000" w:themeColor="text1"/>
          <w:lang w:val="pt-PT"/>
        </w:rPr>
        <w:t>nacional de género</w:t>
      </w:r>
      <w:r w:rsidRPr="00287F69">
        <w:rPr>
          <w:rFonts w:ascii="Garamond" w:hAnsi="Garamond" w:cs="Times New Roman"/>
          <w:color w:val="000000" w:themeColor="text1"/>
          <w:lang w:val="pt-PT"/>
        </w:rPr>
        <w:t>, apresentar uma breve an</w:t>
      </w:r>
      <w:r w:rsidR="00DE30C2">
        <w:rPr>
          <w:rFonts w:ascii="Garamond" w:hAnsi="Garamond" w:cs="Times New Roman"/>
          <w:color w:val="000000" w:themeColor="text1"/>
          <w:lang w:val="pt-PT"/>
        </w:rPr>
        <w:t>á</w:t>
      </w:r>
      <w:r w:rsidRPr="00287F69">
        <w:rPr>
          <w:rFonts w:ascii="Garamond" w:hAnsi="Garamond" w:cs="Times New Roman"/>
          <w:color w:val="000000" w:themeColor="text1"/>
          <w:lang w:val="pt-PT"/>
        </w:rPr>
        <w:t xml:space="preserve">lise dos progressos e desafios de género a nível do país, </w:t>
      </w:r>
      <w:r>
        <w:rPr>
          <w:rFonts w:ascii="Garamond" w:hAnsi="Garamond" w:cs="Times New Roman"/>
          <w:color w:val="000000" w:themeColor="text1"/>
          <w:lang w:val="pt-PT"/>
        </w:rPr>
        <w:t xml:space="preserve">assim como, </w:t>
      </w:r>
      <w:r w:rsidRPr="00287F69">
        <w:rPr>
          <w:rFonts w:ascii="Garamond" w:hAnsi="Garamond" w:cs="Times New Roman"/>
          <w:color w:val="000000" w:themeColor="text1"/>
          <w:lang w:val="pt-PT"/>
        </w:rPr>
        <w:t>identificar os principais desafios e oportunidades de materialização da agenda de igualdade de género no país</w:t>
      </w:r>
      <w:r>
        <w:rPr>
          <w:rFonts w:ascii="Garamond" w:hAnsi="Garamond" w:cs="Times New Roman"/>
          <w:color w:val="000000" w:themeColor="text1"/>
          <w:lang w:val="pt-PT"/>
        </w:rPr>
        <w:t xml:space="preserve">. </w:t>
      </w:r>
      <w:r w:rsidR="00DE30C2">
        <w:rPr>
          <w:rFonts w:ascii="Garamond" w:hAnsi="Garamond" w:cs="Times New Roman"/>
          <w:color w:val="000000" w:themeColor="text1"/>
          <w:lang w:val="pt-PT"/>
        </w:rPr>
        <w:t xml:space="preserve">A </w:t>
      </w:r>
      <w:r>
        <w:rPr>
          <w:rFonts w:ascii="Garamond" w:hAnsi="Garamond" w:cs="Times New Roman"/>
          <w:color w:val="000000" w:themeColor="text1"/>
          <w:lang w:val="pt-PT"/>
        </w:rPr>
        <w:t>seção</w:t>
      </w:r>
      <w:r w:rsidR="00DE30C2">
        <w:rPr>
          <w:rFonts w:ascii="Garamond" w:hAnsi="Garamond" w:cs="Times New Roman"/>
          <w:color w:val="000000" w:themeColor="text1"/>
          <w:lang w:val="pt-PT"/>
        </w:rPr>
        <w:t xml:space="preserve"> começa com a</w:t>
      </w:r>
      <w:r>
        <w:rPr>
          <w:rFonts w:ascii="Garamond" w:hAnsi="Garamond" w:cs="Times New Roman"/>
          <w:color w:val="000000" w:themeColor="text1"/>
          <w:lang w:val="pt-PT"/>
        </w:rPr>
        <w:t xml:space="preserve"> apresenta</w:t>
      </w:r>
      <w:r w:rsidR="00DE30C2">
        <w:rPr>
          <w:rFonts w:ascii="Garamond" w:hAnsi="Garamond" w:cs="Times New Roman"/>
          <w:color w:val="000000" w:themeColor="text1"/>
          <w:lang w:val="pt-PT"/>
        </w:rPr>
        <w:t>ção</w:t>
      </w:r>
      <w:r>
        <w:rPr>
          <w:rFonts w:ascii="Garamond" w:hAnsi="Garamond" w:cs="Times New Roman"/>
          <w:color w:val="000000" w:themeColor="text1"/>
          <w:lang w:val="pt-PT"/>
        </w:rPr>
        <w:t xml:space="preserve"> </w:t>
      </w:r>
      <w:r w:rsidR="00DE30C2">
        <w:rPr>
          <w:rFonts w:ascii="Garamond" w:hAnsi="Garamond" w:cs="Times New Roman"/>
          <w:color w:val="000000" w:themeColor="text1"/>
          <w:lang w:val="pt-PT"/>
        </w:rPr>
        <w:t>d</w:t>
      </w:r>
      <w:r w:rsidRPr="00287F69">
        <w:rPr>
          <w:rFonts w:ascii="Garamond" w:hAnsi="Garamond" w:cs="Times New Roman"/>
          <w:color w:val="000000" w:themeColor="text1"/>
          <w:lang w:val="pt-PT"/>
        </w:rPr>
        <w:t xml:space="preserve">os grandes marcos </w:t>
      </w:r>
      <w:r>
        <w:rPr>
          <w:rFonts w:ascii="Garamond" w:hAnsi="Garamond" w:cs="Times New Roman"/>
          <w:color w:val="000000" w:themeColor="text1"/>
          <w:lang w:val="pt-PT"/>
        </w:rPr>
        <w:t xml:space="preserve">normativos, institucionais e </w:t>
      </w:r>
      <w:r w:rsidRPr="00287F69">
        <w:rPr>
          <w:rFonts w:ascii="Garamond" w:hAnsi="Garamond" w:cs="Times New Roman"/>
          <w:color w:val="000000" w:themeColor="text1"/>
          <w:lang w:val="pt-PT"/>
        </w:rPr>
        <w:t>políticos nacionais e internacionais</w:t>
      </w:r>
      <w:r>
        <w:rPr>
          <w:rFonts w:ascii="Garamond" w:hAnsi="Garamond" w:cs="Times New Roman"/>
          <w:color w:val="000000" w:themeColor="text1"/>
          <w:lang w:val="pt-PT"/>
        </w:rPr>
        <w:t>,</w:t>
      </w:r>
      <w:r w:rsidRPr="00287F69">
        <w:rPr>
          <w:rFonts w:ascii="Garamond" w:hAnsi="Garamond" w:cs="Times New Roman"/>
          <w:color w:val="000000" w:themeColor="text1"/>
          <w:lang w:val="pt-PT"/>
        </w:rPr>
        <w:t xml:space="preserve"> d</w:t>
      </w:r>
      <w:r w:rsidR="00DE30C2">
        <w:rPr>
          <w:rFonts w:ascii="Garamond" w:hAnsi="Garamond" w:cs="Times New Roman"/>
          <w:color w:val="000000" w:themeColor="text1"/>
          <w:lang w:val="pt-PT"/>
        </w:rPr>
        <w:t>a</w:t>
      </w:r>
      <w:r w:rsidRPr="00287F69">
        <w:rPr>
          <w:rFonts w:ascii="Garamond" w:hAnsi="Garamond" w:cs="Times New Roman"/>
          <w:color w:val="000000" w:themeColor="text1"/>
          <w:lang w:val="pt-PT"/>
        </w:rPr>
        <w:t xml:space="preserve"> </w:t>
      </w:r>
      <w:r>
        <w:rPr>
          <w:rFonts w:ascii="Garamond" w:hAnsi="Garamond" w:cs="Times New Roman"/>
          <w:color w:val="000000" w:themeColor="text1"/>
          <w:lang w:val="pt-PT"/>
        </w:rPr>
        <w:t xml:space="preserve">implementação do </w:t>
      </w:r>
      <w:proofErr w:type="spellStart"/>
      <w:r>
        <w:rPr>
          <w:rFonts w:ascii="Garamond" w:hAnsi="Garamond" w:cs="Times New Roman"/>
          <w:color w:val="000000" w:themeColor="text1"/>
          <w:lang w:val="pt-PT"/>
        </w:rPr>
        <w:t>PNIG</w:t>
      </w:r>
      <w:proofErr w:type="spellEnd"/>
      <w:r w:rsidRPr="00287F69">
        <w:rPr>
          <w:rFonts w:ascii="Garamond" w:hAnsi="Garamond" w:cs="Times New Roman"/>
          <w:color w:val="000000" w:themeColor="text1"/>
          <w:lang w:val="pt-PT"/>
        </w:rPr>
        <w:t>.</w:t>
      </w:r>
    </w:p>
    <w:p w14:paraId="67F078F9" w14:textId="0F33220C" w:rsidR="00F1265A" w:rsidRPr="001C50C8" w:rsidRDefault="00F1265A" w:rsidP="00D23662">
      <w:pPr>
        <w:pStyle w:val="PargrafodaLista"/>
        <w:spacing w:after="240"/>
        <w:ind w:left="0"/>
        <w:contextualSpacing w:val="0"/>
        <w:jc w:val="both"/>
        <w:rPr>
          <w:rFonts w:ascii="Garamond" w:hAnsi="Garamond" w:cs="Times New Roman"/>
          <w:lang w:val="pt-PT"/>
        </w:rPr>
      </w:pPr>
      <w:r w:rsidRPr="00CF2867">
        <w:rPr>
          <w:rFonts w:ascii="Garamond" w:hAnsi="Garamond" w:cs="Times New Roman"/>
          <w:b/>
          <w:color w:val="000000" w:themeColor="text1"/>
          <w:lang w:val="pt-PT"/>
        </w:rPr>
        <w:t xml:space="preserve">A terceira e última parte do documento, consubstancia-se na apresentação e desenvolvimento do quadro operativo do </w:t>
      </w:r>
      <w:proofErr w:type="spellStart"/>
      <w:r w:rsidRPr="00CF2867">
        <w:rPr>
          <w:rFonts w:ascii="Garamond" w:hAnsi="Garamond" w:cs="Times New Roman"/>
          <w:b/>
          <w:color w:val="000000" w:themeColor="text1"/>
          <w:lang w:val="pt-PT"/>
        </w:rPr>
        <w:t>PNIG</w:t>
      </w:r>
      <w:proofErr w:type="spellEnd"/>
      <w:r w:rsidRPr="00CF2867">
        <w:rPr>
          <w:rFonts w:ascii="Garamond" w:hAnsi="Garamond" w:cs="Times New Roman"/>
          <w:b/>
          <w:color w:val="000000" w:themeColor="text1"/>
          <w:lang w:val="pt-PT"/>
        </w:rPr>
        <w:t xml:space="preserve"> 2019-202</w:t>
      </w:r>
      <w:r w:rsidR="00861830">
        <w:rPr>
          <w:rFonts w:ascii="Garamond" w:hAnsi="Garamond" w:cs="Times New Roman"/>
          <w:b/>
          <w:color w:val="000000" w:themeColor="text1"/>
          <w:lang w:val="pt-PT"/>
        </w:rPr>
        <w:t>3</w:t>
      </w:r>
      <w:r w:rsidRPr="00287F69">
        <w:rPr>
          <w:rFonts w:ascii="Garamond" w:hAnsi="Garamond" w:cs="Times New Roman"/>
          <w:color w:val="000000" w:themeColor="text1"/>
          <w:lang w:val="pt-PT"/>
        </w:rPr>
        <w:t xml:space="preserve">, estruturado por eixos prioritários de </w:t>
      </w:r>
      <w:proofErr w:type="spellStart"/>
      <w:r w:rsidRPr="00287F69">
        <w:rPr>
          <w:rFonts w:ascii="Garamond" w:hAnsi="Garamond" w:cs="Times New Roman"/>
          <w:color w:val="000000" w:themeColor="text1"/>
          <w:lang w:val="pt-PT"/>
        </w:rPr>
        <w:t>ação</w:t>
      </w:r>
      <w:proofErr w:type="spellEnd"/>
      <w:r w:rsidRPr="00287F69">
        <w:rPr>
          <w:rFonts w:ascii="Garamond" w:hAnsi="Garamond" w:cs="Times New Roman"/>
          <w:color w:val="000000" w:themeColor="text1"/>
          <w:lang w:val="pt-PT"/>
        </w:rPr>
        <w:t xml:space="preserve">, seus </w:t>
      </w:r>
      <w:proofErr w:type="spellStart"/>
      <w:r w:rsidRPr="00287F69">
        <w:rPr>
          <w:rFonts w:ascii="Garamond" w:hAnsi="Garamond" w:cs="Times New Roman"/>
          <w:color w:val="000000" w:themeColor="text1"/>
          <w:lang w:val="pt-PT"/>
        </w:rPr>
        <w:t>respetivos</w:t>
      </w:r>
      <w:proofErr w:type="spellEnd"/>
      <w:r w:rsidRPr="00287F69">
        <w:rPr>
          <w:rFonts w:ascii="Garamond" w:hAnsi="Garamond" w:cs="Times New Roman"/>
          <w:color w:val="000000" w:themeColor="text1"/>
          <w:lang w:val="pt-PT"/>
        </w:rPr>
        <w:t xml:space="preserve"> </w:t>
      </w:r>
      <w:proofErr w:type="spellStart"/>
      <w:r w:rsidRPr="00287F69">
        <w:rPr>
          <w:rFonts w:ascii="Garamond" w:hAnsi="Garamond" w:cs="Times New Roman"/>
          <w:color w:val="000000" w:themeColor="text1"/>
          <w:lang w:val="pt-PT"/>
        </w:rPr>
        <w:t>objetivos</w:t>
      </w:r>
      <w:proofErr w:type="spellEnd"/>
      <w:r w:rsidR="00D23662">
        <w:rPr>
          <w:rFonts w:ascii="Garamond" w:hAnsi="Garamond" w:cs="Times New Roman"/>
          <w:color w:val="000000" w:themeColor="text1"/>
          <w:lang w:val="pt-PT"/>
        </w:rPr>
        <w:t xml:space="preserve">, resultados esperados e medidas de </w:t>
      </w:r>
      <w:proofErr w:type="spellStart"/>
      <w:r w:rsidR="00D23662">
        <w:rPr>
          <w:rFonts w:ascii="Garamond" w:hAnsi="Garamond" w:cs="Times New Roman"/>
          <w:color w:val="000000" w:themeColor="text1"/>
          <w:lang w:val="pt-PT"/>
        </w:rPr>
        <w:t>ação</w:t>
      </w:r>
      <w:proofErr w:type="spellEnd"/>
      <w:r>
        <w:rPr>
          <w:rFonts w:ascii="Garamond" w:hAnsi="Garamond" w:cs="Times New Roman"/>
          <w:color w:val="000000" w:themeColor="text1"/>
          <w:lang w:val="pt-PT"/>
        </w:rPr>
        <w:t xml:space="preserve">, vinculados </w:t>
      </w:r>
      <w:r w:rsidR="00DE30C2">
        <w:rPr>
          <w:rFonts w:ascii="Garamond" w:hAnsi="Garamond" w:cs="Times New Roman"/>
          <w:color w:val="000000" w:themeColor="text1"/>
          <w:lang w:val="pt-PT"/>
        </w:rPr>
        <w:t>à</w:t>
      </w:r>
      <w:r>
        <w:rPr>
          <w:rFonts w:ascii="Garamond" w:hAnsi="Garamond" w:cs="Times New Roman"/>
          <w:color w:val="000000" w:themeColor="text1"/>
          <w:lang w:val="pt-PT"/>
        </w:rPr>
        <w:t xml:space="preserve"> visão, missão e princípios orientadores do plano. </w:t>
      </w:r>
      <w:r w:rsidRPr="00287F69">
        <w:rPr>
          <w:rFonts w:ascii="Garamond" w:hAnsi="Garamond" w:cs="Times New Roman"/>
          <w:color w:val="000000" w:themeColor="text1"/>
          <w:lang w:val="pt-PT"/>
        </w:rPr>
        <w:t xml:space="preserve">Os eixos de intervenção </w:t>
      </w:r>
      <w:r w:rsidR="00DE30C2">
        <w:rPr>
          <w:rFonts w:ascii="Garamond" w:hAnsi="Garamond" w:cs="Times New Roman"/>
          <w:color w:val="000000" w:themeColor="text1"/>
          <w:lang w:val="pt-PT"/>
        </w:rPr>
        <w:t xml:space="preserve">estão em </w:t>
      </w:r>
      <w:r w:rsidRPr="00287F69">
        <w:rPr>
          <w:rFonts w:ascii="Garamond" w:hAnsi="Garamond" w:cs="Times New Roman"/>
          <w:color w:val="000000" w:themeColor="text1"/>
          <w:lang w:val="pt-PT"/>
        </w:rPr>
        <w:t xml:space="preserve">alinhamento </w:t>
      </w:r>
      <w:proofErr w:type="spellStart"/>
      <w:r w:rsidRPr="00287F69">
        <w:rPr>
          <w:rFonts w:ascii="Garamond" w:hAnsi="Garamond" w:cs="Times New Roman"/>
          <w:color w:val="000000" w:themeColor="text1"/>
          <w:lang w:val="pt-PT"/>
        </w:rPr>
        <w:t>direto</w:t>
      </w:r>
      <w:proofErr w:type="spellEnd"/>
      <w:r w:rsidRPr="00287F69">
        <w:rPr>
          <w:rFonts w:ascii="Garamond" w:hAnsi="Garamond" w:cs="Times New Roman"/>
          <w:color w:val="000000" w:themeColor="text1"/>
          <w:lang w:val="pt-PT"/>
        </w:rPr>
        <w:t xml:space="preserve"> com </w:t>
      </w:r>
      <w:r w:rsidR="00DE30C2">
        <w:rPr>
          <w:rFonts w:ascii="Garamond" w:hAnsi="Garamond" w:cs="Times New Roman"/>
          <w:color w:val="000000" w:themeColor="text1"/>
          <w:lang w:val="pt-PT"/>
        </w:rPr>
        <w:t xml:space="preserve">os </w:t>
      </w:r>
      <w:r w:rsidRPr="00287F69">
        <w:rPr>
          <w:rFonts w:ascii="Garamond" w:hAnsi="Garamond" w:cs="Times New Roman"/>
          <w:color w:val="000000" w:themeColor="text1"/>
          <w:lang w:val="pt-PT"/>
        </w:rPr>
        <w:t xml:space="preserve">dois principais documentos estratégicos nacionais, a saber o Programa do Governo para a IX Legislatura e o </w:t>
      </w:r>
      <w:proofErr w:type="spellStart"/>
      <w:r w:rsidRPr="00287F69">
        <w:rPr>
          <w:rFonts w:ascii="Garamond" w:hAnsi="Garamond" w:cs="Times New Roman"/>
          <w:color w:val="000000" w:themeColor="text1"/>
          <w:lang w:val="pt-PT"/>
        </w:rPr>
        <w:t>PEDS</w:t>
      </w:r>
      <w:proofErr w:type="spellEnd"/>
      <w:r w:rsidRPr="00287F69">
        <w:rPr>
          <w:rFonts w:ascii="Garamond" w:hAnsi="Garamond" w:cs="Times New Roman"/>
          <w:color w:val="000000" w:themeColor="text1"/>
          <w:lang w:val="pt-PT"/>
        </w:rPr>
        <w:t xml:space="preserve">, assim como com a </w:t>
      </w:r>
      <w:r w:rsidR="00DE30C2">
        <w:rPr>
          <w:rFonts w:ascii="Garamond" w:hAnsi="Garamond" w:cs="Times New Roman"/>
          <w:color w:val="000000" w:themeColor="text1"/>
          <w:lang w:val="pt-PT"/>
        </w:rPr>
        <w:t>A</w:t>
      </w:r>
      <w:r w:rsidRPr="00287F69">
        <w:rPr>
          <w:rFonts w:ascii="Garamond" w:hAnsi="Garamond" w:cs="Times New Roman"/>
          <w:color w:val="000000" w:themeColor="text1"/>
          <w:lang w:val="pt-PT"/>
        </w:rPr>
        <w:t xml:space="preserve">genda 2030 </w:t>
      </w:r>
      <w:r w:rsidR="00DE30C2">
        <w:rPr>
          <w:rFonts w:ascii="Garamond" w:hAnsi="Garamond" w:cs="Times New Roman"/>
          <w:color w:val="000000" w:themeColor="text1"/>
          <w:lang w:val="pt-PT"/>
        </w:rPr>
        <w:t xml:space="preserve">e os </w:t>
      </w:r>
      <w:proofErr w:type="spellStart"/>
      <w:r w:rsidRPr="00287F69">
        <w:rPr>
          <w:rFonts w:ascii="Garamond" w:hAnsi="Garamond" w:cs="Times New Roman"/>
          <w:color w:val="000000" w:themeColor="text1"/>
          <w:lang w:val="pt-PT"/>
        </w:rPr>
        <w:t>ODS</w:t>
      </w:r>
      <w:proofErr w:type="spellEnd"/>
      <w:r w:rsidR="00DE30C2">
        <w:rPr>
          <w:rFonts w:ascii="Garamond" w:hAnsi="Garamond" w:cs="Times New Roman"/>
          <w:color w:val="000000" w:themeColor="text1"/>
          <w:lang w:val="pt-PT"/>
        </w:rPr>
        <w:t>,</w:t>
      </w:r>
      <w:r w:rsidRPr="00287F69">
        <w:rPr>
          <w:rFonts w:ascii="Garamond" w:hAnsi="Garamond" w:cs="Times New Roman"/>
          <w:color w:val="000000" w:themeColor="text1"/>
          <w:lang w:val="pt-PT"/>
        </w:rPr>
        <w:t xml:space="preserve"> e as recomendações do Comité da </w:t>
      </w:r>
      <w:proofErr w:type="spellStart"/>
      <w:r w:rsidRPr="00287F69">
        <w:rPr>
          <w:rFonts w:ascii="Garamond" w:hAnsi="Garamond" w:cs="Times New Roman"/>
          <w:color w:val="000000" w:themeColor="text1"/>
          <w:lang w:val="pt-PT"/>
        </w:rPr>
        <w:t>CEDAW</w:t>
      </w:r>
      <w:proofErr w:type="spellEnd"/>
      <w:r w:rsidRPr="00287F69">
        <w:rPr>
          <w:rFonts w:ascii="Garamond" w:hAnsi="Garamond" w:cs="Times New Roman"/>
          <w:color w:val="000000" w:themeColor="text1"/>
          <w:lang w:val="pt-PT"/>
        </w:rPr>
        <w:t xml:space="preserve"> para Cabo Verde, permitindo a harmonização e integração de várias agendas num único quadro referencial, ao mesmo tempo que facilita o seguimento e avaliação dos progressos e desafios na implementação dos seus compromissos internacionais nessa matéria. Para cada eixo estratégico </w:t>
      </w:r>
      <w:r w:rsidR="003F0B68">
        <w:rPr>
          <w:rFonts w:ascii="Garamond" w:hAnsi="Garamond" w:cs="Times New Roman"/>
          <w:color w:val="000000" w:themeColor="text1"/>
          <w:lang w:val="pt-PT"/>
        </w:rPr>
        <w:t>é</w:t>
      </w:r>
      <w:r w:rsidRPr="00287F69">
        <w:rPr>
          <w:rFonts w:ascii="Garamond" w:hAnsi="Garamond" w:cs="Times New Roman"/>
          <w:color w:val="000000" w:themeColor="text1"/>
          <w:lang w:val="pt-PT"/>
        </w:rPr>
        <w:t xml:space="preserve"> apresentada uma análise das principais lacunas e desafios de género</w:t>
      </w:r>
      <w:r>
        <w:rPr>
          <w:rFonts w:ascii="Garamond" w:hAnsi="Garamond" w:cs="Times New Roman"/>
          <w:color w:val="000000" w:themeColor="text1"/>
          <w:lang w:val="pt-PT"/>
        </w:rPr>
        <w:t>. O quadro l</w:t>
      </w:r>
      <w:r w:rsidR="00D23662">
        <w:rPr>
          <w:rFonts w:ascii="Garamond" w:hAnsi="Garamond" w:cs="Times New Roman"/>
          <w:color w:val="000000" w:themeColor="text1"/>
          <w:lang w:val="pt-PT"/>
        </w:rPr>
        <w:t>ó</w:t>
      </w:r>
      <w:r>
        <w:rPr>
          <w:rFonts w:ascii="Garamond" w:hAnsi="Garamond" w:cs="Times New Roman"/>
          <w:color w:val="000000" w:themeColor="text1"/>
          <w:lang w:val="pt-PT"/>
        </w:rPr>
        <w:t xml:space="preserve">gico dos resultados identifica </w:t>
      </w:r>
      <w:r w:rsidR="00D23662">
        <w:rPr>
          <w:rFonts w:ascii="Garamond" w:hAnsi="Garamond" w:cs="Times New Roman"/>
          <w:color w:val="000000" w:themeColor="text1"/>
          <w:lang w:val="pt-PT"/>
        </w:rPr>
        <w:t xml:space="preserve">resultados e medidas de </w:t>
      </w:r>
      <w:proofErr w:type="spellStart"/>
      <w:r w:rsidR="00D23662">
        <w:rPr>
          <w:rFonts w:ascii="Garamond" w:hAnsi="Garamond" w:cs="Times New Roman"/>
          <w:color w:val="000000" w:themeColor="text1"/>
          <w:lang w:val="pt-PT"/>
        </w:rPr>
        <w:t>ação</w:t>
      </w:r>
      <w:proofErr w:type="spellEnd"/>
      <w:r>
        <w:rPr>
          <w:rFonts w:ascii="Garamond" w:hAnsi="Garamond" w:cs="Times New Roman"/>
          <w:color w:val="000000" w:themeColor="text1"/>
          <w:lang w:val="pt-PT"/>
        </w:rPr>
        <w:t xml:space="preserve"> chave, assim como metas e indicadores de resultados</w:t>
      </w:r>
      <w:r w:rsidR="003F0B68">
        <w:rPr>
          <w:rFonts w:ascii="Garamond" w:hAnsi="Garamond" w:cs="Times New Roman"/>
          <w:color w:val="000000" w:themeColor="text1"/>
          <w:lang w:val="pt-PT"/>
        </w:rPr>
        <w:t>, a</w:t>
      </w:r>
      <w:r>
        <w:rPr>
          <w:rFonts w:ascii="Garamond" w:hAnsi="Garamond" w:cs="Times New Roman"/>
          <w:color w:val="000000" w:themeColor="text1"/>
          <w:lang w:val="pt-PT"/>
        </w:rPr>
        <w:t xml:space="preserve">s entidades responsáveis por cada resultado estratégico, assim como os parceiros de implementação e os recursos financeiros necessários para a materialização </w:t>
      </w:r>
      <w:r w:rsidRPr="001C50C8">
        <w:rPr>
          <w:rFonts w:ascii="Garamond" w:hAnsi="Garamond" w:cs="Times New Roman"/>
          <w:lang w:val="pt-PT"/>
        </w:rPr>
        <w:t xml:space="preserve">das </w:t>
      </w:r>
      <w:proofErr w:type="spellStart"/>
      <w:r w:rsidRPr="001C50C8">
        <w:rPr>
          <w:rFonts w:ascii="Garamond" w:hAnsi="Garamond" w:cs="Times New Roman"/>
          <w:lang w:val="pt-PT"/>
        </w:rPr>
        <w:t>ações</w:t>
      </w:r>
      <w:proofErr w:type="spellEnd"/>
      <w:r w:rsidRPr="001C50C8">
        <w:rPr>
          <w:rFonts w:ascii="Garamond" w:hAnsi="Garamond" w:cs="Times New Roman"/>
          <w:lang w:val="pt-PT"/>
        </w:rPr>
        <w:t xml:space="preserve">. Na sequência, e parte essencial do Plano, encontra-se a seção sobre os mecanismos e medidas de </w:t>
      </w:r>
      <w:r w:rsidR="00570096" w:rsidRPr="001C50C8">
        <w:rPr>
          <w:rFonts w:ascii="Garamond" w:hAnsi="Garamond" w:cs="Times New Roman"/>
          <w:lang w:val="pt-PT"/>
        </w:rPr>
        <w:t xml:space="preserve">coordenação, </w:t>
      </w:r>
      <w:r w:rsidRPr="001C50C8">
        <w:rPr>
          <w:rFonts w:ascii="Garamond" w:hAnsi="Garamond" w:cs="Times New Roman"/>
          <w:lang w:val="pt-PT"/>
        </w:rPr>
        <w:t xml:space="preserve">seguimento e avaliação, e uma secção dedicada aos recursos financeiros e mobilização de fundos e parcerias para a implementação cabal do plano. </w:t>
      </w:r>
    </w:p>
    <w:p w14:paraId="7C88CACD" w14:textId="1DF4BE15" w:rsidR="00560E83" w:rsidRPr="001C50C8" w:rsidRDefault="00F1265A" w:rsidP="00560E83">
      <w:pPr>
        <w:pStyle w:val="PargrafodaLista"/>
        <w:spacing w:after="240"/>
        <w:ind w:left="0"/>
        <w:contextualSpacing w:val="0"/>
        <w:jc w:val="both"/>
        <w:rPr>
          <w:rFonts w:ascii="Garamond" w:hAnsi="Garamond" w:cs="Times New Roman"/>
          <w:lang w:val="pt-PT"/>
        </w:rPr>
      </w:pPr>
      <w:r w:rsidRPr="001C50C8">
        <w:rPr>
          <w:rFonts w:ascii="Garamond" w:hAnsi="Garamond" w:cs="Times New Roman"/>
          <w:lang w:val="pt-PT"/>
        </w:rPr>
        <w:t>O documento apresenta como recursos complementares anexos, que podem ser consultados para informações relevantes detalhadas e espec</w:t>
      </w:r>
      <w:r w:rsidR="00420052">
        <w:rPr>
          <w:rFonts w:ascii="Garamond" w:hAnsi="Garamond" w:cs="Times New Roman"/>
          <w:lang w:val="pt-PT"/>
        </w:rPr>
        <w:t>í</w:t>
      </w:r>
      <w:r w:rsidRPr="001C50C8">
        <w:rPr>
          <w:rFonts w:ascii="Garamond" w:hAnsi="Garamond" w:cs="Times New Roman"/>
          <w:lang w:val="pt-PT"/>
        </w:rPr>
        <w:t xml:space="preserve">ficas, referidas ao longo do documento. </w:t>
      </w:r>
    </w:p>
    <w:p w14:paraId="0E8E3A70" w14:textId="57F58836" w:rsidR="00DA0073" w:rsidRPr="001C50C8" w:rsidRDefault="00DA0073" w:rsidP="00560E83">
      <w:pPr>
        <w:pStyle w:val="PargrafodaLista"/>
        <w:spacing w:after="240"/>
        <w:ind w:left="0"/>
        <w:contextualSpacing w:val="0"/>
        <w:jc w:val="both"/>
        <w:rPr>
          <w:rFonts w:ascii="Garamond" w:hAnsi="Garamond" w:cs="Times New Roman"/>
          <w:lang w:val="pt-PT"/>
        </w:rPr>
      </w:pPr>
      <w:r w:rsidRPr="001C50C8">
        <w:rPr>
          <w:rFonts w:ascii="Garamond" w:hAnsi="Garamond" w:cs="Times New Roman"/>
          <w:lang w:val="pt-PT"/>
        </w:rPr>
        <w:t xml:space="preserve">Será editada uma versão sucinta do </w:t>
      </w:r>
      <w:proofErr w:type="spellStart"/>
      <w:r w:rsidRPr="001C50C8">
        <w:rPr>
          <w:rFonts w:ascii="Garamond" w:hAnsi="Garamond" w:cs="Times New Roman"/>
          <w:lang w:val="pt-PT"/>
        </w:rPr>
        <w:t>PNIG</w:t>
      </w:r>
      <w:proofErr w:type="spellEnd"/>
      <w:r w:rsidRPr="001C50C8">
        <w:rPr>
          <w:rFonts w:ascii="Garamond" w:hAnsi="Garamond" w:cs="Times New Roman"/>
          <w:lang w:val="pt-PT"/>
        </w:rPr>
        <w:t xml:space="preserve"> que será disponibilizada em Braille e em formato áudio.</w:t>
      </w:r>
    </w:p>
    <w:p w14:paraId="2CC57EB3" w14:textId="2FA4EFF1" w:rsidR="00F1265A" w:rsidRPr="004F1905" w:rsidRDefault="004F1905" w:rsidP="009D0E9C">
      <w:pPr>
        <w:pStyle w:val="PargrafodaLista"/>
        <w:spacing w:line="276" w:lineRule="auto"/>
        <w:ind w:left="0"/>
        <w:jc w:val="both"/>
        <w:outlineLvl w:val="1"/>
        <w:rPr>
          <w:rFonts w:ascii="Garamond" w:hAnsi="Garamond" w:cs="Times New Roman"/>
          <w:b/>
          <w:iCs/>
          <w:lang w:val="pt-PT"/>
        </w:rPr>
      </w:pPr>
      <w:bookmarkStart w:id="6" w:name="_Toc32858117"/>
      <w:r>
        <w:rPr>
          <w:rFonts w:ascii="Garamond" w:hAnsi="Garamond" w:cs="Times New Roman"/>
          <w:b/>
          <w:iCs/>
          <w:lang w:val="pt-PT"/>
        </w:rPr>
        <w:t>M</w:t>
      </w:r>
      <w:r w:rsidR="00F1265A" w:rsidRPr="004F1905">
        <w:rPr>
          <w:rFonts w:ascii="Garamond" w:hAnsi="Garamond" w:cs="Times New Roman"/>
          <w:b/>
          <w:iCs/>
          <w:lang w:val="pt-PT"/>
        </w:rPr>
        <w:t xml:space="preserve">etodologia de elaboração do </w:t>
      </w:r>
      <w:proofErr w:type="spellStart"/>
      <w:r w:rsidR="00F1265A" w:rsidRPr="004F1905">
        <w:rPr>
          <w:rFonts w:ascii="Garamond" w:hAnsi="Garamond" w:cs="Times New Roman"/>
          <w:b/>
          <w:iCs/>
          <w:lang w:val="pt-PT"/>
        </w:rPr>
        <w:t>PNIG</w:t>
      </w:r>
      <w:bookmarkEnd w:id="6"/>
      <w:proofErr w:type="spellEnd"/>
      <w:r w:rsidR="00F1265A" w:rsidRPr="004F1905">
        <w:rPr>
          <w:rFonts w:ascii="Garamond" w:hAnsi="Garamond" w:cs="Times New Roman"/>
          <w:b/>
          <w:iCs/>
          <w:lang w:val="pt-PT"/>
        </w:rPr>
        <w:t xml:space="preserve"> </w:t>
      </w:r>
    </w:p>
    <w:p w14:paraId="2F9A684E" w14:textId="7D67830F" w:rsidR="00F1265A" w:rsidRDefault="00F1265A" w:rsidP="00F1265A">
      <w:pPr>
        <w:jc w:val="both"/>
        <w:rPr>
          <w:rFonts w:ascii="Garamond" w:hAnsi="Garamond" w:cstheme="minorHAnsi"/>
          <w:lang w:val="pt-PT"/>
        </w:rPr>
      </w:pPr>
      <w:r w:rsidRPr="00516101">
        <w:rPr>
          <w:rFonts w:ascii="Garamond" w:hAnsi="Garamond" w:cstheme="minorHAnsi"/>
          <w:lang w:val="pt-PT"/>
        </w:rPr>
        <w:t xml:space="preserve">O </w:t>
      </w:r>
      <w:proofErr w:type="spellStart"/>
      <w:r w:rsidRPr="00516101">
        <w:rPr>
          <w:rFonts w:ascii="Garamond" w:hAnsi="Garamond" w:cstheme="minorHAnsi"/>
          <w:lang w:val="pt-PT"/>
        </w:rPr>
        <w:t>PNIG</w:t>
      </w:r>
      <w:proofErr w:type="spellEnd"/>
      <w:r w:rsidRPr="00516101">
        <w:rPr>
          <w:rFonts w:ascii="Garamond" w:hAnsi="Garamond" w:cstheme="minorHAnsi"/>
          <w:lang w:val="pt-PT"/>
        </w:rPr>
        <w:t xml:space="preserve"> é um instrumento de planificação formulado de forma participativa, envolvendo </w:t>
      </w:r>
      <w:r w:rsidR="00DE4B83">
        <w:rPr>
          <w:rFonts w:ascii="Garamond" w:hAnsi="Garamond" w:cstheme="minorHAnsi"/>
          <w:lang w:val="pt-PT"/>
        </w:rPr>
        <w:t>não só o</w:t>
      </w:r>
      <w:r w:rsidRPr="00516101">
        <w:rPr>
          <w:rFonts w:ascii="Garamond" w:hAnsi="Garamond" w:cstheme="minorHAnsi"/>
          <w:lang w:val="pt-PT"/>
        </w:rPr>
        <w:t xml:space="preserve"> mecanismo governamenta</w:t>
      </w:r>
      <w:r w:rsidR="00D31E7D">
        <w:rPr>
          <w:rFonts w:ascii="Garamond" w:hAnsi="Garamond" w:cstheme="minorHAnsi"/>
          <w:lang w:val="pt-PT"/>
        </w:rPr>
        <w:t>l</w:t>
      </w:r>
      <w:r w:rsidRPr="00516101">
        <w:rPr>
          <w:rFonts w:ascii="Garamond" w:hAnsi="Garamond" w:cstheme="minorHAnsi"/>
          <w:lang w:val="pt-PT"/>
        </w:rPr>
        <w:t xml:space="preserve"> de género</w:t>
      </w:r>
      <w:r w:rsidR="00DE1199">
        <w:rPr>
          <w:rFonts w:ascii="Garamond" w:hAnsi="Garamond" w:cstheme="minorHAnsi"/>
          <w:lang w:val="pt-PT"/>
        </w:rPr>
        <w:t xml:space="preserve"> - </w:t>
      </w:r>
      <w:r w:rsidRPr="00516101">
        <w:rPr>
          <w:rFonts w:ascii="Garamond" w:hAnsi="Garamond" w:cstheme="minorHAnsi"/>
          <w:lang w:val="pt-PT"/>
        </w:rPr>
        <w:t>Ministério da Família e Inclusão Social</w:t>
      </w:r>
      <w:r w:rsidR="00DE1199">
        <w:rPr>
          <w:rFonts w:ascii="Garamond" w:hAnsi="Garamond" w:cstheme="minorHAnsi"/>
          <w:lang w:val="pt-PT"/>
        </w:rPr>
        <w:t xml:space="preserve"> (</w:t>
      </w:r>
      <w:proofErr w:type="spellStart"/>
      <w:r w:rsidR="00DE1199">
        <w:rPr>
          <w:rFonts w:ascii="Garamond" w:hAnsi="Garamond" w:cstheme="minorHAnsi"/>
          <w:lang w:val="pt-PT"/>
        </w:rPr>
        <w:t>MFIS</w:t>
      </w:r>
      <w:proofErr w:type="spellEnd"/>
      <w:r w:rsidR="00DE1199">
        <w:rPr>
          <w:rFonts w:ascii="Garamond" w:hAnsi="Garamond" w:cstheme="minorHAnsi"/>
          <w:lang w:val="pt-PT"/>
        </w:rPr>
        <w:t>)</w:t>
      </w:r>
      <w:r w:rsidRPr="00516101">
        <w:rPr>
          <w:rFonts w:ascii="Garamond" w:hAnsi="Garamond" w:cstheme="minorHAnsi"/>
          <w:lang w:val="pt-PT"/>
        </w:rPr>
        <w:t>,</w:t>
      </w:r>
      <w:r w:rsidR="00DE4B83">
        <w:rPr>
          <w:rFonts w:ascii="Garamond" w:hAnsi="Garamond" w:cstheme="minorHAnsi"/>
          <w:lang w:val="pt-PT"/>
        </w:rPr>
        <w:t xml:space="preserve"> responsável </w:t>
      </w:r>
      <w:proofErr w:type="spellStart"/>
      <w:r w:rsidR="00DE4B83">
        <w:rPr>
          <w:rFonts w:ascii="Garamond" w:hAnsi="Garamond" w:cstheme="minorHAnsi"/>
          <w:lang w:val="pt-PT"/>
        </w:rPr>
        <w:t>pelas</w:t>
      </w:r>
      <w:proofErr w:type="spellEnd"/>
      <w:r w:rsidR="00DE4B83">
        <w:rPr>
          <w:rFonts w:ascii="Garamond" w:hAnsi="Garamond" w:cstheme="minorHAnsi"/>
          <w:lang w:val="pt-PT"/>
        </w:rPr>
        <w:t xml:space="preserve"> políticas de género; </w:t>
      </w:r>
      <w:r w:rsidR="00D31E7D">
        <w:rPr>
          <w:rFonts w:ascii="Garamond" w:hAnsi="Garamond" w:cstheme="minorHAnsi"/>
          <w:lang w:val="pt-PT"/>
        </w:rPr>
        <w:t xml:space="preserve">o Instituto </w:t>
      </w:r>
      <w:r w:rsidRPr="00516101">
        <w:rPr>
          <w:rFonts w:ascii="Garamond" w:hAnsi="Garamond" w:cstheme="minorHAnsi"/>
          <w:lang w:val="pt-PT"/>
        </w:rPr>
        <w:t>Cabo-Verdiano para a Igualdade e Equidade de Género (</w:t>
      </w:r>
      <w:proofErr w:type="spellStart"/>
      <w:r w:rsidRPr="00516101">
        <w:rPr>
          <w:rFonts w:ascii="Garamond" w:hAnsi="Garamond" w:cstheme="minorHAnsi"/>
          <w:lang w:val="pt-PT"/>
        </w:rPr>
        <w:t>ICIEG</w:t>
      </w:r>
      <w:proofErr w:type="spellEnd"/>
      <w:r w:rsidRPr="00516101">
        <w:rPr>
          <w:rFonts w:ascii="Garamond" w:hAnsi="Garamond" w:cstheme="minorHAnsi"/>
          <w:lang w:val="pt-PT"/>
        </w:rPr>
        <w:t>)</w:t>
      </w:r>
      <w:r w:rsidR="00DE4B83">
        <w:rPr>
          <w:rFonts w:ascii="Garamond" w:hAnsi="Garamond" w:cstheme="minorHAnsi"/>
          <w:lang w:val="pt-PT"/>
        </w:rPr>
        <w:t xml:space="preserve">, responsável </w:t>
      </w:r>
      <w:proofErr w:type="spellStart"/>
      <w:r w:rsidR="00DE4B83">
        <w:rPr>
          <w:rFonts w:ascii="Garamond" w:hAnsi="Garamond" w:cstheme="minorHAnsi"/>
          <w:lang w:val="pt-PT"/>
        </w:rPr>
        <w:t>pela</w:t>
      </w:r>
      <w:proofErr w:type="spellEnd"/>
      <w:r w:rsidR="00DE4B83">
        <w:rPr>
          <w:rFonts w:ascii="Garamond" w:hAnsi="Garamond" w:cstheme="minorHAnsi"/>
          <w:lang w:val="pt-PT"/>
        </w:rPr>
        <w:t xml:space="preserve"> coordenação da implementação, seguimento e avaliação das políticas de género; e o</w:t>
      </w:r>
      <w:r w:rsidRPr="00516101">
        <w:rPr>
          <w:rFonts w:ascii="Garamond" w:hAnsi="Garamond" w:cstheme="minorHAnsi"/>
          <w:lang w:val="pt-PT"/>
        </w:rPr>
        <w:t xml:space="preserve"> Comité Intersectorial </w:t>
      </w:r>
      <w:r w:rsidRPr="00885B0D">
        <w:rPr>
          <w:rFonts w:ascii="Garamond" w:hAnsi="Garamond" w:cstheme="minorHAnsi"/>
          <w:lang w:val="pt-PT"/>
        </w:rPr>
        <w:t>Comissão Interministerial para a</w:t>
      </w:r>
      <w:r>
        <w:rPr>
          <w:rFonts w:ascii="Garamond" w:hAnsi="Garamond" w:cstheme="minorHAnsi"/>
          <w:lang w:val="pt-PT"/>
        </w:rPr>
        <w:t xml:space="preserve"> </w:t>
      </w:r>
      <w:proofErr w:type="spellStart"/>
      <w:r w:rsidRPr="00885B0D">
        <w:rPr>
          <w:rFonts w:ascii="Garamond" w:hAnsi="Garamond" w:cstheme="minorHAnsi"/>
          <w:lang w:val="pt-PT"/>
        </w:rPr>
        <w:t>Transversalização</w:t>
      </w:r>
      <w:proofErr w:type="spellEnd"/>
      <w:r w:rsidRPr="00885B0D">
        <w:rPr>
          <w:rFonts w:ascii="Garamond" w:hAnsi="Garamond" w:cstheme="minorHAnsi"/>
          <w:lang w:val="pt-PT"/>
        </w:rPr>
        <w:t xml:space="preserve"> da Abordagem de Género (Comissão de Género),</w:t>
      </w:r>
      <w:r w:rsidRPr="00516101">
        <w:rPr>
          <w:rFonts w:ascii="Garamond" w:hAnsi="Garamond" w:cstheme="minorHAnsi"/>
          <w:lang w:val="pt-PT"/>
        </w:rPr>
        <w:t xml:space="preserve"> </w:t>
      </w:r>
      <w:r w:rsidR="00DE4B83">
        <w:rPr>
          <w:rFonts w:ascii="Garamond" w:hAnsi="Garamond" w:cstheme="minorHAnsi"/>
          <w:lang w:val="pt-PT"/>
        </w:rPr>
        <w:t xml:space="preserve">como também </w:t>
      </w:r>
      <w:r w:rsidRPr="00516101">
        <w:rPr>
          <w:rFonts w:ascii="Garamond" w:hAnsi="Garamond" w:cstheme="minorHAnsi"/>
          <w:lang w:val="pt-PT"/>
        </w:rPr>
        <w:t xml:space="preserve">diferentes instituições governamentais, o parlamento  cabo-verdiano, através da Rede de Mulheres Parlamentares Cabo-Verdianas e Organizações da sociedade civil organizada que intervêm na matéria. O processo de desenvolvimento do </w:t>
      </w:r>
      <w:proofErr w:type="spellStart"/>
      <w:r w:rsidRPr="00516101">
        <w:rPr>
          <w:rFonts w:ascii="Garamond" w:hAnsi="Garamond" w:cstheme="minorHAnsi"/>
          <w:lang w:val="pt-PT"/>
        </w:rPr>
        <w:t>PNIG</w:t>
      </w:r>
      <w:proofErr w:type="spellEnd"/>
      <w:r w:rsidRPr="00516101">
        <w:rPr>
          <w:rFonts w:ascii="Garamond" w:hAnsi="Garamond" w:cstheme="minorHAnsi"/>
          <w:lang w:val="pt-PT"/>
        </w:rPr>
        <w:t xml:space="preserve"> foi coordenado </w:t>
      </w:r>
      <w:proofErr w:type="spellStart"/>
      <w:r w:rsidRPr="00516101">
        <w:rPr>
          <w:rFonts w:ascii="Garamond" w:hAnsi="Garamond" w:cstheme="minorHAnsi"/>
          <w:lang w:val="pt-PT"/>
        </w:rPr>
        <w:t>pelo</w:t>
      </w:r>
      <w:proofErr w:type="spellEnd"/>
      <w:r w:rsidRPr="00516101">
        <w:rPr>
          <w:rFonts w:ascii="Garamond" w:hAnsi="Garamond" w:cstheme="minorHAnsi"/>
          <w:lang w:val="pt-PT"/>
        </w:rPr>
        <w:t xml:space="preserve"> </w:t>
      </w:r>
      <w:proofErr w:type="spellStart"/>
      <w:r w:rsidRPr="00516101">
        <w:rPr>
          <w:rFonts w:ascii="Garamond" w:hAnsi="Garamond" w:cstheme="minorHAnsi"/>
          <w:lang w:val="pt-PT"/>
        </w:rPr>
        <w:t>ICIEG</w:t>
      </w:r>
      <w:proofErr w:type="spellEnd"/>
      <w:r w:rsidRPr="00516101">
        <w:rPr>
          <w:rFonts w:ascii="Garamond" w:hAnsi="Garamond" w:cstheme="minorHAnsi"/>
          <w:lang w:val="pt-PT"/>
        </w:rPr>
        <w:t xml:space="preserve"> e tecnicamente acompanhado por uma equipa técnica composta por representantes do </w:t>
      </w:r>
      <w:proofErr w:type="spellStart"/>
      <w:r w:rsidRPr="00516101">
        <w:rPr>
          <w:rFonts w:ascii="Garamond" w:hAnsi="Garamond" w:cstheme="minorHAnsi"/>
          <w:lang w:val="pt-PT"/>
        </w:rPr>
        <w:t>ICIEG</w:t>
      </w:r>
      <w:proofErr w:type="spellEnd"/>
      <w:r w:rsidRPr="00516101">
        <w:rPr>
          <w:rFonts w:ascii="Garamond" w:hAnsi="Garamond" w:cstheme="minorHAnsi"/>
          <w:lang w:val="pt-PT"/>
        </w:rPr>
        <w:t xml:space="preserve">, do Ministério da Família e Inclusão Social, </w:t>
      </w:r>
      <w:r w:rsidR="00DB544C">
        <w:rPr>
          <w:rFonts w:ascii="Garamond" w:hAnsi="Garamond" w:cstheme="minorHAnsi"/>
          <w:lang w:val="pt-PT"/>
        </w:rPr>
        <w:t xml:space="preserve">da </w:t>
      </w:r>
      <w:r w:rsidRPr="00516101">
        <w:rPr>
          <w:rFonts w:ascii="Garamond" w:hAnsi="Garamond" w:cstheme="minorHAnsi"/>
          <w:lang w:val="pt-PT"/>
        </w:rPr>
        <w:t xml:space="preserve">ONU Mulheres e </w:t>
      </w:r>
      <w:r w:rsidR="00DB544C">
        <w:rPr>
          <w:rFonts w:ascii="Garamond" w:hAnsi="Garamond" w:cstheme="minorHAnsi"/>
          <w:lang w:val="pt-PT"/>
        </w:rPr>
        <w:t xml:space="preserve">do </w:t>
      </w:r>
      <w:r w:rsidRPr="00516101">
        <w:rPr>
          <w:rFonts w:ascii="Garamond" w:hAnsi="Garamond" w:cstheme="minorHAnsi"/>
          <w:lang w:val="pt-PT"/>
        </w:rPr>
        <w:t xml:space="preserve">Escritório Conjunto do PNUD, </w:t>
      </w:r>
      <w:proofErr w:type="spellStart"/>
      <w:r w:rsidR="00DE4B83">
        <w:rPr>
          <w:rFonts w:ascii="Garamond" w:hAnsi="Garamond" w:cstheme="minorHAnsi"/>
          <w:lang w:val="pt-PT"/>
        </w:rPr>
        <w:t>UNFPA</w:t>
      </w:r>
      <w:proofErr w:type="spellEnd"/>
      <w:r w:rsidRPr="00516101">
        <w:rPr>
          <w:rFonts w:ascii="Garamond" w:hAnsi="Garamond" w:cstheme="minorHAnsi"/>
          <w:lang w:val="pt-PT"/>
        </w:rPr>
        <w:t xml:space="preserve"> e UNICEF. </w:t>
      </w:r>
    </w:p>
    <w:p w14:paraId="51A0328E" w14:textId="77777777" w:rsidR="00F1265A" w:rsidRPr="00516101" w:rsidRDefault="00F1265A" w:rsidP="00F1265A">
      <w:pPr>
        <w:jc w:val="both"/>
        <w:rPr>
          <w:rFonts w:ascii="Garamond" w:hAnsi="Garamond" w:cstheme="minorHAnsi"/>
          <w:lang w:val="pt-PT"/>
        </w:rPr>
      </w:pPr>
    </w:p>
    <w:p w14:paraId="6C447AB8" w14:textId="28980A59" w:rsidR="00F1265A" w:rsidRPr="00940496" w:rsidRDefault="00F1265A" w:rsidP="00F1265A">
      <w:pPr>
        <w:jc w:val="both"/>
        <w:rPr>
          <w:rFonts w:ascii="Garamond" w:hAnsi="Garamond" w:cs="Times New Roman"/>
          <w:lang w:val="pt-PT"/>
        </w:rPr>
      </w:pPr>
      <w:r w:rsidRPr="00940496">
        <w:rPr>
          <w:rFonts w:ascii="Garamond" w:hAnsi="Garamond" w:cs="Times New Roman"/>
          <w:lang w:val="pt-PT"/>
        </w:rPr>
        <w:t>Como parte</w:t>
      </w:r>
      <w:r>
        <w:rPr>
          <w:rFonts w:ascii="Garamond" w:hAnsi="Garamond" w:cs="Times New Roman"/>
          <w:lang w:val="pt-PT"/>
        </w:rPr>
        <w:t xml:space="preserve"> </w:t>
      </w:r>
      <w:r w:rsidRPr="00940496">
        <w:rPr>
          <w:rFonts w:ascii="Garamond" w:hAnsi="Garamond" w:cs="Times New Roman"/>
          <w:lang w:val="pt-PT"/>
        </w:rPr>
        <w:t xml:space="preserve">do processo da elaboração do </w:t>
      </w:r>
      <w:proofErr w:type="spellStart"/>
      <w:r w:rsidRPr="00940496">
        <w:rPr>
          <w:rFonts w:ascii="Garamond" w:hAnsi="Garamond" w:cs="Times New Roman"/>
          <w:lang w:val="pt-PT"/>
        </w:rPr>
        <w:t>PNIG</w:t>
      </w:r>
      <w:proofErr w:type="spellEnd"/>
      <w:r w:rsidRPr="00940496">
        <w:rPr>
          <w:rFonts w:ascii="Garamond" w:hAnsi="Garamond" w:cs="Times New Roman"/>
          <w:lang w:val="pt-PT"/>
        </w:rPr>
        <w:t xml:space="preserve"> (</w:t>
      </w:r>
      <w:r w:rsidRPr="00045097">
        <w:rPr>
          <w:rFonts w:ascii="Garamond" w:hAnsi="Garamond" w:cs="Times New Roman"/>
          <w:lang w:val="pt-PT"/>
        </w:rPr>
        <w:t>2019-202</w:t>
      </w:r>
      <w:r w:rsidR="00A26418" w:rsidRPr="00045097">
        <w:rPr>
          <w:rFonts w:ascii="Garamond" w:hAnsi="Garamond" w:cs="Times New Roman"/>
          <w:lang w:val="pt-PT"/>
        </w:rPr>
        <w:t>3</w:t>
      </w:r>
      <w:r w:rsidRPr="00045097">
        <w:rPr>
          <w:rFonts w:ascii="Garamond" w:hAnsi="Garamond" w:cs="Times New Roman"/>
          <w:lang w:val="pt-PT"/>
        </w:rPr>
        <w:t xml:space="preserve">), e complementar </w:t>
      </w:r>
      <w:r w:rsidR="008C1141">
        <w:rPr>
          <w:rFonts w:ascii="Garamond" w:hAnsi="Garamond" w:cs="Times New Roman"/>
          <w:lang w:val="pt-PT"/>
        </w:rPr>
        <w:t>à</w:t>
      </w:r>
      <w:r>
        <w:rPr>
          <w:rFonts w:ascii="Garamond" w:hAnsi="Garamond" w:cs="Times New Roman"/>
          <w:lang w:val="pt-PT"/>
        </w:rPr>
        <w:t xml:space="preserve"> revisão documental abrangente</w:t>
      </w:r>
      <w:r w:rsidR="008C1141">
        <w:rPr>
          <w:rFonts w:ascii="Garamond" w:hAnsi="Garamond" w:cs="Times New Roman"/>
          <w:lang w:val="pt-PT"/>
        </w:rPr>
        <w:t>,</w:t>
      </w:r>
      <w:r>
        <w:rPr>
          <w:rStyle w:val="Refdenotaderodap"/>
          <w:rFonts w:ascii="Garamond" w:hAnsi="Garamond" w:cs="Times New Roman"/>
          <w:lang w:val="pt-PT"/>
        </w:rPr>
        <w:footnoteReference w:id="2"/>
      </w:r>
      <w:r w:rsidRPr="00940496">
        <w:rPr>
          <w:rFonts w:ascii="Garamond" w:hAnsi="Garamond" w:cs="Times New Roman"/>
          <w:lang w:val="pt-PT"/>
        </w:rPr>
        <w:t xml:space="preserve"> </w:t>
      </w:r>
      <w:r>
        <w:rPr>
          <w:rFonts w:ascii="Garamond" w:hAnsi="Garamond" w:cs="Times New Roman"/>
          <w:lang w:val="pt-PT"/>
        </w:rPr>
        <w:t xml:space="preserve">realizou-se </w:t>
      </w:r>
      <w:r w:rsidRPr="00940496">
        <w:rPr>
          <w:rFonts w:ascii="Garamond" w:hAnsi="Garamond" w:cs="Times New Roman"/>
          <w:lang w:val="pt-PT"/>
        </w:rPr>
        <w:t xml:space="preserve">uma etapa de </w:t>
      </w:r>
      <w:r>
        <w:rPr>
          <w:rFonts w:ascii="Garamond" w:hAnsi="Garamond" w:cs="Times New Roman"/>
          <w:lang w:val="pt-PT"/>
        </w:rPr>
        <w:t>a</w:t>
      </w:r>
      <w:r w:rsidRPr="00940496">
        <w:rPr>
          <w:rFonts w:ascii="Garamond" w:hAnsi="Garamond" w:cs="Times New Roman"/>
          <w:lang w:val="pt-PT"/>
        </w:rPr>
        <w:t>nálise</w:t>
      </w:r>
      <w:r>
        <w:rPr>
          <w:rFonts w:ascii="Garamond" w:hAnsi="Garamond" w:cs="Times New Roman"/>
          <w:lang w:val="pt-PT"/>
        </w:rPr>
        <w:t xml:space="preserve"> participativa</w:t>
      </w:r>
      <w:r w:rsidRPr="00940496">
        <w:rPr>
          <w:rFonts w:ascii="Garamond" w:hAnsi="Garamond" w:cs="Times New Roman"/>
          <w:lang w:val="pt-PT"/>
        </w:rPr>
        <w:t xml:space="preserve"> dos avanços </w:t>
      </w:r>
      <w:r>
        <w:rPr>
          <w:rFonts w:ascii="Garamond" w:hAnsi="Garamond" w:cs="Times New Roman"/>
          <w:lang w:val="pt-PT"/>
        </w:rPr>
        <w:t>alcançados c</w:t>
      </w:r>
      <w:r w:rsidRPr="00940496">
        <w:rPr>
          <w:rFonts w:ascii="Garamond" w:hAnsi="Garamond" w:cs="Times New Roman"/>
          <w:lang w:val="pt-PT"/>
        </w:rPr>
        <w:t xml:space="preserve">om a implementação do </w:t>
      </w:r>
      <w:proofErr w:type="spellStart"/>
      <w:r w:rsidRPr="00940496">
        <w:rPr>
          <w:rFonts w:ascii="Garamond" w:hAnsi="Garamond" w:cs="Times New Roman"/>
          <w:lang w:val="pt-PT"/>
        </w:rPr>
        <w:t>PNIG</w:t>
      </w:r>
      <w:proofErr w:type="spellEnd"/>
      <w:r w:rsidRPr="00940496">
        <w:rPr>
          <w:rFonts w:ascii="Garamond" w:hAnsi="Garamond" w:cs="Times New Roman"/>
          <w:lang w:val="pt-PT"/>
        </w:rPr>
        <w:t xml:space="preserve"> (2015-201</w:t>
      </w:r>
      <w:r w:rsidR="00DE4B83">
        <w:rPr>
          <w:rFonts w:ascii="Garamond" w:hAnsi="Garamond" w:cs="Times New Roman"/>
          <w:lang w:val="pt-PT"/>
        </w:rPr>
        <w:t>9</w:t>
      </w:r>
      <w:r w:rsidRPr="00940496">
        <w:rPr>
          <w:rFonts w:ascii="Garamond" w:hAnsi="Garamond" w:cs="Times New Roman"/>
          <w:lang w:val="pt-PT"/>
        </w:rPr>
        <w:t>) e desafios encontrados</w:t>
      </w:r>
      <w:r>
        <w:rPr>
          <w:rFonts w:ascii="Garamond" w:hAnsi="Garamond" w:cs="Times New Roman"/>
          <w:lang w:val="pt-PT"/>
        </w:rPr>
        <w:t xml:space="preserve">, assim como de priorização das medidas </w:t>
      </w:r>
      <w:r w:rsidR="008C1141">
        <w:rPr>
          <w:rFonts w:ascii="Garamond" w:hAnsi="Garamond" w:cs="Times New Roman"/>
          <w:lang w:val="pt-PT"/>
        </w:rPr>
        <w:t xml:space="preserve">de </w:t>
      </w:r>
      <w:proofErr w:type="spellStart"/>
      <w:r w:rsidR="008C1141">
        <w:rPr>
          <w:rFonts w:ascii="Garamond" w:hAnsi="Garamond" w:cs="Times New Roman"/>
          <w:lang w:val="pt-PT"/>
        </w:rPr>
        <w:t>ação</w:t>
      </w:r>
      <w:proofErr w:type="spellEnd"/>
      <w:r>
        <w:rPr>
          <w:rFonts w:ascii="Garamond" w:hAnsi="Garamond" w:cs="Times New Roman"/>
          <w:lang w:val="pt-PT"/>
        </w:rPr>
        <w:t xml:space="preserve"> para o novo </w:t>
      </w:r>
      <w:proofErr w:type="spellStart"/>
      <w:r>
        <w:rPr>
          <w:rFonts w:ascii="Garamond" w:hAnsi="Garamond" w:cs="Times New Roman"/>
          <w:lang w:val="pt-PT"/>
        </w:rPr>
        <w:t>PNIG</w:t>
      </w:r>
      <w:proofErr w:type="spellEnd"/>
      <w:r>
        <w:rPr>
          <w:rFonts w:ascii="Garamond" w:hAnsi="Garamond" w:cs="Times New Roman"/>
          <w:lang w:val="pt-PT"/>
        </w:rPr>
        <w:t>, com base nas prioridades identificadas e</w:t>
      </w:r>
      <w:r w:rsidRPr="00885B0D">
        <w:rPr>
          <w:rFonts w:ascii="Garamond" w:hAnsi="Garamond" w:cs="Times New Roman"/>
          <w:lang w:val="pt-PT"/>
        </w:rPr>
        <w:t xml:space="preserve"> nos compromissos políticos</w:t>
      </w:r>
      <w:r>
        <w:rPr>
          <w:rFonts w:ascii="Garamond" w:hAnsi="Garamond" w:cs="Times New Roman"/>
          <w:lang w:val="pt-PT"/>
        </w:rPr>
        <w:t xml:space="preserve"> </w:t>
      </w:r>
      <w:r w:rsidRPr="00885B0D">
        <w:rPr>
          <w:rFonts w:ascii="Garamond" w:hAnsi="Garamond" w:cs="Times New Roman"/>
          <w:lang w:val="pt-PT"/>
        </w:rPr>
        <w:t>existentes</w:t>
      </w:r>
      <w:r w:rsidRPr="00940496">
        <w:rPr>
          <w:rFonts w:ascii="Garamond" w:hAnsi="Garamond" w:cs="Times New Roman"/>
          <w:lang w:val="pt-PT"/>
        </w:rPr>
        <w:t xml:space="preserve">. Esta etapa </w:t>
      </w:r>
      <w:r>
        <w:rPr>
          <w:rFonts w:ascii="Garamond" w:hAnsi="Garamond" w:cs="Times New Roman"/>
          <w:lang w:val="pt-PT"/>
        </w:rPr>
        <w:t>foi</w:t>
      </w:r>
      <w:r w:rsidRPr="00940496">
        <w:rPr>
          <w:rFonts w:ascii="Garamond" w:hAnsi="Garamond" w:cs="Times New Roman"/>
          <w:lang w:val="pt-PT"/>
        </w:rPr>
        <w:t xml:space="preserve"> fundamental para dar uma</w:t>
      </w:r>
      <w:r>
        <w:rPr>
          <w:rFonts w:ascii="Garamond" w:hAnsi="Garamond" w:cs="Times New Roman"/>
          <w:lang w:val="pt-PT"/>
        </w:rPr>
        <w:t xml:space="preserve"> </w:t>
      </w:r>
      <w:r w:rsidRPr="00940496">
        <w:rPr>
          <w:rFonts w:ascii="Garamond" w:hAnsi="Garamond" w:cs="Times New Roman"/>
          <w:lang w:val="pt-PT"/>
        </w:rPr>
        <w:t xml:space="preserve">dimensão dos progressos conseguidos na implementação dos diferentes eixos do anterior </w:t>
      </w:r>
      <w:proofErr w:type="spellStart"/>
      <w:r w:rsidRPr="00940496">
        <w:rPr>
          <w:rFonts w:ascii="Garamond" w:hAnsi="Garamond" w:cs="Times New Roman"/>
          <w:lang w:val="pt-PT"/>
        </w:rPr>
        <w:t>PNI</w:t>
      </w:r>
      <w:r>
        <w:rPr>
          <w:rFonts w:ascii="Garamond" w:hAnsi="Garamond" w:cs="Times New Roman"/>
          <w:lang w:val="pt-PT"/>
        </w:rPr>
        <w:t>G</w:t>
      </w:r>
      <w:proofErr w:type="spellEnd"/>
      <w:r w:rsidRPr="00940496">
        <w:rPr>
          <w:rFonts w:ascii="Garamond" w:hAnsi="Garamond" w:cs="Times New Roman"/>
          <w:lang w:val="pt-PT"/>
        </w:rPr>
        <w:t>, bem como das lições</w:t>
      </w:r>
      <w:r>
        <w:rPr>
          <w:rFonts w:ascii="Garamond" w:hAnsi="Garamond" w:cs="Times New Roman"/>
          <w:lang w:val="pt-PT"/>
        </w:rPr>
        <w:t xml:space="preserve"> </w:t>
      </w:r>
      <w:r w:rsidRPr="00940496">
        <w:rPr>
          <w:rFonts w:ascii="Garamond" w:hAnsi="Garamond" w:cs="Times New Roman"/>
          <w:lang w:val="pt-PT"/>
        </w:rPr>
        <w:t xml:space="preserve">aprendidas e desafios encontrados no processo de implementação. A revisão </w:t>
      </w:r>
      <w:r>
        <w:rPr>
          <w:rFonts w:ascii="Garamond" w:hAnsi="Garamond" w:cs="Times New Roman"/>
          <w:lang w:val="pt-PT"/>
        </w:rPr>
        <w:t xml:space="preserve">também </w:t>
      </w:r>
      <w:r w:rsidRPr="00940496">
        <w:rPr>
          <w:rFonts w:ascii="Garamond" w:hAnsi="Garamond" w:cs="Times New Roman"/>
          <w:lang w:val="pt-PT"/>
        </w:rPr>
        <w:t>incidi</w:t>
      </w:r>
      <w:r>
        <w:rPr>
          <w:rFonts w:ascii="Garamond" w:hAnsi="Garamond" w:cs="Times New Roman"/>
          <w:lang w:val="pt-PT"/>
        </w:rPr>
        <w:t xml:space="preserve">u </w:t>
      </w:r>
      <w:r w:rsidRPr="001C50C8">
        <w:rPr>
          <w:rFonts w:ascii="Garamond" w:hAnsi="Garamond" w:cs="Times New Roman"/>
          <w:lang w:val="pt-PT"/>
        </w:rPr>
        <w:t xml:space="preserve">sobre outros </w:t>
      </w:r>
      <w:proofErr w:type="spellStart"/>
      <w:r w:rsidRPr="001C50C8">
        <w:rPr>
          <w:rFonts w:ascii="Garamond" w:hAnsi="Garamond" w:cs="Times New Roman"/>
          <w:lang w:val="pt-PT"/>
        </w:rPr>
        <w:t>aspetos</w:t>
      </w:r>
      <w:proofErr w:type="spellEnd"/>
      <w:r w:rsidRPr="001C50C8">
        <w:rPr>
          <w:rFonts w:ascii="Garamond" w:hAnsi="Garamond" w:cs="Times New Roman"/>
          <w:lang w:val="pt-PT"/>
        </w:rPr>
        <w:t xml:space="preserve"> da operacionalização do </w:t>
      </w:r>
      <w:proofErr w:type="spellStart"/>
      <w:r w:rsidRPr="001C50C8">
        <w:rPr>
          <w:rFonts w:ascii="Garamond" w:hAnsi="Garamond" w:cs="Times New Roman"/>
          <w:lang w:val="pt-PT"/>
        </w:rPr>
        <w:t>PNIG</w:t>
      </w:r>
      <w:proofErr w:type="spellEnd"/>
      <w:r w:rsidRPr="001C50C8">
        <w:rPr>
          <w:rFonts w:ascii="Garamond" w:hAnsi="Garamond" w:cs="Times New Roman"/>
          <w:lang w:val="pt-PT"/>
        </w:rPr>
        <w:t>, em particular em termos de coordenação, capacidades, orçamentos, seguimento e avaliação, reportagem.</w:t>
      </w:r>
      <w:r w:rsidR="00A26418" w:rsidRPr="001C50C8">
        <w:rPr>
          <w:rFonts w:ascii="Garamond" w:hAnsi="Garamond" w:cs="Times New Roman"/>
          <w:lang w:val="pt-PT"/>
        </w:rPr>
        <w:t xml:space="preserve"> </w:t>
      </w:r>
      <w:r w:rsidRPr="001C50C8">
        <w:rPr>
          <w:rFonts w:ascii="Garamond" w:hAnsi="Garamond" w:cs="Times New Roman"/>
          <w:lang w:val="pt-PT"/>
        </w:rPr>
        <w:t xml:space="preserve">Alem de sessões de trabalho com o </w:t>
      </w:r>
      <w:proofErr w:type="spellStart"/>
      <w:r w:rsidRPr="001C50C8">
        <w:rPr>
          <w:rFonts w:ascii="Garamond" w:hAnsi="Garamond" w:cs="Times New Roman"/>
          <w:lang w:val="pt-PT"/>
        </w:rPr>
        <w:t>ICIEG</w:t>
      </w:r>
      <w:proofErr w:type="spellEnd"/>
      <w:r w:rsidR="008C1141" w:rsidRPr="001C50C8">
        <w:rPr>
          <w:rFonts w:ascii="Garamond" w:hAnsi="Garamond" w:cs="Times New Roman"/>
          <w:lang w:val="pt-PT"/>
        </w:rPr>
        <w:t xml:space="preserve"> e</w:t>
      </w:r>
      <w:r w:rsidRPr="001C50C8">
        <w:rPr>
          <w:rFonts w:ascii="Garamond" w:hAnsi="Garamond" w:cs="Times New Roman"/>
          <w:lang w:val="pt-PT"/>
        </w:rPr>
        <w:t xml:space="preserve"> com o Comité de Género, foram realizadas </w:t>
      </w:r>
      <w:r w:rsidR="00F53B8D">
        <w:rPr>
          <w:rFonts w:ascii="Garamond" w:hAnsi="Garamond" w:cs="Times New Roman"/>
          <w:lang w:val="pt-PT"/>
        </w:rPr>
        <w:t xml:space="preserve">mais de </w:t>
      </w:r>
      <w:r w:rsidR="005B3E7A">
        <w:rPr>
          <w:rFonts w:ascii="Garamond" w:hAnsi="Garamond" w:cs="Times New Roman"/>
          <w:lang w:val="pt-PT"/>
        </w:rPr>
        <w:t>50</w:t>
      </w:r>
      <w:r w:rsidRPr="001C50C8">
        <w:rPr>
          <w:rFonts w:ascii="Garamond" w:hAnsi="Garamond" w:cs="Times New Roman"/>
          <w:lang w:val="pt-PT"/>
        </w:rPr>
        <w:t xml:space="preserve"> entrevistas</w:t>
      </w:r>
      <w:r w:rsidR="008C1141" w:rsidRPr="001C50C8">
        <w:rPr>
          <w:rFonts w:ascii="Garamond" w:hAnsi="Garamond" w:cs="Times New Roman"/>
          <w:lang w:val="pt-PT"/>
        </w:rPr>
        <w:t xml:space="preserve"> com diferentes sectores e instituições (ver lista em anexo 1), e dois Ateliers de socialização, discussão e validação do quadro estratégico e operacional do </w:t>
      </w:r>
      <w:proofErr w:type="spellStart"/>
      <w:r w:rsidR="008C1141" w:rsidRPr="001C50C8">
        <w:rPr>
          <w:rFonts w:ascii="Garamond" w:hAnsi="Garamond" w:cs="Times New Roman"/>
          <w:lang w:val="pt-PT"/>
        </w:rPr>
        <w:t>PNIG</w:t>
      </w:r>
      <w:proofErr w:type="spellEnd"/>
      <w:r w:rsidR="008C1141" w:rsidRPr="001C50C8">
        <w:rPr>
          <w:rFonts w:ascii="Garamond" w:hAnsi="Garamond" w:cs="Times New Roman"/>
          <w:lang w:val="pt-PT"/>
        </w:rPr>
        <w:t>, um realizado na Praia, outro em São Vicente</w:t>
      </w:r>
      <w:r w:rsidRPr="001C50C8">
        <w:rPr>
          <w:rFonts w:ascii="Garamond" w:hAnsi="Garamond" w:cs="Times New Roman"/>
          <w:lang w:val="pt-PT"/>
        </w:rPr>
        <w:t xml:space="preserve">, </w:t>
      </w:r>
      <w:r w:rsidR="008C1141" w:rsidRPr="001C50C8">
        <w:rPr>
          <w:rFonts w:ascii="Garamond" w:hAnsi="Garamond" w:cs="Times New Roman"/>
          <w:lang w:val="pt-PT"/>
        </w:rPr>
        <w:t>com os principais intervenientes e parceiros. A</w:t>
      </w:r>
      <w:r w:rsidR="00A26418" w:rsidRPr="001C50C8">
        <w:rPr>
          <w:rFonts w:ascii="Garamond" w:hAnsi="Garamond" w:cs="Times New Roman"/>
          <w:lang w:val="pt-PT"/>
        </w:rPr>
        <w:t xml:space="preserve"> </w:t>
      </w:r>
      <w:r w:rsidRPr="001C50C8">
        <w:rPr>
          <w:rFonts w:ascii="Garamond" w:hAnsi="Garamond" w:cs="Times New Roman"/>
          <w:lang w:val="pt-PT"/>
        </w:rPr>
        <w:t xml:space="preserve">participação e </w:t>
      </w:r>
      <w:r w:rsidR="00A26418" w:rsidRPr="001C50C8">
        <w:rPr>
          <w:rFonts w:ascii="Garamond" w:hAnsi="Garamond" w:cs="Times New Roman"/>
          <w:lang w:val="pt-PT"/>
        </w:rPr>
        <w:t xml:space="preserve">a </w:t>
      </w:r>
      <w:r w:rsidRPr="001C50C8">
        <w:rPr>
          <w:rFonts w:ascii="Garamond" w:hAnsi="Garamond" w:cs="Times New Roman"/>
          <w:lang w:val="pt-PT"/>
        </w:rPr>
        <w:t>apropriação d</w:t>
      </w:r>
      <w:r w:rsidR="00A26418" w:rsidRPr="001C50C8">
        <w:rPr>
          <w:rFonts w:ascii="Garamond" w:hAnsi="Garamond" w:cs="Times New Roman"/>
          <w:lang w:val="pt-PT"/>
        </w:rPr>
        <w:t>e tod</w:t>
      </w:r>
      <w:r w:rsidR="00A26418">
        <w:rPr>
          <w:rFonts w:ascii="Garamond" w:hAnsi="Garamond" w:cs="Times New Roman"/>
          <w:lang w:val="pt-PT"/>
        </w:rPr>
        <w:t xml:space="preserve">os os </w:t>
      </w:r>
      <w:proofErr w:type="spellStart"/>
      <w:r w:rsidR="00A26418">
        <w:rPr>
          <w:rFonts w:ascii="Garamond" w:hAnsi="Garamond" w:cs="Times New Roman"/>
          <w:lang w:val="pt-PT"/>
        </w:rPr>
        <w:t>atores</w:t>
      </w:r>
      <w:proofErr w:type="spellEnd"/>
      <w:r w:rsidR="00A26418">
        <w:rPr>
          <w:rFonts w:ascii="Garamond" w:hAnsi="Garamond" w:cs="Times New Roman"/>
          <w:lang w:val="pt-PT"/>
        </w:rPr>
        <w:t xml:space="preserve"> </w:t>
      </w:r>
      <w:r w:rsidR="008C1141">
        <w:rPr>
          <w:rFonts w:ascii="Garamond" w:hAnsi="Garamond" w:cs="Times New Roman"/>
          <w:lang w:val="pt-PT"/>
        </w:rPr>
        <w:t xml:space="preserve">foi tida como </w:t>
      </w:r>
      <w:r w:rsidR="00A26418">
        <w:rPr>
          <w:rFonts w:ascii="Garamond" w:hAnsi="Garamond" w:cs="Times New Roman"/>
          <w:lang w:val="pt-PT"/>
        </w:rPr>
        <w:t>fundamental para a</w:t>
      </w:r>
      <w:r>
        <w:rPr>
          <w:rFonts w:ascii="Garamond" w:hAnsi="Garamond" w:cs="Times New Roman"/>
          <w:lang w:val="pt-PT"/>
        </w:rPr>
        <w:t xml:space="preserve"> implementação das medidas </w:t>
      </w:r>
      <w:r w:rsidR="00A26418">
        <w:rPr>
          <w:rFonts w:ascii="Garamond" w:hAnsi="Garamond" w:cs="Times New Roman"/>
          <w:lang w:val="pt-PT"/>
        </w:rPr>
        <w:t xml:space="preserve">identificadas, </w:t>
      </w:r>
      <w:r>
        <w:rPr>
          <w:rFonts w:ascii="Garamond" w:hAnsi="Garamond" w:cs="Times New Roman"/>
          <w:lang w:val="pt-PT"/>
        </w:rPr>
        <w:t xml:space="preserve">em linha com os papeis a desempenhar e as responsabilidades atribuídas no plano. </w:t>
      </w:r>
    </w:p>
    <w:p w14:paraId="1A24CA26" w14:textId="5B3AA756" w:rsidR="00F1265A" w:rsidRDefault="00F1265A" w:rsidP="00F1265A">
      <w:pPr>
        <w:jc w:val="both"/>
        <w:rPr>
          <w:rFonts w:ascii="Garamond" w:hAnsi="Garamond" w:cs="Times New Roman"/>
          <w:lang w:val="pt-PT"/>
        </w:rPr>
      </w:pPr>
    </w:p>
    <w:p w14:paraId="74327DEC" w14:textId="77777777" w:rsidR="00DE1199" w:rsidRDefault="00DE1199" w:rsidP="00F1265A">
      <w:pPr>
        <w:jc w:val="both"/>
        <w:rPr>
          <w:rFonts w:ascii="Garamond" w:hAnsi="Garamond" w:cs="Times New Roman"/>
          <w:lang w:val="pt-PT"/>
        </w:rPr>
      </w:pPr>
    </w:p>
    <w:p w14:paraId="151BC08D" w14:textId="2D52C41F" w:rsidR="00A26418" w:rsidRDefault="00A26418">
      <w:pPr>
        <w:rPr>
          <w:rFonts w:ascii="Garamond" w:hAnsi="Garamond" w:cs="Times New Roman"/>
          <w:lang w:val="pt-PT"/>
        </w:rPr>
      </w:pPr>
      <w:r>
        <w:rPr>
          <w:rFonts w:ascii="Garamond" w:hAnsi="Garamond" w:cs="Times New Roman"/>
          <w:lang w:val="pt-PT"/>
        </w:rPr>
        <w:br w:type="page"/>
      </w:r>
    </w:p>
    <w:p w14:paraId="4C8D1C06" w14:textId="18EE06E2" w:rsidR="00F1265A" w:rsidRPr="00CD09C2" w:rsidRDefault="00F1265A" w:rsidP="009D0E9C">
      <w:pPr>
        <w:pStyle w:val="Ttulo1"/>
        <w:rPr>
          <w:rFonts w:ascii="Garamond" w:hAnsi="Garamond"/>
          <w:bCs w:val="0"/>
          <w:sz w:val="28"/>
          <w:szCs w:val="28"/>
          <w:lang w:val="pt-PT"/>
        </w:rPr>
      </w:pPr>
      <w:bookmarkStart w:id="7" w:name="_Toc32858118"/>
      <w:r w:rsidRPr="00CD09C2">
        <w:rPr>
          <w:rFonts w:ascii="Garamond" w:hAnsi="Garamond"/>
          <w:bCs w:val="0"/>
          <w:sz w:val="28"/>
          <w:szCs w:val="28"/>
          <w:lang w:val="pt-PT"/>
        </w:rPr>
        <w:t xml:space="preserve">PARTE II – CONTEXTO DE </w:t>
      </w:r>
      <w:r w:rsidR="004F1905" w:rsidRPr="00CD09C2">
        <w:rPr>
          <w:rFonts w:ascii="Garamond" w:hAnsi="Garamond"/>
          <w:bCs w:val="0"/>
          <w:sz w:val="28"/>
          <w:szCs w:val="28"/>
          <w:lang w:val="pt-PT"/>
        </w:rPr>
        <w:t>IMPLEMENTAÇÃO</w:t>
      </w:r>
      <w:r w:rsidRPr="00CD09C2">
        <w:rPr>
          <w:rFonts w:ascii="Garamond" w:hAnsi="Garamond"/>
          <w:bCs w:val="0"/>
          <w:sz w:val="28"/>
          <w:szCs w:val="28"/>
          <w:lang w:val="pt-PT"/>
        </w:rPr>
        <w:t xml:space="preserve"> DO </w:t>
      </w:r>
      <w:proofErr w:type="spellStart"/>
      <w:r w:rsidRPr="00CD09C2">
        <w:rPr>
          <w:rFonts w:ascii="Garamond" w:hAnsi="Garamond"/>
          <w:bCs w:val="0"/>
          <w:sz w:val="28"/>
          <w:szCs w:val="28"/>
          <w:lang w:val="pt-PT"/>
        </w:rPr>
        <w:t>PNIG</w:t>
      </w:r>
      <w:bookmarkEnd w:id="7"/>
      <w:proofErr w:type="spellEnd"/>
    </w:p>
    <w:p w14:paraId="6F563081" w14:textId="77777777" w:rsidR="00905932" w:rsidRDefault="00F1265A" w:rsidP="00905932">
      <w:pPr>
        <w:pStyle w:val="Ttulo2"/>
        <w:jc w:val="both"/>
        <w:rPr>
          <w:rFonts w:ascii="Garamond" w:hAnsi="Garamond" w:cs="Times New Roman"/>
          <w:color w:val="auto"/>
          <w:lang w:val="pt-PT"/>
        </w:rPr>
      </w:pPr>
      <w:bookmarkStart w:id="8" w:name="_Toc32858119"/>
      <w:r w:rsidRPr="00905932">
        <w:rPr>
          <w:rFonts w:ascii="Garamond" w:hAnsi="Garamond" w:cs="Times New Roman"/>
          <w:b/>
          <w:color w:val="auto"/>
          <w:sz w:val="28"/>
          <w:szCs w:val="28"/>
          <w:lang w:val="pt-PT"/>
        </w:rPr>
        <w:t xml:space="preserve">Quadro político, institucional e normativo para a implementação do </w:t>
      </w:r>
      <w:proofErr w:type="spellStart"/>
      <w:r w:rsidRPr="00905932">
        <w:rPr>
          <w:rFonts w:ascii="Garamond" w:hAnsi="Garamond" w:cs="Times New Roman"/>
          <w:b/>
          <w:color w:val="auto"/>
          <w:sz w:val="28"/>
          <w:szCs w:val="28"/>
          <w:lang w:val="pt-PT"/>
        </w:rPr>
        <w:t>PNIG</w:t>
      </w:r>
      <w:bookmarkEnd w:id="8"/>
      <w:proofErr w:type="spellEnd"/>
      <w:r w:rsidRPr="00905932">
        <w:rPr>
          <w:rFonts w:ascii="Garamond" w:hAnsi="Garamond" w:cs="Times New Roman"/>
          <w:color w:val="auto"/>
          <w:lang w:val="pt-PT"/>
        </w:rPr>
        <w:t xml:space="preserve"> </w:t>
      </w:r>
    </w:p>
    <w:p w14:paraId="10AA2C00" w14:textId="5D3E0AF5" w:rsidR="00F1265A" w:rsidRPr="00905932" w:rsidRDefault="00F1265A" w:rsidP="00905932">
      <w:pPr>
        <w:spacing w:after="240"/>
        <w:jc w:val="both"/>
        <w:rPr>
          <w:rFonts w:ascii="Garamond" w:hAnsi="Garamond" w:cs="Calibri"/>
          <w:color w:val="141414"/>
          <w:lang w:val="pt-PT"/>
        </w:rPr>
      </w:pPr>
      <w:r w:rsidRPr="00905932">
        <w:rPr>
          <w:rFonts w:ascii="Garamond" w:hAnsi="Garamond" w:cs="Calibri"/>
          <w:color w:val="141414"/>
          <w:lang w:val="pt-PT"/>
        </w:rPr>
        <w:t xml:space="preserve">Ao ratificar as principais convenções e tratados internacionais de direitos humanos das mulheres e ao subscrever, em 2015, a Agenda dos </w:t>
      </w:r>
      <w:proofErr w:type="spellStart"/>
      <w:r w:rsidRPr="00905932">
        <w:rPr>
          <w:rFonts w:ascii="Garamond" w:hAnsi="Garamond" w:cs="Calibri"/>
          <w:color w:val="141414"/>
          <w:lang w:val="pt-PT"/>
        </w:rPr>
        <w:t>Objetivos</w:t>
      </w:r>
      <w:proofErr w:type="spellEnd"/>
      <w:r w:rsidRPr="00905932">
        <w:rPr>
          <w:rFonts w:ascii="Garamond" w:hAnsi="Garamond" w:cs="Calibri"/>
          <w:color w:val="141414"/>
          <w:lang w:val="pt-PT"/>
        </w:rPr>
        <w:t xml:space="preserve"> de Desenvolvimento Sustentável, Cabo Verde reconhece que a igualdade entre mulheres e homens é uma questão de direitos humanos e uma condição essencial para alcanç</w:t>
      </w:r>
      <w:r w:rsidRPr="00905932">
        <w:rPr>
          <w:rFonts w:ascii="Garamond" w:hAnsi="Garamond"/>
          <w:color w:val="141414"/>
          <w:lang w:val="pt-PT"/>
        </w:rPr>
        <w:t>a</w:t>
      </w:r>
      <w:r w:rsidRPr="00905932">
        <w:rPr>
          <w:rFonts w:ascii="Garamond" w:hAnsi="Garamond" w:cs="Calibri"/>
          <w:color w:val="141414"/>
          <w:lang w:val="pt-PT"/>
        </w:rPr>
        <w:t>r a justiça social e um pré-requisito para a igualdade, o</w:t>
      </w:r>
      <w:r w:rsidR="00905932">
        <w:rPr>
          <w:rFonts w:ascii="Garamond" w:hAnsi="Garamond" w:cs="Calibri"/>
          <w:color w:val="141414"/>
          <w:lang w:val="pt-PT"/>
        </w:rPr>
        <w:t xml:space="preserve"> d</w:t>
      </w:r>
      <w:r w:rsidRPr="00905932">
        <w:rPr>
          <w:rFonts w:ascii="Garamond" w:hAnsi="Garamond" w:cs="Calibri"/>
          <w:color w:val="141414"/>
          <w:lang w:val="pt-PT"/>
        </w:rPr>
        <w:t xml:space="preserve">esenvolvimento e a paz social. Este compromisso está </w:t>
      </w:r>
      <w:proofErr w:type="spellStart"/>
      <w:r w:rsidRPr="00905932">
        <w:rPr>
          <w:rFonts w:ascii="Garamond" w:hAnsi="Garamond" w:cs="Calibri"/>
          <w:color w:val="141414"/>
          <w:lang w:val="pt-PT"/>
        </w:rPr>
        <w:t>refletido</w:t>
      </w:r>
      <w:proofErr w:type="spellEnd"/>
      <w:r w:rsidRPr="00905932">
        <w:rPr>
          <w:rFonts w:ascii="Garamond" w:hAnsi="Garamond" w:cs="Calibri"/>
          <w:color w:val="141414"/>
          <w:lang w:val="pt-PT"/>
        </w:rPr>
        <w:t xml:space="preserve"> nos principais documentos de governação nacional, como seja, o Programa do Governo para a IX Legislatura (2016-2021) e o Plano Estratégico de Desenvolvimento Sustentável (</w:t>
      </w:r>
      <w:proofErr w:type="spellStart"/>
      <w:r w:rsidRPr="00905932">
        <w:rPr>
          <w:rFonts w:ascii="Garamond" w:hAnsi="Garamond" w:cs="Calibri"/>
          <w:color w:val="141414"/>
          <w:lang w:val="pt-PT"/>
        </w:rPr>
        <w:t>PEDS</w:t>
      </w:r>
      <w:proofErr w:type="spellEnd"/>
      <w:r w:rsidRPr="00905932">
        <w:rPr>
          <w:rFonts w:ascii="Garamond" w:hAnsi="Garamond" w:cs="Calibri"/>
          <w:color w:val="141414"/>
          <w:lang w:val="pt-PT"/>
        </w:rPr>
        <w:t xml:space="preserve"> 2017-2021), que colocam a tónica na necessidade de eliminar as discriminações e reduzir as disparidades de género para alcançar o progresso nacional. </w:t>
      </w:r>
    </w:p>
    <w:p w14:paraId="5D698CDD" w14:textId="77777777" w:rsidR="00F1265A" w:rsidRPr="001D738A" w:rsidRDefault="00F1265A" w:rsidP="00905932">
      <w:pPr>
        <w:pStyle w:val="NormalWeb"/>
        <w:shd w:val="clear" w:color="auto" w:fill="FFFFFF"/>
        <w:spacing w:before="0" w:beforeAutospacing="0" w:after="0" w:afterAutospacing="0"/>
        <w:jc w:val="both"/>
        <w:rPr>
          <w:rFonts w:ascii="Garamond" w:hAnsi="Garamond" w:cs="Calibri"/>
          <w:b/>
          <w:color w:val="141414"/>
          <w:lang w:val="pt-PT"/>
        </w:rPr>
      </w:pPr>
      <w:r w:rsidRPr="001D738A">
        <w:rPr>
          <w:rFonts w:ascii="Garamond" w:hAnsi="Garamond" w:cs="Calibri"/>
          <w:b/>
          <w:color w:val="141414"/>
          <w:lang w:val="pt-PT"/>
        </w:rPr>
        <w:t xml:space="preserve">Programa do Governo </w:t>
      </w:r>
      <w:r>
        <w:rPr>
          <w:rFonts w:ascii="Garamond" w:hAnsi="Garamond" w:cs="Calibri"/>
          <w:b/>
          <w:color w:val="141414"/>
          <w:lang w:val="pt-PT"/>
        </w:rPr>
        <w:t>para a IX Legislatura (2016-2021)</w:t>
      </w:r>
    </w:p>
    <w:p w14:paraId="354DCFA1" w14:textId="77777777" w:rsidR="00F1265A" w:rsidRPr="00F04B19" w:rsidRDefault="00F1265A" w:rsidP="00905932">
      <w:pPr>
        <w:pStyle w:val="NormalWeb"/>
        <w:shd w:val="clear" w:color="auto" w:fill="FFFFFF"/>
        <w:spacing w:before="0" w:beforeAutospacing="0" w:after="240" w:afterAutospacing="0"/>
        <w:jc w:val="both"/>
        <w:rPr>
          <w:rFonts w:ascii="Garamond" w:hAnsi="Garamond"/>
          <w:lang w:val="pt-PT"/>
        </w:rPr>
      </w:pPr>
      <w:r>
        <w:rPr>
          <w:rFonts w:ascii="Garamond" w:hAnsi="Garamond" w:cs="Calibri"/>
          <w:color w:val="141414"/>
          <w:lang w:val="pt-PT"/>
        </w:rPr>
        <w:t>A igualdade de género e mandato nacional e uma questão transversal a todas as áreas de Governação. No seu Programa de Governo para a IX Legislatura, a igualdade de género e empoderamento das mulheres e meninas é reconhecido como elemento chave e incontornável para o alcance das aspirações e progressos nacionais. O compromisso com a igualdade de género é explicitamente traduzido em dois dos onze compromissos para a década (2016-2026) a saber:</w:t>
      </w:r>
    </w:p>
    <w:p w14:paraId="0523290F" w14:textId="77777777" w:rsidR="00F1265A" w:rsidRPr="00B61DC0" w:rsidRDefault="00F1265A" w:rsidP="00905932">
      <w:pPr>
        <w:pStyle w:val="NormalWeb"/>
        <w:shd w:val="clear" w:color="auto" w:fill="FFFFFF"/>
        <w:spacing w:after="240" w:afterAutospacing="0"/>
        <w:ind w:left="720" w:right="515"/>
        <w:jc w:val="both"/>
        <w:rPr>
          <w:rFonts w:ascii="Garamond" w:hAnsi="Garamond" w:cs="Calibri"/>
          <w:i/>
          <w:color w:val="141414"/>
          <w:lang w:val="pt-PT"/>
        </w:rPr>
      </w:pPr>
      <w:r w:rsidRPr="00B61DC0">
        <w:rPr>
          <w:rFonts w:ascii="Garamond" w:hAnsi="Garamond" w:cs="Calibri"/>
          <w:b/>
          <w:color w:val="141414"/>
          <w:lang w:val="pt-PT"/>
        </w:rPr>
        <w:t xml:space="preserve">Compromisso 6. </w:t>
      </w:r>
      <w:r w:rsidRPr="00B61DC0">
        <w:rPr>
          <w:rFonts w:ascii="Garamond" w:hAnsi="Garamond" w:cs="Calibri"/>
          <w:i/>
          <w:color w:val="141414"/>
          <w:lang w:val="pt-PT"/>
        </w:rPr>
        <w:t>A colocação dos cuidados de dependentes – crianças, pessoas idosas e portadoras de deficiências, tradicionalmente considerados como um mandato social exclusivo das famílias no centro da agenda das políticas públicas de inclusão social e de apoio as famílias, para promover a igualdade de género e a conciliação da vida laboral e familiar.</w:t>
      </w:r>
    </w:p>
    <w:p w14:paraId="30EAE88F" w14:textId="77777777" w:rsidR="00F1265A" w:rsidRPr="00B61DC0" w:rsidRDefault="00F1265A" w:rsidP="00905932">
      <w:pPr>
        <w:pStyle w:val="NormalWeb"/>
        <w:shd w:val="clear" w:color="auto" w:fill="FFFFFF"/>
        <w:spacing w:after="240" w:afterAutospacing="0"/>
        <w:ind w:left="720" w:right="515"/>
        <w:jc w:val="both"/>
        <w:rPr>
          <w:rFonts w:ascii="Garamond" w:hAnsi="Garamond" w:cs="Calibri"/>
          <w:i/>
          <w:color w:val="141414"/>
          <w:lang w:val="pt-PT"/>
        </w:rPr>
      </w:pPr>
      <w:r w:rsidRPr="00B61DC0">
        <w:rPr>
          <w:rFonts w:ascii="Garamond" w:hAnsi="Garamond" w:cs="Calibri"/>
          <w:b/>
          <w:color w:val="141414"/>
          <w:lang w:val="pt-PT"/>
        </w:rPr>
        <w:t xml:space="preserve">Compromisso 10. </w:t>
      </w:r>
      <w:r w:rsidRPr="00B61DC0">
        <w:rPr>
          <w:rFonts w:ascii="Garamond" w:hAnsi="Garamond" w:cs="Calibri"/>
          <w:i/>
          <w:color w:val="141414"/>
          <w:lang w:val="pt-PT"/>
        </w:rPr>
        <w:t xml:space="preserve">Uma nação exemplo no mundo em matéria de igualdade de género e de inclusão social, num juntar de esforços, nomeadamente, com as </w:t>
      </w:r>
      <w:proofErr w:type="spellStart"/>
      <w:r w:rsidRPr="00B61DC0">
        <w:rPr>
          <w:rFonts w:ascii="Garamond" w:hAnsi="Garamond" w:cs="Calibri"/>
          <w:i/>
          <w:color w:val="141414"/>
          <w:lang w:val="pt-PT"/>
        </w:rPr>
        <w:t>ONGs</w:t>
      </w:r>
      <w:proofErr w:type="spellEnd"/>
      <w:r w:rsidRPr="00B61DC0">
        <w:rPr>
          <w:rFonts w:ascii="Garamond" w:hAnsi="Garamond" w:cs="Calibri"/>
          <w:i/>
          <w:color w:val="141414"/>
          <w:lang w:val="pt-PT"/>
        </w:rPr>
        <w:t>, as igrejas, a comunicação social e a comunidade internacional, com destaque para o Sistema das Nações Unidas.</w:t>
      </w:r>
    </w:p>
    <w:p w14:paraId="3EE8940F" w14:textId="77777777" w:rsidR="00F1265A" w:rsidRPr="00B61DC0" w:rsidRDefault="00F1265A" w:rsidP="00905932">
      <w:pPr>
        <w:spacing w:after="240"/>
        <w:jc w:val="both"/>
        <w:rPr>
          <w:rFonts w:ascii="Garamond" w:hAnsi="Garamond" w:cs="Times"/>
          <w:shd w:val="clear" w:color="auto" w:fill="FFFFFF"/>
          <w:lang w:val="pt-PT"/>
        </w:rPr>
      </w:pPr>
      <w:r w:rsidRPr="00B61DC0">
        <w:rPr>
          <w:rFonts w:ascii="Garamond" w:hAnsi="Garamond" w:cs="Times"/>
          <w:shd w:val="clear" w:color="auto" w:fill="FFFFFF"/>
          <w:lang w:val="pt-PT"/>
        </w:rPr>
        <w:t xml:space="preserve">Os grandes eixos da política de género focam o compromisso com a </w:t>
      </w:r>
      <w:proofErr w:type="spellStart"/>
      <w:r w:rsidRPr="00B61DC0">
        <w:rPr>
          <w:rFonts w:ascii="Garamond" w:hAnsi="Garamond" w:cs="Times"/>
          <w:shd w:val="clear" w:color="auto" w:fill="FFFFFF"/>
          <w:lang w:val="pt-PT"/>
        </w:rPr>
        <w:t>transversalização</w:t>
      </w:r>
      <w:proofErr w:type="spellEnd"/>
      <w:r w:rsidRPr="00B61DC0">
        <w:rPr>
          <w:rFonts w:ascii="Garamond" w:hAnsi="Garamond" w:cs="Times"/>
          <w:shd w:val="clear" w:color="auto" w:fill="FFFFFF"/>
          <w:lang w:val="pt-PT"/>
        </w:rPr>
        <w:t xml:space="preserve"> da</w:t>
      </w:r>
      <w:r>
        <w:rPr>
          <w:rFonts w:ascii="Garamond" w:hAnsi="Garamond" w:cs="Times"/>
          <w:shd w:val="clear" w:color="auto" w:fill="FFFFFF"/>
          <w:lang w:val="pt-PT"/>
        </w:rPr>
        <w:t xml:space="preserve"> </w:t>
      </w:r>
      <w:r w:rsidRPr="00B61DC0">
        <w:rPr>
          <w:rFonts w:ascii="Garamond" w:hAnsi="Garamond" w:cs="Times"/>
          <w:shd w:val="clear" w:color="auto" w:fill="FFFFFF"/>
          <w:lang w:val="pt-PT"/>
        </w:rPr>
        <w:t>igualdade de género em todas as esferas da governação, intervenções promotoras da</w:t>
      </w:r>
      <w:r>
        <w:rPr>
          <w:rFonts w:ascii="Garamond" w:hAnsi="Garamond" w:cs="Times"/>
          <w:shd w:val="clear" w:color="auto" w:fill="FFFFFF"/>
          <w:lang w:val="pt-PT"/>
        </w:rPr>
        <w:t xml:space="preserve"> </w:t>
      </w:r>
      <w:r w:rsidRPr="00B61DC0">
        <w:rPr>
          <w:rFonts w:ascii="Garamond" w:hAnsi="Garamond" w:cs="Times"/>
          <w:shd w:val="clear" w:color="auto" w:fill="FFFFFF"/>
          <w:lang w:val="pt-PT"/>
        </w:rPr>
        <w:t>equidade de género, a definição da agenda de cuidados, e a elaboração e execução de</w:t>
      </w:r>
      <w:r>
        <w:rPr>
          <w:rFonts w:ascii="Garamond" w:hAnsi="Garamond" w:cs="Times"/>
          <w:shd w:val="clear" w:color="auto" w:fill="FFFFFF"/>
          <w:lang w:val="pt-PT"/>
        </w:rPr>
        <w:t xml:space="preserve"> </w:t>
      </w:r>
      <w:r w:rsidRPr="00B61DC0">
        <w:rPr>
          <w:rFonts w:ascii="Garamond" w:hAnsi="Garamond" w:cs="Times"/>
          <w:shd w:val="clear" w:color="auto" w:fill="FFFFFF"/>
          <w:lang w:val="pt-PT"/>
        </w:rPr>
        <w:t>orçamentos sensíveis ao género. São identificados os vários domínios em as questões de</w:t>
      </w:r>
      <w:r>
        <w:rPr>
          <w:rFonts w:ascii="Garamond" w:hAnsi="Garamond" w:cs="Times"/>
          <w:shd w:val="clear" w:color="auto" w:fill="FFFFFF"/>
          <w:lang w:val="pt-PT"/>
        </w:rPr>
        <w:t xml:space="preserve"> </w:t>
      </w:r>
      <w:r w:rsidRPr="00B61DC0">
        <w:rPr>
          <w:rFonts w:ascii="Garamond" w:hAnsi="Garamond" w:cs="Times"/>
          <w:shd w:val="clear" w:color="auto" w:fill="FFFFFF"/>
          <w:lang w:val="pt-PT"/>
        </w:rPr>
        <w:t xml:space="preserve">género devem ser consideradas de forma mais </w:t>
      </w:r>
      <w:proofErr w:type="spellStart"/>
      <w:r w:rsidRPr="00B61DC0">
        <w:rPr>
          <w:rFonts w:ascii="Garamond" w:hAnsi="Garamond" w:cs="Times"/>
          <w:shd w:val="clear" w:color="auto" w:fill="FFFFFF"/>
          <w:lang w:val="pt-PT"/>
        </w:rPr>
        <w:t>efetiva</w:t>
      </w:r>
      <w:proofErr w:type="spellEnd"/>
      <w:r w:rsidRPr="00B61DC0">
        <w:rPr>
          <w:rFonts w:ascii="Garamond" w:hAnsi="Garamond" w:cs="Times"/>
          <w:shd w:val="clear" w:color="auto" w:fill="FFFFFF"/>
          <w:lang w:val="pt-PT"/>
        </w:rPr>
        <w:t>, com destaque para o mundo rural,</w:t>
      </w:r>
      <w:r>
        <w:rPr>
          <w:rFonts w:ascii="Garamond" w:hAnsi="Garamond" w:cs="Times"/>
          <w:shd w:val="clear" w:color="auto" w:fill="FFFFFF"/>
          <w:lang w:val="pt-PT"/>
        </w:rPr>
        <w:t xml:space="preserve"> </w:t>
      </w:r>
      <w:r w:rsidRPr="00B61DC0">
        <w:rPr>
          <w:rFonts w:ascii="Garamond" w:hAnsi="Garamond" w:cs="Times"/>
          <w:shd w:val="clear" w:color="auto" w:fill="FFFFFF"/>
          <w:lang w:val="pt-PT"/>
        </w:rPr>
        <w:t xml:space="preserve">onde tendencialmente a pobreza e desigualdades de género são mais marcadas. </w:t>
      </w:r>
      <w:r>
        <w:rPr>
          <w:rFonts w:ascii="Garamond" w:hAnsi="Garamond" w:cs="Times"/>
          <w:shd w:val="clear" w:color="auto" w:fill="FFFFFF"/>
          <w:lang w:val="pt-PT"/>
        </w:rPr>
        <w:t>De igual forma, o</w:t>
      </w:r>
      <w:r w:rsidRPr="00B61DC0">
        <w:rPr>
          <w:rFonts w:ascii="Garamond" w:hAnsi="Garamond" w:cs="Times"/>
          <w:shd w:val="clear" w:color="auto" w:fill="FFFFFF"/>
          <w:lang w:val="pt-PT"/>
        </w:rPr>
        <w:t>s grandes</w:t>
      </w:r>
      <w:r>
        <w:rPr>
          <w:rFonts w:ascii="Garamond" w:hAnsi="Garamond" w:cs="Times"/>
          <w:shd w:val="clear" w:color="auto" w:fill="FFFFFF"/>
          <w:lang w:val="pt-PT"/>
        </w:rPr>
        <w:t xml:space="preserve"> </w:t>
      </w:r>
      <w:r w:rsidRPr="00B61DC0">
        <w:rPr>
          <w:rFonts w:ascii="Garamond" w:hAnsi="Garamond" w:cs="Times"/>
          <w:shd w:val="clear" w:color="auto" w:fill="FFFFFF"/>
          <w:lang w:val="pt-PT"/>
        </w:rPr>
        <w:t>eixos da política de inclusão social assentam numa abordagem territorial e integrada (assente</w:t>
      </w:r>
      <w:r>
        <w:rPr>
          <w:rFonts w:ascii="Garamond" w:hAnsi="Garamond" w:cs="Times"/>
          <w:shd w:val="clear" w:color="auto" w:fill="FFFFFF"/>
          <w:lang w:val="pt-PT"/>
        </w:rPr>
        <w:t xml:space="preserve"> </w:t>
      </w:r>
      <w:r w:rsidRPr="00B61DC0">
        <w:rPr>
          <w:rFonts w:ascii="Garamond" w:hAnsi="Garamond" w:cs="Times"/>
          <w:shd w:val="clear" w:color="auto" w:fill="FFFFFF"/>
          <w:lang w:val="pt-PT"/>
        </w:rPr>
        <w:t>no mapeamento da pobreza, suas características, respostas multissectoriais e de proximidade</w:t>
      </w:r>
      <w:r>
        <w:rPr>
          <w:rFonts w:ascii="Garamond" w:hAnsi="Garamond" w:cs="Times"/>
          <w:shd w:val="clear" w:color="auto" w:fill="FFFFFF"/>
          <w:lang w:val="pt-PT"/>
        </w:rPr>
        <w:t>).</w:t>
      </w:r>
    </w:p>
    <w:p w14:paraId="33F9283F" w14:textId="77777777" w:rsidR="00F1265A" w:rsidRPr="00B61DC0" w:rsidRDefault="00F1265A" w:rsidP="00F1265A">
      <w:pPr>
        <w:spacing w:line="276" w:lineRule="auto"/>
        <w:jc w:val="both"/>
        <w:rPr>
          <w:rFonts w:ascii="Garamond" w:hAnsi="Garamond" w:cs="Times"/>
          <w:b/>
          <w:shd w:val="clear" w:color="auto" w:fill="FFFFFF"/>
          <w:lang w:val="pt-PT"/>
        </w:rPr>
      </w:pPr>
      <w:r w:rsidRPr="00B61DC0">
        <w:rPr>
          <w:rFonts w:ascii="Garamond" w:hAnsi="Garamond" w:cs="Times"/>
          <w:b/>
          <w:shd w:val="clear" w:color="auto" w:fill="FFFFFF"/>
          <w:lang w:val="pt-PT"/>
        </w:rPr>
        <w:t>Plano Estratégico de Desenvolvimento Sustentável (</w:t>
      </w:r>
      <w:proofErr w:type="spellStart"/>
      <w:r w:rsidRPr="00B61DC0">
        <w:rPr>
          <w:rFonts w:ascii="Garamond" w:hAnsi="Garamond" w:cs="Times"/>
          <w:b/>
          <w:shd w:val="clear" w:color="auto" w:fill="FFFFFF"/>
          <w:lang w:val="pt-PT"/>
        </w:rPr>
        <w:t>PEDS</w:t>
      </w:r>
      <w:proofErr w:type="spellEnd"/>
      <w:r w:rsidRPr="00B61DC0">
        <w:rPr>
          <w:rFonts w:ascii="Garamond" w:hAnsi="Garamond" w:cs="Times"/>
          <w:b/>
          <w:shd w:val="clear" w:color="auto" w:fill="FFFFFF"/>
          <w:lang w:val="pt-PT"/>
        </w:rPr>
        <w:t>) - (2017-2021)</w:t>
      </w:r>
    </w:p>
    <w:p w14:paraId="7889B640" w14:textId="77777777" w:rsidR="00F1265A" w:rsidRDefault="00F1265A" w:rsidP="00F1265A">
      <w:pPr>
        <w:jc w:val="both"/>
        <w:rPr>
          <w:rFonts w:ascii="Garamond" w:hAnsi="Garamond" w:cs="Times"/>
          <w:shd w:val="clear" w:color="auto" w:fill="FFFFFF"/>
          <w:lang w:val="pt-PT"/>
        </w:rPr>
      </w:pPr>
      <w:r w:rsidRPr="00FF4739">
        <w:rPr>
          <w:rFonts w:ascii="Garamond" w:hAnsi="Garamond" w:cs="Times"/>
          <w:shd w:val="clear" w:color="auto" w:fill="FFFFFF"/>
          <w:lang w:val="pt-PT"/>
        </w:rPr>
        <w:t xml:space="preserve">O </w:t>
      </w:r>
      <w:proofErr w:type="spellStart"/>
      <w:r w:rsidRPr="00FF4739">
        <w:rPr>
          <w:rFonts w:ascii="Garamond" w:hAnsi="Garamond" w:cs="Times"/>
          <w:shd w:val="clear" w:color="auto" w:fill="FFFFFF"/>
          <w:lang w:val="pt-PT"/>
        </w:rPr>
        <w:t>PEDS</w:t>
      </w:r>
      <w:proofErr w:type="spellEnd"/>
      <w:r w:rsidRPr="00FF4739">
        <w:rPr>
          <w:rFonts w:ascii="Garamond" w:hAnsi="Garamond" w:cs="Times"/>
          <w:shd w:val="clear" w:color="auto" w:fill="FFFFFF"/>
          <w:lang w:val="pt-PT"/>
        </w:rPr>
        <w:t xml:space="preserve"> (2017-2021) materializa o Programa do Governo e integra a igualdade de género</w:t>
      </w:r>
      <w:r>
        <w:rPr>
          <w:rFonts w:ascii="Garamond" w:hAnsi="Garamond" w:cs="Times"/>
          <w:shd w:val="clear" w:color="auto" w:fill="FFFFFF"/>
          <w:lang w:val="pt-PT"/>
        </w:rPr>
        <w:t xml:space="preserve"> como dimensão fundamental para o desenvolvimento inclusivo e sustentável do país. </w:t>
      </w:r>
      <w:r w:rsidRPr="00FF4739">
        <w:rPr>
          <w:rFonts w:ascii="Garamond" w:hAnsi="Garamond" w:cs="Times"/>
          <w:shd w:val="clear" w:color="auto" w:fill="FFFFFF"/>
          <w:lang w:val="pt-PT"/>
        </w:rPr>
        <w:t xml:space="preserve"> </w:t>
      </w:r>
      <w:r>
        <w:rPr>
          <w:rFonts w:ascii="Garamond" w:hAnsi="Garamond" w:cs="Times"/>
          <w:shd w:val="clear" w:color="auto" w:fill="FFFFFF"/>
          <w:lang w:val="pt-PT"/>
        </w:rPr>
        <w:t xml:space="preserve">Juntamente com a educação, o emprego digno e a formação profissional, a juventude, entre outros, a igualdade de género figura como eixo programático chave na prossecução do </w:t>
      </w:r>
      <w:proofErr w:type="spellStart"/>
      <w:r>
        <w:rPr>
          <w:rFonts w:ascii="Garamond" w:hAnsi="Garamond" w:cs="Times"/>
          <w:shd w:val="clear" w:color="auto" w:fill="FFFFFF"/>
          <w:lang w:val="pt-PT"/>
        </w:rPr>
        <w:t>Objetivo</w:t>
      </w:r>
      <w:proofErr w:type="spellEnd"/>
      <w:r>
        <w:rPr>
          <w:rFonts w:ascii="Garamond" w:hAnsi="Garamond" w:cs="Times"/>
          <w:shd w:val="clear" w:color="auto" w:fill="FFFFFF"/>
          <w:lang w:val="pt-PT"/>
        </w:rPr>
        <w:t xml:space="preserve"> 3 - </w:t>
      </w:r>
      <w:r w:rsidRPr="00FB6E50">
        <w:rPr>
          <w:rFonts w:ascii="Garamond" w:hAnsi="Garamond" w:cs="Times"/>
          <w:i/>
          <w:shd w:val="clear" w:color="auto" w:fill="FFFFFF"/>
          <w:lang w:val="pt-PT"/>
        </w:rPr>
        <w:t>Assegurar a inclusão social e a redução das desigualdades e assimetrias sociais e regionais</w:t>
      </w:r>
      <w:r w:rsidRPr="00FF4739">
        <w:rPr>
          <w:rFonts w:ascii="Garamond" w:hAnsi="Garamond" w:cs="Times"/>
          <w:shd w:val="clear" w:color="auto" w:fill="FFFFFF"/>
          <w:lang w:val="pt-PT"/>
        </w:rPr>
        <w:t xml:space="preserve">, </w:t>
      </w:r>
      <w:r>
        <w:rPr>
          <w:rFonts w:ascii="Garamond" w:hAnsi="Garamond" w:cs="Times"/>
          <w:shd w:val="clear" w:color="auto" w:fill="FFFFFF"/>
          <w:lang w:val="pt-PT"/>
        </w:rPr>
        <w:t xml:space="preserve">mas também de forma transversal e complementar em todos os outros 3 </w:t>
      </w:r>
      <w:proofErr w:type="spellStart"/>
      <w:r>
        <w:rPr>
          <w:rFonts w:ascii="Garamond" w:hAnsi="Garamond" w:cs="Times"/>
          <w:shd w:val="clear" w:color="auto" w:fill="FFFFFF"/>
          <w:lang w:val="pt-PT"/>
        </w:rPr>
        <w:t>objetivos</w:t>
      </w:r>
      <w:proofErr w:type="spellEnd"/>
      <w:r>
        <w:rPr>
          <w:rFonts w:ascii="Garamond" w:hAnsi="Garamond" w:cs="Times"/>
          <w:shd w:val="clear" w:color="auto" w:fill="FFFFFF"/>
          <w:lang w:val="pt-PT"/>
        </w:rPr>
        <w:t xml:space="preserve">, sob forma de programas enquadrados no Pilar Social. Destaca-se igualmente, e em partícula, a referencia explicita a abordagem da transversal da igualdade de género contida no capitulo </w:t>
      </w:r>
      <w:r w:rsidRPr="00FF4739">
        <w:rPr>
          <w:rFonts w:ascii="Garamond" w:hAnsi="Garamond" w:cs="Times"/>
          <w:shd w:val="clear" w:color="auto" w:fill="FFFFFF"/>
          <w:lang w:val="pt-PT"/>
        </w:rPr>
        <w:t>5</w:t>
      </w:r>
      <w:r>
        <w:rPr>
          <w:rFonts w:ascii="Garamond" w:hAnsi="Garamond" w:cs="Times"/>
          <w:shd w:val="clear" w:color="auto" w:fill="FFFFFF"/>
          <w:lang w:val="pt-PT"/>
        </w:rPr>
        <w:t>, sobre a “</w:t>
      </w:r>
      <w:r w:rsidRPr="00FF4739">
        <w:rPr>
          <w:rFonts w:ascii="Garamond" w:hAnsi="Garamond" w:cs="Times"/>
          <w:shd w:val="clear" w:color="auto" w:fill="FFFFFF"/>
          <w:lang w:val="pt-PT"/>
        </w:rPr>
        <w:t xml:space="preserve">Operacionalização do </w:t>
      </w:r>
      <w:proofErr w:type="spellStart"/>
      <w:r w:rsidRPr="00FF4739">
        <w:rPr>
          <w:rFonts w:ascii="Garamond" w:hAnsi="Garamond" w:cs="Times"/>
          <w:shd w:val="clear" w:color="auto" w:fill="FFFFFF"/>
          <w:lang w:val="pt-PT"/>
        </w:rPr>
        <w:t>PEDS</w:t>
      </w:r>
      <w:proofErr w:type="spellEnd"/>
      <w:r>
        <w:rPr>
          <w:rFonts w:ascii="Garamond" w:hAnsi="Garamond" w:cs="Times"/>
          <w:shd w:val="clear" w:color="auto" w:fill="FFFFFF"/>
          <w:lang w:val="pt-PT"/>
        </w:rPr>
        <w:t>”</w:t>
      </w:r>
      <w:r w:rsidRPr="00FF4739">
        <w:rPr>
          <w:rFonts w:ascii="Garamond" w:hAnsi="Garamond" w:cs="Times"/>
          <w:shd w:val="clear" w:color="auto" w:fill="FFFFFF"/>
          <w:lang w:val="pt-PT"/>
        </w:rPr>
        <w:t>:</w:t>
      </w:r>
    </w:p>
    <w:p w14:paraId="5621AC63" w14:textId="77777777" w:rsidR="00F1265A" w:rsidRPr="00FF4739" w:rsidRDefault="00F1265A" w:rsidP="00F1265A">
      <w:pPr>
        <w:jc w:val="both"/>
        <w:rPr>
          <w:rFonts w:ascii="Garamond" w:hAnsi="Garamond" w:cs="Times"/>
          <w:shd w:val="clear" w:color="auto" w:fill="FFFFFF"/>
          <w:lang w:val="pt-PT"/>
        </w:rPr>
      </w:pPr>
    </w:p>
    <w:p w14:paraId="64DF249C" w14:textId="301F978F" w:rsidR="00F1265A" w:rsidRDefault="00F1265A" w:rsidP="0007402E">
      <w:pPr>
        <w:pStyle w:val="PargrafodaLista"/>
        <w:spacing w:after="120"/>
        <w:ind w:right="516"/>
        <w:contextualSpacing w:val="0"/>
        <w:jc w:val="both"/>
        <w:rPr>
          <w:rFonts w:ascii="Garamond" w:hAnsi="Garamond" w:cs="Times"/>
          <w:i/>
          <w:shd w:val="clear" w:color="auto" w:fill="FFFFFF"/>
          <w:lang w:val="pt-PT"/>
        </w:rPr>
      </w:pPr>
      <w:r w:rsidRPr="007A73F8">
        <w:rPr>
          <w:rFonts w:ascii="Garamond" w:hAnsi="Garamond" w:cs="Times"/>
          <w:i/>
          <w:shd w:val="clear" w:color="auto" w:fill="FFFFFF"/>
          <w:lang w:val="pt-PT"/>
        </w:rPr>
        <w:t>A igualdade de género é um dos pilares fundamentais do Desenvolvimento sustentável e visa assegurar que as mulheres e as meninas, assim como os homens e meninos, tenham as mesmas oportunidades de participação, acesso e benefício do processo de desenvolvimento. A ideia subjacente é a de que não é possível atingir o desenvolvimento sustentável de Cabo Verde sem considerar as necessidades, experiências e expectativas específicas de mulheres e homens na planificação programática.</w:t>
      </w:r>
    </w:p>
    <w:p w14:paraId="5F8C5BEC" w14:textId="77777777" w:rsidR="00F1265A" w:rsidRPr="00BD48AB" w:rsidRDefault="00F1265A" w:rsidP="00905932">
      <w:pPr>
        <w:pStyle w:val="PargrafodaLista"/>
        <w:ind w:right="515"/>
        <w:jc w:val="both"/>
        <w:rPr>
          <w:rFonts w:ascii="Garamond" w:hAnsi="Garamond" w:cs="Times"/>
          <w:i/>
          <w:shd w:val="clear" w:color="auto" w:fill="FFFFFF"/>
          <w:lang w:val="pt-PT"/>
        </w:rPr>
      </w:pPr>
      <w:r w:rsidRPr="007A73F8">
        <w:rPr>
          <w:rFonts w:ascii="Garamond" w:hAnsi="Garamond" w:cs="Times"/>
          <w:i/>
          <w:shd w:val="clear" w:color="auto" w:fill="FFFFFF"/>
          <w:lang w:val="pt-PT"/>
        </w:rPr>
        <w:t xml:space="preserve">A </w:t>
      </w:r>
      <w:proofErr w:type="spellStart"/>
      <w:r w:rsidRPr="007A73F8">
        <w:rPr>
          <w:rFonts w:ascii="Garamond" w:hAnsi="Garamond" w:cs="Times"/>
          <w:i/>
          <w:shd w:val="clear" w:color="auto" w:fill="FFFFFF"/>
          <w:lang w:val="pt-PT"/>
        </w:rPr>
        <w:t>transversalização</w:t>
      </w:r>
      <w:proofErr w:type="spellEnd"/>
      <w:r w:rsidRPr="007A73F8">
        <w:rPr>
          <w:rFonts w:ascii="Garamond" w:hAnsi="Garamond" w:cs="Times"/>
          <w:i/>
          <w:shd w:val="clear" w:color="auto" w:fill="FFFFFF"/>
          <w:lang w:val="pt-PT"/>
        </w:rPr>
        <w:t xml:space="preserve"> de género no </w:t>
      </w:r>
      <w:proofErr w:type="spellStart"/>
      <w:r w:rsidRPr="007A73F8">
        <w:rPr>
          <w:rFonts w:ascii="Garamond" w:hAnsi="Garamond" w:cs="Times"/>
          <w:i/>
          <w:shd w:val="clear" w:color="auto" w:fill="FFFFFF"/>
          <w:lang w:val="pt-PT"/>
        </w:rPr>
        <w:t>PEDS</w:t>
      </w:r>
      <w:proofErr w:type="spellEnd"/>
      <w:r w:rsidRPr="007A73F8">
        <w:rPr>
          <w:rFonts w:ascii="Garamond" w:hAnsi="Garamond" w:cs="Times"/>
          <w:i/>
          <w:shd w:val="clear" w:color="auto" w:fill="FFFFFF"/>
          <w:lang w:val="pt-PT"/>
        </w:rPr>
        <w:t xml:space="preserve">, garante a </w:t>
      </w:r>
      <w:proofErr w:type="spellStart"/>
      <w:r w:rsidRPr="007A73F8">
        <w:rPr>
          <w:rFonts w:ascii="Garamond" w:hAnsi="Garamond" w:cs="Times"/>
          <w:i/>
          <w:shd w:val="clear" w:color="auto" w:fill="FFFFFF"/>
          <w:lang w:val="pt-PT"/>
        </w:rPr>
        <w:t>adoção</w:t>
      </w:r>
      <w:proofErr w:type="spellEnd"/>
      <w:r w:rsidRPr="007A73F8">
        <w:rPr>
          <w:rFonts w:ascii="Garamond" w:hAnsi="Garamond" w:cs="Times"/>
          <w:i/>
          <w:shd w:val="clear" w:color="auto" w:fill="FFFFFF"/>
          <w:lang w:val="pt-PT"/>
        </w:rPr>
        <w:t xml:space="preserve"> de medidas </w:t>
      </w:r>
      <w:proofErr w:type="spellStart"/>
      <w:r w:rsidRPr="007A73F8">
        <w:rPr>
          <w:rFonts w:ascii="Garamond" w:hAnsi="Garamond" w:cs="Times"/>
          <w:i/>
          <w:shd w:val="clear" w:color="auto" w:fill="FFFFFF"/>
          <w:lang w:val="pt-PT"/>
        </w:rPr>
        <w:t>corretoras</w:t>
      </w:r>
      <w:proofErr w:type="spellEnd"/>
      <w:r w:rsidRPr="007A73F8">
        <w:rPr>
          <w:rFonts w:ascii="Garamond" w:hAnsi="Garamond" w:cs="Times"/>
          <w:i/>
          <w:shd w:val="clear" w:color="auto" w:fill="FFFFFF"/>
          <w:lang w:val="pt-PT"/>
        </w:rPr>
        <w:t xml:space="preserve"> das</w:t>
      </w:r>
      <w:r>
        <w:rPr>
          <w:rFonts w:ascii="Garamond" w:hAnsi="Garamond" w:cs="Times"/>
          <w:i/>
          <w:shd w:val="clear" w:color="auto" w:fill="FFFFFF"/>
          <w:lang w:val="pt-PT"/>
        </w:rPr>
        <w:t xml:space="preserve"> </w:t>
      </w:r>
      <w:r w:rsidRPr="007A73F8">
        <w:rPr>
          <w:rFonts w:ascii="Garamond" w:hAnsi="Garamond" w:cs="Times"/>
          <w:i/>
          <w:shd w:val="clear" w:color="auto" w:fill="FFFFFF"/>
          <w:lang w:val="pt-PT"/>
        </w:rPr>
        <w:t xml:space="preserve">desigualdades de género, a nível dos diferentes sectores, promovendo assim a justiça e inclusão social e o desenvolvimento sustentável do país. Este princípio permite integrar as preocupações e experiências de homens e mulheres de Cabo Verde no Plano Estratégico de Desenvolvimento Sustentável na sua </w:t>
      </w:r>
      <w:proofErr w:type="spellStart"/>
      <w:r w:rsidRPr="007A73F8">
        <w:rPr>
          <w:rFonts w:ascii="Garamond" w:hAnsi="Garamond" w:cs="Times"/>
          <w:i/>
          <w:shd w:val="clear" w:color="auto" w:fill="FFFFFF"/>
          <w:lang w:val="pt-PT"/>
        </w:rPr>
        <w:t>conceção</w:t>
      </w:r>
      <w:proofErr w:type="spellEnd"/>
      <w:r w:rsidRPr="007A73F8">
        <w:rPr>
          <w:rFonts w:ascii="Garamond" w:hAnsi="Garamond" w:cs="Times"/>
          <w:i/>
          <w:shd w:val="clear" w:color="auto" w:fill="FFFFFF"/>
          <w:lang w:val="pt-PT"/>
        </w:rPr>
        <w:t>, implementação, seguimento e avaliação em todos os pilares, seja económico, social ou de soberania, de modo que as desigualdades entre mulheres e homens, no país, sejam eliminadas e o desenvolvimento seja inclusivo.</w:t>
      </w:r>
    </w:p>
    <w:p w14:paraId="26AF521D" w14:textId="77777777" w:rsidR="00F1265A" w:rsidRDefault="00F1265A" w:rsidP="00F1265A">
      <w:pPr>
        <w:jc w:val="both"/>
        <w:rPr>
          <w:rFonts w:ascii="Times" w:hAnsi="Times" w:cs="Times"/>
          <w:shd w:val="clear" w:color="auto" w:fill="FFFFFF"/>
          <w:lang w:val="pt-PT"/>
        </w:rPr>
      </w:pPr>
    </w:p>
    <w:p w14:paraId="2EEDF329" w14:textId="5015A9A4" w:rsidR="00F1265A" w:rsidRDefault="00F1265A" w:rsidP="00F1265A">
      <w:pPr>
        <w:jc w:val="both"/>
        <w:rPr>
          <w:rFonts w:ascii="Garamond" w:hAnsi="Garamond" w:cs="Times"/>
          <w:shd w:val="clear" w:color="auto" w:fill="FFFFFF"/>
          <w:lang w:val="pt-PT"/>
        </w:rPr>
      </w:pPr>
      <w:r w:rsidRPr="007B59FF">
        <w:rPr>
          <w:rFonts w:ascii="Garamond" w:hAnsi="Garamond" w:cs="Times"/>
          <w:shd w:val="clear" w:color="auto" w:fill="FFFFFF"/>
          <w:lang w:val="pt-PT"/>
        </w:rPr>
        <w:t xml:space="preserve">Há um forte alinhamento do </w:t>
      </w:r>
      <w:proofErr w:type="spellStart"/>
      <w:r w:rsidRPr="007B59FF">
        <w:rPr>
          <w:rFonts w:ascii="Garamond" w:hAnsi="Garamond" w:cs="Times"/>
          <w:shd w:val="clear" w:color="auto" w:fill="FFFFFF"/>
          <w:lang w:val="pt-PT"/>
        </w:rPr>
        <w:t>PEDS</w:t>
      </w:r>
      <w:proofErr w:type="spellEnd"/>
      <w:r w:rsidRPr="007B59FF">
        <w:rPr>
          <w:rFonts w:ascii="Garamond" w:hAnsi="Garamond" w:cs="Times"/>
          <w:shd w:val="clear" w:color="auto" w:fill="FFFFFF"/>
          <w:lang w:val="pt-PT"/>
        </w:rPr>
        <w:t xml:space="preserve"> com o </w:t>
      </w:r>
      <w:proofErr w:type="spellStart"/>
      <w:r w:rsidRPr="007B59FF">
        <w:rPr>
          <w:rFonts w:ascii="Garamond" w:hAnsi="Garamond" w:cs="Times"/>
          <w:shd w:val="clear" w:color="auto" w:fill="FFFFFF"/>
          <w:lang w:val="pt-PT"/>
        </w:rPr>
        <w:t>ODS</w:t>
      </w:r>
      <w:proofErr w:type="spellEnd"/>
      <w:r w:rsidRPr="007B59FF">
        <w:rPr>
          <w:rFonts w:ascii="Garamond" w:hAnsi="Garamond" w:cs="Times"/>
          <w:shd w:val="clear" w:color="auto" w:fill="FFFFFF"/>
          <w:lang w:val="pt-PT"/>
        </w:rPr>
        <w:t xml:space="preserve"> 5 </w:t>
      </w:r>
      <w:r>
        <w:rPr>
          <w:rFonts w:ascii="Garamond" w:hAnsi="Garamond" w:cs="Times"/>
          <w:shd w:val="clear" w:color="auto" w:fill="FFFFFF"/>
          <w:lang w:val="pt-PT"/>
        </w:rPr>
        <w:t xml:space="preserve">– </w:t>
      </w:r>
      <w:r w:rsidRPr="007B59FF">
        <w:rPr>
          <w:rFonts w:ascii="Garamond" w:hAnsi="Garamond" w:cs="Times"/>
          <w:shd w:val="clear" w:color="auto" w:fill="FFFFFF"/>
          <w:lang w:val="pt-PT"/>
        </w:rPr>
        <w:t xml:space="preserve">Igualdade de Género e Empoderamento das Mulheres </w:t>
      </w:r>
      <w:r>
        <w:rPr>
          <w:rFonts w:ascii="Garamond" w:hAnsi="Garamond" w:cs="Times"/>
          <w:shd w:val="clear" w:color="auto" w:fill="FFFFFF"/>
          <w:lang w:val="pt-PT"/>
        </w:rPr>
        <w:t xml:space="preserve">– 22 dos 34 programas do </w:t>
      </w:r>
      <w:proofErr w:type="spellStart"/>
      <w:r>
        <w:rPr>
          <w:rFonts w:ascii="Garamond" w:hAnsi="Garamond" w:cs="Times"/>
          <w:shd w:val="clear" w:color="auto" w:fill="FFFFFF"/>
          <w:lang w:val="pt-PT"/>
        </w:rPr>
        <w:t>PEDS</w:t>
      </w:r>
      <w:proofErr w:type="spellEnd"/>
      <w:r>
        <w:rPr>
          <w:rFonts w:ascii="Garamond" w:hAnsi="Garamond" w:cs="Times"/>
          <w:shd w:val="clear" w:color="auto" w:fill="FFFFFF"/>
          <w:lang w:val="pt-PT"/>
        </w:rPr>
        <w:t>, distribuídos por três pilares (Economia, Social e Soberania)</w:t>
      </w:r>
      <w:r w:rsidRPr="007B59FF">
        <w:rPr>
          <w:rFonts w:ascii="Garamond" w:hAnsi="Garamond" w:cs="Times"/>
          <w:shd w:val="clear" w:color="auto" w:fill="FFFFFF"/>
          <w:lang w:val="pt-PT"/>
        </w:rPr>
        <w:t xml:space="preserve">; o quadro lógico do </w:t>
      </w:r>
      <w:proofErr w:type="spellStart"/>
      <w:r w:rsidRPr="007B59FF">
        <w:rPr>
          <w:rFonts w:ascii="Garamond" w:hAnsi="Garamond" w:cs="Times"/>
          <w:shd w:val="clear" w:color="auto" w:fill="FFFFFF"/>
          <w:lang w:val="pt-PT"/>
        </w:rPr>
        <w:t>PEDS</w:t>
      </w:r>
      <w:proofErr w:type="spellEnd"/>
      <w:r w:rsidRPr="007B59FF">
        <w:rPr>
          <w:rFonts w:ascii="Garamond" w:hAnsi="Garamond" w:cs="Times"/>
          <w:shd w:val="clear" w:color="auto" w:fill="FFFFFF"/>
          <w:lang w:val="pt-PT"/>
        </w:rPr>
        <w:t xml:space="preserve"> inclui alguns indicadores de impacto de género e 63% dos programas do </w:t>
      </w:r>
      <w:proofErr w:type="spellStart"/>
      <w:r w:rsidRPr="007B59FF">
        <w:rPr>
          <w:rFonts w:ascii="Garamond" w:hAnsi="Garamond" w:cs="Times"/>
          <w:shd w:val="clear" w:color="auto" w:fill="FFFFFF"/>
          <w:lang w:val="pt-PT"/>
        </w:rPr>
        <w:t>PEDS</w:t>
      </w:r>
      <w:proofErr w:type="spellEnd"/>
      <w:r w:rsidRPr="007B59FF">
        <w:rPr>
          <w:rFonts w:ascii="Garamond" w:hAnsi="Garamond" w:cs="Times"/>
          <w:shd w:val="clear" w:color="auto" w:fill="FFFFFF"/>
          <w:lang w:val="pt-PT"/>
        </w:rPr>
        <w:t xml:space="preserve"> integram a igualdade de género nos seus </w:t>
      </w:r>
      <w:proofErr w:type="spellStart"/>
      <w:r w:rsidRPr="007B59FF">
        <w:rPr>
          <w:rFonts w:ascii="Garamond" w:hAnsi="Garamond" w:cs="Times"/>
          <w:shd w:val="clear" w:color="auto" w:fill="FFFFFF"/>
          <w:lang w:val="pt-PT"/>
        </w:rPr>
        <w:t>objetivos</w:t>
      </w:r>
      <w:proofErr w:type="spellEnd"/>
      <w:r>
        <w:rPr>
          <w:rFonts w:ascii="Garamond" w:hAnsi="Garamond" w:cs="Times"/>
          <w:shd w:val="clear" w:color="auto" w:fill="FFFFFF"/>
          <w:lang w:val="pt-PT"/>
        </w:rPr>
        <w:t xml:space="preserve"> e indicadores</w:t>
      </w:r>
      <w:r w:rsidRPr="007B59FF">
        <w:rPr>
          <w:rFonts w:ascii="Garamond" w:hAnsi="Garamond" w:cs="Times"/>
          <w:shd w:val="clear" w:color="auto" w:fill="FFFFFF"/>
          <w:lang w:val="pt-PT"/>
        </w:rPr>
        <w:t xml:space="preserve">, para alem </w:t>
      </w:r>
      <w:r w:rsidRPr="00201F52">
        <w:rPr>
          <w:rFonts w:ascii="Garamond" w:hAnsi="Garamond" w:cs="Times"/>
          <w:shd w:val="clear" w:color="auto" w:fill="FFFFFF"/>
          <w:lang w:val="pt-PT"/>
        </w:rPr>
        <w:t>da existência de um programa específico de género, vinculado ao Objectivo 3</w:t>
      </w:r>
      <w:r w:rsidR="00CD0DAF" w:rsidRPr="00201F52">
        <w:rPr>
          <w:rFonts w:ascii="Garamond" w:hAnsi="Garamond" w:cs="Times"/>
          <w:shd w:val="clear" w:color="auto" w:fill="FFFFFF"/>
          <w:lang w:val="pt-PT"/>
        </w:rPr>
        <w:t xml:space="preserve">, e ao qual os Eixos do </w:t>
      </w:r>
      <w:proofErr w:type="spellStart"/>
      <w:r w:rsidR="00CD0DAF" w:rsidRPr="00201F52">
        <w:rPr>
          <w:rFonts w:ascii="Garamond" w:hAnsi="Garamond" w:cs="Times"/>
          <w:shd w:val="clear" w:color="auto" w:fill="FFFFFF"/>
          <w:lang w:val="pt-PT"/>
        </w:rPr>
        <w:t>PNIG</w:t>
      </w:r>
      <w:proofErr w:type="spellEnd"/>
      <w:r w:rsidR="00CD0DAF" w:rsidRPr="00201F52">
        <w:rPr>
          <w:rFonts w:ascii="Garamond" w:hAnsi="Garamond" w:cs="Times"/>
          <w:shd w:val="clear" w:color="auto" w:fill="FFFFFF"/>
          <w:lang w:val="pt-PT"/>
        </w:rPr>
        <w:t xml:space="preserve"> estão alinhados.</w:t>
      </w:r>
    </w:p>
    <w:p w14:paraId="6A19C96C" w14:textId="1967CD03" w:rsidR="00DE1199" w:rsidRDefault="00DE1199" w:rsidP="00F1265A">
      <w:pPr>
        <w:jc w:val="both"/>
        <w:rPr>
          <w:rFonts w:ascii="Garamond" w:hAnsi="Garamond" w:cs="Times"/>
          <w:shd w:val="clear" w:color="auto" w:fill="FFFFFF"/>
          <w:lang w:val="pt-PT"/>
        </w:rPr>
      </w:pPr>
    </w:p>
    <w:p w14:paraId="0202D01F" w14:textId="198378F9" w:rsidR="00B70FD3" w:rsidRDefault="00B70FD3" w:rsidP="00B70FD3">
      <w:pPr>
        <w:pStyle w:val="Legenda"/>
        <w:spacing w:after="0"/>
        <w:jc w:val="center"/>
        <w:rPr>
          <w:rFonts w:ascii="Garamond" w:hAnsi="Garamond" w:cs="Times"/>
          <w:b/>
          <w:bCs/>
          <w:i w:val="0"/>
          <w:iCs w:val="0"/>
          <w:color w:val="auto"/>
          <w:sz w:val="20"/>
          <w:szCs w:val="20"/>
          <w:shd w:val="clear" w:color="auto" w:fill="FFFFFF"/>
          <w:lang w:val="pt-PT"/>
        </w:rPr>
      </w:pPr>
      <w:bookmarkStart w:id="9" w:name="_Toc32856923"/>
      <w:r w:rsidRPr="00B70FD3">
        <w:rPr>
          <w:rFonts w:ascii="Garamond" w:hAnsi="Garamond" w:cs="Times"/>
          <w:b/>
          <w:bCs/>
          <w:i w:val="0"/>
          <w:iCs w:val="0"/>
          <w:color w:val="auto"/>
          <w:sz w:val="20"/>
          <w:szCs w:val="20"/>
          <w:shd w:val="clear" w:color="auto" w:fill="FFFFFF"/>
          <w:lang w:val="pt-PT"/>
        </w:rPr>
        <w:t xml:space="preserve">Tabela </w:t>
      </w:r>
      <w:r w:rsidRPr="00B70FD3">
        <w:rPr>
          <w:rFonts w:ascii="Garamond" w:hAnsi="Garamond" w:cs="Times"/>
          <w:b/>
          <w:bCs/>
          <w:i w:val="0"/>
          <w:iCs w:val="0"/>
          <w:color w:val="auto"/>
          <w:sz w:val="20"/>
          <w:szCs w:val="20"/>
          <w:shd w:val="clear" w:color="auto" w:fill="FFFFFF"/>
          <w:lang w:val="pt-PT"/>
        </w:rPr>
        <w:fldChar w:fldCharType="begin"/>
      </w:r>
      <w:r w:rsidRPr="00B70FD3">
        <w:rPr>
          <w:rFonts w:ascii="Garamond" w:hAnsi="Garamond" w:cs="Times"/>
          <w:b/>
          <w:bCs/>
          <w:i w:val="0"/>
          <w:iCs w:val="0"/>
          <w:color w:val="auto"/>
          <w:sz w:val="20"/>
          <w:szCs w:val="20"/>
          <w:shd w:val="clear" w:color="auto" w:fill="FFFFFF"/>
          <w:lang w:val="pt-PT"/>
        </w:rPr>
        <w:instrText xml:space="preserve"> SEQ Tabela \* ARABIC </w:instrText>
      </w:r>
      <w:r w:rsidRPr="00B70FD3">
        <w:rPr>
          <w:rFonts w:ascii="Garamond" w:hAnsi="Garamond" w:cs="Times"/>
          <w:b/>
          <w:bCs/>
          <w:i w:val="0"/>
          <w:iCs w:val="0"/>
          <w:color w:val="auto"/>
          <w:sz w:val="20"/>
          <w:szCs w:val="20"/>
          <w:shd w:val="clear" w:color="auto" w:fill="FFFFFF"/>
          <w:lang w:val="pt-PT"/>
        </w:rPr>
        <w:fldChar w:fldCharType="separate"/>
      </w:r>
      <w:r w:rsidR="004723E2">
        <w:rPr>
          <w:rFonts w:ascii="Garamond" w:hAnsi="Garamond" w:cs="Times"/>
          <w:b/>
          <w:bCs/>
          <w:i w:val="0"/>
          <w:iCs w:val="0"/>
          <w:noProof/>
          <w:color w:val="auto"/>
          <w:sz w:val="20"/>
          <w:szCs w:val="20"/>
          <w:shd w:val="clear" w:color="auto" w:fill="FFFFFF"/>
          <w:lang w:val="pt-PT"/>
        </w:rPr>
        <w:t>1</w:t>
      </w:r>
      <w:r w:rsidRPr="00B70FD3">
        <w:rPr>
          <w:rFonts w:ascii="Garamond" w:hAnsi="Garamond" w:cs="Times"/>
          <w:b/>
          <w:bCs/>
          <w:i w:val="0"/>
          <w:iCs w:val="0"/>
          <w:color w:val="auto"/>
          <w:sz w:val="20"/>
          <w:szCs w:val="20"/>
          <w:shd w:val="clear" w:color="auto" w:fill="FFFFFF"/>
          <w:lang w:val="pt-PT"/>
        </w:rPr>
        <w:fldChar w:fldCharType="end"/>
      </w:r>
      <w:r>
        <w:rPr>
          <w:rFonts w:ascii="Garamond" w:hAnsi="Garamond" w:cs="Times"/>
          <w:b/>
          <w:bCs/>
          <w:i w:val="0"/>
          <w:iCs w:val="0"/>
          <w:color w:val="auto"/>
          <w:sz w:val="20"/>
          <w:szCs w:val="20"/>
          <w:shd w:val="clear" w:color="auto" w:fill="FFFFFF"/>
          <w:lang w:val="pt-PT"/>
        </w:rPr>
        <w:t xml:space="preserve"> – Alinhamento entre os eixos do </w:t>
      </w:r>
      <w:proofErr w:type="spellStart"/>
      <w:r>
        <w:rPr>
          <w:rFonts w:ascii="Garamond" w:hAnsi="Garamond" w:cs="Times"/>
          <w:b/>
          <w:bCs/>
          <w:i w:val="0"/>
          <w:iCs w:val="0"/>
          <w:color w:val="auto"/>
          <w:sz w:val="20"/>
          <w:szCs w:val="20"/>
          <w:shd w:val="clear" w:color="auto" w:fill="FFFFFF"/>
          <w:lang w:val="pt-PT"/>
        </w:rPr>
        <w:t>PEDS</w:t>
      </w:r>
      <w:proofErr w:type="spellEnd"/>
      <w:r>
        <w:rPr>
          <w:rFonts w:ascii="Garamond" w:hAnsi="Garamond" w:cs="Times"/>
          <w:b/>
          <w:bCs/>
          <w:i w:val="0"/>
          <w:iCs w:val="0"/>
          <w:color w:val="auto"/>
          <w:sz w:val="20"/>
          <w:szCs w:val="20"/>
          <w:shd w:val="clear" w:color="auto" w:fill="FFFFFF"/>
          <w:lang w:val="pt-PT"/>
        </w:rPr>
        <w:t xml:space="preserve"> para a igualdade de género, </w:t>
      </w:r>
      <w:proofErr w:type="spellStart"/>
      <w:r>
        <w:rPr>
          <w:rFonts w:ascii="Garamond" w:hAnsi="Garamond" w:cs="Times"/>
          <w:b/>
          <w:bCs/>
          <w:i w:val="0"/>
          <w:iCs w:val="0"/>
          <w:color w:val="auto"/>
          <w:sz w:val="20"/>
          <w:szCs w:val="20"/>
          <w:shd w:val="clear" w:color="auto" w:fill="FFFFFF"/>
          <w:lang w:val="pt-PT"/>
        </w:rPr>
        <w:t>PNIG</w:t>
      </w:r>
      <w:proofErr w:type="spellEnd"/>
      <w:r>
        <w:rPr>
          <w:rFonts w:ascii="Garamond" w:hAnsi="Garamond" w:cs="Times"/>
          <w:b/>
          <w:bCs/>
          <w:i w:val="0"/>
          <w:iCs w:val="0"/>
          <w:color w:val="auto"/>
          <w:sz w:val="20"/>
          <w:szCs w:val="20"/>
          <w:shd w:val="clear" w:color="auto" w:fill="FFFFFF"/>
          <w:lang w:val="pt-PT"/>
        </w:rPr>
        <w:t xml:space="preserve"> e </w:t>
      </w:r>
      <w:proofErr w:type="spellStart"/>
      <w:r>
        <w:rPr>
          <w:rFonts w:ascii="Garamond" w:hAnsi="Garamond" w:cs="Times"/>
          <w:b/>
          <w:bCs/>
          <w:i w:val="0"/>
          <w:iCs w:val="0"/>
          <w:color w:val="auto"/>
          <w:sz w:val="20"/>
          <w:szCs w:val="20"/>
          <w:shd w:val="clear" w:color="auto" w:fill="FFFFFF"/>
          <w:lang w:val="pt-PT"/>
        </w:rPr>
        <w:t>ODSs</w:t>
      </w:r>
      <w:bookmarkEnd w:id="9"/>
      <w:proofErr w:type="spellEnd"/>
      <w:r>
        <w:rPr>
          <w:rFonts w:ascii="Garamond" w:hAnsi="Garamond" w:cs="Times"/>
          <w:b/>
          <w:bCs/>
          <w:i w:val="0"/>
          <w:iCs w:val="0"/>
          <w:color w:val="auto"/>
          <w:sz w:val="20"/>
          <w:szCs w:val="20"/>
          <w:shd w:val="clear" w:color="auto" w:fill="FFFFFF"/>
          <w:lang w:val="pt-PT"/>
        </w:rPr>
        <w:t xml:space="preserve"> </w:t>
      </w:r>
    </w:p>
    <w:p w14:paraId="3E30B4EC" w14:textId="219F9423" w:rsidR="00B70FD3" w:rsidRPr="00B70FD3" w:rsidRDefault="00B70FD3" w:rsidP="00B70FD3">
      <w:pPr>
        <w:pStyle w:val="Legenda"/>
        <w:spacing w:after="0"/>
        <w:jc w:val="center"/>
        <w:rPr>
          <w:rFonts w:ascii="Garamond" w:hAnsi="Garamond" w:cs="Times"/>
          <w:b/>
          <w:bCs/>
          <w:i w:val="0"/>
          <w:iCs w:val="0"/>
          <w:color w:val="auto"/>
          <w:sz w:val="20"/>
          <w:szCs w:val="20"/>
          <w:shd w:val="clear" w:color="auto" w:fill="FFFFFF"/>
          <w:lang w:val="pt-PT"/>
        </w:rPr>
      </w:pPr>
      <w:r>
        <w:rPr>
          <w:rFonts w:ascii="Garamond" w:hAnsi="Garamond" w:cs="Times"/>
          <w:b/>
          <w:bCs/>
          <w:i w:val="0"/>
          <w:iCs w:val="0"/>
          <w:color w:val="auto"/>
          <w:sz w:val="20"/>
          <w:szCs w:val="20"/>
          <w:shd w:val="clear" w:color="auto" w:fill="FFFFFF"/>
          <w:lang w:val="pt-PT"/>
        </w:rPr>
        <w:t>(tabela detalhada em Anexo)</w:t>
      </w:r>
    </w:p>
    <w:tbl>
      <w:tblPr>
        <w:tblStyle w:val="TabelacomGrelha"/>
        <w:tblW w:w="9067" w:type="dxa"/>
        <w:jc w:val="center"/>
        <w:tblLayout w:type="fixed"/>
        <w:tblLook w:val="04A0" w:firstRow="1" w:lastRow="0" w:firstColumn="1" w:lastColumn="0" w:noHBand="0" w:noVBand="1"/>
      </w:tblPr>
      <w:tblGrid>
        <w:gridCol w:w="2830"/>
        <w:gridCol w:w="2694"/>
        <w:gridCol w:w="3543"/>
      </w:tblGrid>
      <w:tr w:rsidR="005D1094" w:rsidRPr="005D1094" w14:paraId="3084C068" w14:textId="77777777" w:rsidTr="00952574">
        <w:trPr>
          <w:jc w:val="center"/>
        </w:trPr>
        <w:tc>
          <w:tcPr>
            <w:tcW w:w="2830" w:type="dxa"/>
            <w:shd w:val="clear" w:color="auto" w:fill="F2F2F2" w:themeFill="background1" w:themeFillShade="F2"/>
            <w:vAlign w:val="center"/>
          </w:tcPr>
          <w:p w14:paraId="4C1204E7" w14:textId="77777777" w:rsidR="00B70FD3" w:rsidRPr="005D1094" w:rsidRDefault="00B70FD3" w:rsidP="005D1094">
            <w:pPr>
              <w:pStyle w:val="PargrafodaLista"/>
              <w:spacing w:before="120" w:after="120"/>
              <w:ind w:left="0"/>
              <w:contextualSpacing w:val="0"/>
              <w:jc w:val="center"/>
              <w:rPr>
                <w:rFonts w:ascii="Garamond" w:hAnsi="Garamond"/>
                <w:b/>
                <w:sz w:val="20"/>
                <w:szCs w:val="20"/>
                <w:lang w:val="pt-PT"/>
              </w:rPr>
            </w:pPr>
            <w:r w:rsidRPr="005D1094">
              <w:rPr>
                <w:rFonts w:ascii="Garamond" w:hAnsi="Garamond"/>
                <w:b/>
                <w:sz w:val="20"/>
                <w:szCs w:val="20"/>
                <w:lang w:val="pt-PT"/>
              </w:rPr>
              <w:t xml:space="preserve">Eixos do </w:t>
            </w:r>
            <w:proofErr w:type="spellStart"/>
            <w:r w:rsidRPr="005D1094">
              <w:rPr>
                <w:rFonts w:ascii="Garamond" w:hAnsi="Garamond"/>
                <w:b/>
                <w:sz w:val="20"/>
                <w:szCs w:val="20"/>
                <w:lang w:val="pt-PT"/>
              </w:rPr>
              <w:t>PEDS</w:t>
            </w:r>
            <w:proofErr w:type="spellEnd"/>
            <w:r w:rsidRPr="005D1094">
              <w:rPr>
                <w:rFonts w:ascii="Garamond" w:hAnsi="Garamond"/>
                <w:b/>
                <w:sz w:val="20"/>
                <w:szCs w:val="20"/>
                <w:lang w:val="pt-PT"/>
              </w:rPr>
              <w:t xml:space="preserve"> para IG</w:t>
            </w:r>
          </w:p>
        </w:tc>
        <w:tc>
          <w:tcPr>
            <w:tcW w:w="2694" w:type="dxa"/>
            <w:shd w:val="clear" w:color="auto" w:fill="F2F2F2" w:themeFill="background1" w:themeFillShade="F2"/>
            <w:vAlign w:val="center"/>
          </w:tcPr>
          <w:p w14:paraId="6A52F951" w14:textId="4EF349F9" w:rsidR="00B70FD3" w:rsidRPr="005D1094" w:rsidRDefault="00B70FD3" w:rsidP="005D1094">
            <w:pPr>
              <w:pStyle w:val="PargrafodaLista"/>
              <w:spacing w:before="120" w:after="120"/>
              <w:ind w:left="0"/>
              <w:contextualSpacing w:val="0"/>
              <w:jc w:val="center"/>
              <w:rPr>
                <w:rFonts w:ascii="Garamond" w:hAnsi="Garamond"/>
                <w:b/>
                <w:sz w:val="20"/>
                <w:szCs w:val="20"/>
              </w:rPr>
            </w:pPr>
            <w:proofErr w:type="spellStart"/>
            <w:r w:rsidRPr="005D1094">
              <w:rPr>
                <w:rFonts w:ascii="Garamond" w:hAnsi="Garamond"/>
                <w:b/>
                <w:sz w:val="20"/>
                <w:szCs w:val="20"/>
              </w:rPr>
              <w:t>Eixos</w:t>
            </w:r>
            <w:proofErr w:type="spellEnd"/>
            <w:r w:rsidRPr="005D1094">
              <w:rPr>
                <w:rFonts w:ascii="Garamond" w:hAnsi="Garamond"/>
                <w:b/>
                <w:sz w:val="20"/>
                <w:szCs w:val="20"/>
              </w:rPr>
              <w:t xml:space="preserve"> do </w:t>
            </w:r>
            <w:proofErr w:type="spellStart"/>
            <w:r w:rsidRPr="005D1094">
              <w:rPr>
                <w:rFonts w:ascii="Garamond" w:hAnsi="Garamond"/>
                <w:b/>
                <w:sz w:val="20"/>
                <w:szCs w:val="20"/>
              </w:rPr>
              <w:t>PNIG</w:t>
            </w:r>
            <w:proofErr w:type="spellEnd"/>
            <w:r w:rsidRPr="005D1094">
              <w:rPr>
                <w:rFonts w:ascii="Garamond" w:hAnsi="Garamond"/>
                <w:b/>
                <w:sz w:val="20"/>
                <w:szCs w:val="20"/>
              </w:rPr>
              <w:t xml:space="preserve"> (2020-2023)</w:t>
            </w:r>
          </w:p>
        </w:tc>
        <w:tc>
          <w:tcPr>
            <w:tcW w:w="3543" w:type="dxa"/>
            <w:shd w:val="clear" w:color="auto" w:fill="F2F2F2" w:themeFill="background1" w:themeFillShade="F2"/>
            <w:vAlign w:val="center"/>
          </w:tcPr>
          <w:p w14:paraId="0C338BBE" w14:textId="77777777" w:rsidR="00B70FD3" w:rsidRPr="005D1094" w:rsidRDefault="00B70FD3" w:rsidP="005D1094">
            <w:pPr>
              <w:pStyle w:val="PargrafodaLista"/>
              <w:spacing w:before="120" w:after="120"/>
              <w:ind w:left="0"/>
              <w:contextualSpacing w:val="0"/>
              <w:jc w:val="center"/>
              <w:rPr>
                <w:rFonts w:ascii="Garamond" w:hAnsi="Garamond"/>
                <w:b/>
                <w:sz w:val="20"/>
                <w:szCs w:val="20"/>
              </w:rPr>
            </w:pPr>
            <w:proofErr w:type="spellStart"/>
            <w:r w:rsidRPr="005D1094">
              <w:rPr>
                <w:rFonts w:ascii="Garamond" w:hAnsi="Garamond"/>
                <w:b/>
                <w:sz w:val="20"/>
                <w:szCs w:val="20"/>
              </w:rPr>
              <w:t>Alinhamento</w:t>
            </w:r>
            <w:proofErr w:type="spellEnd"/>
            <w:r w:rsidRPr="005D1094">
              <w:rPr>
                <w:rFonts w:ascii="Garamond" w:hAnsi="Garamond"/>
                <w:b/>
                <w:sz w:val="20"/>
                <w:szCs w:val="20"/>
              </w:rPr>
              <w:t xml:space="preserve"> </w:t>
            </w:r>
            <w:proofErr w:type="spellStart"/>
            <w:r w:rsidRPr="005D1094">
              <w:rPr>
                <w:rFonts w:ascii="Garamond" w:hAnsi="Garamond"/>
                <w:b/>
                <w:sz w:val="20"/>
                <w:szCs w:val="20"/>
              </w:rPr>
              <w:t>ao</w:t>
            </w:r>
            <w:proofErr w:type="spellEnd"/>
            <w:r w:rsidRPr="005D1094">
              <w:rPr>
                <w:rFonts w:ascii="Garamond" w:hAnsi="Garamond"/>
                <w:b/>
                <w:sz w:val="20"/>
                <w:szCs w:val="20"/>
              </w:rPr>
              <w:t xml:space="preserve"> ODS 5 / ODS</w:t>
            </w:r>
          </w:p>
        </w:tc>
      </w:tr>
      <w:tr w:rsidR="005D1094" w:rsidRPr="005D1094" w14:paraId="53D43473" w14:textId="77777777" w:rsidTr="00952574">
        <w:trPr>
          <w:trHeight w:val="680"/>
          <w:jc w:val="center"/>
        </w:trPr>
        <w:tc>
          <w:tcPr>
            <w:tcW w:w="2830" w:type="dxa"/>
            <w:vAlign w:val="center"/>
          </w:tcPr>
          <w:p w14:paraId="6FD61B16" w14:textId="5D104806" w:rsidR="00B70FD3" w:rsidRPr="005D1094" w:rsidRDefault="00B70FD3" w:rsidP="005D1094">
            <w:pPr>
              <w:pStyle w:val="PargrafodaLista"/>
              <w:spacing w:before="60" w:after="60"/>
              <w:ind w:left="0"/>
              <w:contextualSpacing w:val="0"/>
              <w:rPr>
                <w:rFonts w:ascii="Garamond" w:hAnsi="Garamond"/>
                <w:b/>
                <w:sz w:val="20"/>
                <w:szCs w:val="20"/>
                <w:lang w:val="pt-PT"/>
              </w:rPr>
            </w:pPr>
            <w:r w:rsidRPr="005D1094">
              <w:rPr>
                <w:rFonts w:ascii="Garamond" w:hAnsi="Garamond"/>
                <w:sz w:val="20"/>
                <w:szCs w:val="20"/>
                <w:lang w:val="pt-PT"/>
              </w:rPr>
              <w:t>Empoderamento económico (economia produtiva e reprodutiva)</w:t>
            </w:r>
          </w:p>
        </w:tc>
        <w:tc>
          <w:tcPr>
            <w:tcW w:w="2694" w:type="dxa"/>
            <w:vAlign w:val="center"/>
          </w:tcPr>
          <w:p w14:paraId="03DA1BDF" w14:textId="54A7E4CC"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Empoderamento económico e igualdade no trabalho</w:t>
            </w:r>
          </w:p>
        </w:tc>
        <w:tc>
          <w:tcPr>
            <w:tcW w:w="3543" w:type="dxa"/>
            <w:vAlign w:val="center"/>
          </w:tcPr>
          <w:p w14:paraId="2E93A567" w14:textId="7387CB7B" w:rsidR="00B70FD3" w:rsidRPr="005D1094" w:rsidRDefault="00B70FD3" w:rsidP="005D1094">
            <w:pPr>
              <w:spacing w:before="60" w:after="60"/>
              <w:rPr>
                <w:rFonts w:ascii="Garamond" w:hAnsi="Garamond"/>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5 - Meta 5.4, Meta 5.a</w:t>
            </w:r>
            <w:r w:rsidRPr="005D1094">
              <w:rPr>
                <w:rFonts w:ascii="Garamond" w:hAnsi="Garamond"/>
                <w:sz w:val="20"/>
                <w:szCs w:val="20"/>
                <w:lang w:val="pt-PT"/>
              </w:rPr>
              <w:t xml:space="preserve">, </w:t>
            </w:r>
            <w:r w:rsidRPr="005D1094">
              <w:rPr>
                <w:rFonts w:ascii="Garamond" w:hAnsi="Garamond"/>
                <w:b/>
                <w:sz w:val="20"/>
                <w:szCs w:val="20"/>
                <w:lang w:val="pt-PT"/>
              </w:rPr>
              <w:t>Meta 5.b</w:t>
            </w:r>
          </w:p>
          <w:p w14:paraId="713D32D6" w14:textId="3D5CD422" w:rsidR="00B70FD3" w:rsidRPr="005D1094" w:rsidRDefault="007A21BD" w:rsidP="005D1094">
            <w:pPr>
              <w:spacing w:before="60" w:after="60"/>
              <w:rPr>
                <w:rFonts w:ascii="Garamond" w:hAnsi="Garamond"/>
                <w:i/>
                <w:iCs/>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w:t>
            </w:r>
            <w:r w:rsidR="0074695E" w:rsidRPr="005D1094">
              <w:rPr>
                <w:rFonts w:ascii="Garamond" w:hAnsi="Garamond"/>
                <w:b/>
                <w:sz w:val="20"/>
                <w:szCs w:val="20"/>
                <w:lang w:val="pt-PT"/>
              </w:rPr>
              <w:t>8</w:t>
            </w:r>
            <w:r w:rsidRPr="005D1094">
              <w:rPr>
                <w:rFonts w:ascii="Garamond" w:hAnsi="Garamond"/>
                <w:b/>
                <w:sz w:val="20"/>
                <w:szCs w:val="20"/>
                <w:lang w:val="pt-PT"/>
              </w:rPr>
              <w:t xml:space="preserve"> - </w:t>
            </w:r>
            <w:r w:rsidR="00B70FD3" w:rsidRPr="005D1094">
              <w:rPr>
                <w:rFonts w:ascii="Garamond" w:hAnsi="Garamond"/>
                <w:b/>
                <w:sz w:val="20"/>
                <w:szCs w:val="20"/>
                <w:lang w:val="pt-PT"/>
              </w:rPr>
              <w:t>Meta 8.5</w:t>
            </w:r>
          </w:p>
        </w:tc>
      </w:tr>
      <w:tr w:rsidR="005D1094" w:rsidRPr="005808D4" w14:paraId="21C12FF8" w14:textId="77777777" w:rsidTr="00952574">
        <w:trPr>
          <w:trHeight w:val="680"/>
          <w:jc w:val="center"/>
        </w:trPr>
        <w:tc>
          <w:tcPr>
            <w:tcW w:w="2830" w:type="dxa"/>
            <w:vAlign w:val="center"/>
          </w:tcPr>
          <w:p w14:paraId="0EED1199" w14:textId="77777777"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Educação e formação profissional</w:t>
            </w:r>
          </w:p>
        </w:tc>
        <w:tc>
          <w:tcPr>
            <w:tcW w:w="2694" w:type="dxa"/>
            <w:vAlign w:val="center"/>
          </w:tcPr>
          <w:p w14:paraId="37C8CAB0" w14:textId="3D2BFF53"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 xml:space="preserve">Educação e formação </w:t>
            </w:r>
            <w:proofErr w:type="spellStart"/>
            <w:r w:rsidR="005D1094" w:rsidRPr="005D1094">
              <w:rPr>
                <w:rFonts w:ascii="Garamond" w:hAnsi="Garamond"/>
                <w:sz w:val="20"/>
                <w:szCs w:val="20"/>
                <w:lang w:val="pt-PT"/>
              </w:rPr>
              <w:t>professional</w:t>
            </w:r>
            <w:proofErr w:type="spellEnd"/>
          </w:p>
        </w:tc>
        <w:tc>
          <w:tcPr>
            <w:tcW w:w="3543" w:type="dxa"/>
            <w:vAlign w:val="center"/>
          </w:tcPr>
          <w:p w14:paraId="250090D6" w14:textId="720D6E08" w:rsidR="00B70FD3" w:rsidRPr="005D1094" w:rsidRDefault="0074695E" w:rsidP="005D1094">
            <w:pPr>
              <w:spacing w:before="60" w:after="60"/>
              <w:rPr>
                <w:rFonts w:ascii="Garamond" w:hAnsi="Garamond"/>
                <w:b/>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4 - </w:t>
            </w:r>
            <w:r w:rsidR="00B70FD3" w:rsidRPr="005D1094">
              <w:rPr>
                <w:rFonts w:ascii="Garamond" w:hAnsi="Garamond"/>
                <w:b/>
                <w:sz w:val="20"/>
                <w:szCs w:val="20"/>
                <w:lang w:val="pt-PT"/>
              </w:rPr>
              <w:t>Meta 4.1</w:t>
            </w:r>
            <w:r w:rsidRPr="005D1094">
              <w:rPr>
                <w:rFonts w:ascii="Garamond" w:hAnsi="Garamond"/>
                <w:sz w:val="20"/>
                <w:szCs w:val="20"/>
                <w:lang w:val="pt-PT"/>
              </w:rPr>
              <w:t xml:space="preserve">, </w:t>
            </w:r>
            <w:r w:rsidR="00B70FD3" w:rsidRPr="005D1094">
              <w:rPr>
                <w:rFonts w:ascii="Garamond" w:hAnsi="Garamond"/>
                <w:b/>
                <w:sz w:val="20"/>
                <w:szCs w:val="20"/>
                <w:lang w:val="pt-PT"/>
              </w:rPr>
              <w:t>Meta 4.2</w:t>
            </w:r>
            <w:r w:rsidRPr="005D1094">
              <w:rPr>
                <w:rFonts w:ascii="Garamond" w:hAnsi="Garamond"/>
                <w:bCs/>
                <w:sz w:val="20"/>
                <w:szCs w:val="20"/>
                <w:lang w:val="pt-PT"/>
              </w:rPr>
              <w:t xml:space="preserve">, </w:t>
            </w:r>
            <w:r w:rsidR="00B70FD3" w:rsidRPr="005D1094">
              <w:rPr>
                <w:rFonts w:ascii="Garamond" w:hAnsi="Garamond"/>
                <w:b/>
                <w:sz w:val="20"/>
                <w:szCs w:val="20"/>
                <w:lang w:val="pt-PT"/>
              </w:rPr>
              <w:t>Meta 4.3</w:t>
            </w:r>
            <w:r w:rsidRPr="005D1094">
              <w:rPr>
                <w:rFonts w:ascii="Garamond" w:hAnsi="Garamond"/>
                <w:b/>
                <w:sz w:val="20"/>
                <w:szCs w:val="20"/>
                <w:lang w:val="pt-PT"/>
              </w:rPr>
              <w:t xml:space="preserve">, </w:t>
            </w:r>
            <w:r w:rsidR="00B70FD3" w:rsidRPr="005D1094">
              <w:rPr>
                <w:rFonts w:ascii="Garamond" w:hAnsi="Garamond"/>
                <w:b/>
                <w:sz w:val="20"/>
                <w:szCs w:val="20"/>
                <w:lang w:val="pt-PT"/>
              </w:rPr>
              <w:t>Meta 4.5</w:t>
            </w:r>
            <w:r w:rsidRPr="005D1094">
              <w:rPr>
                <w:rFonts w:ascii="Garamond" w:hAnsi="Garamond"/>
                <w:b/>
                <w:sz w:val="20"/>
                <w:szCs w:val="20"/>
                <w:lang w:val="pt-PT"/>
              </w:rPr>
              <w:t xml:space="preserve">, </w:t>
            </w:r>
            <w:r w:rsidR="00B70FD3" w:rsidRPr="005D1094">
              <w:rPr>
                <w:rFonts w:ascii="Garamond" w:hAnsi="Garamond"/>
                <w:b/>
                <w:sz w:val="20"/>
                <w:szCs w:val="20"/>
                <w:lang w:val="pt-PT"/>
              </w:rPr>
              <w:t>Meta 4.6</w:t>
            </w:r>
            <w:r w:rsidRPr="005D1094">
              <w:rPr>
                <w:rFonts w:ascii="Garamond" w:hAnsi="Garamond"/>
                <w:b/>
                <w:sz w:val="20"/>
                <w:szCs w:val="20"/>
                <w:lang w:val="pt-PT"/>
              </w:rPr>
              <w:t xml:space="preserve">, </w:t>
            </w:r>
            <w:r w:rsidR="00B70FD3" w:rsidRPr="005D1094">
              <w:rPr>
                <w:rFonts w:ascii="Garamond" w:hAnsi="Garamond"/>
                <w:b/>
                <w:sz w:val="20"/>
                <w:szCs w:val="20"/>
                <w:lang w:val="pt-PT"/>
              </w:rPr>
              <w:t>Meta 4.7</w:t>
            </w:r>
          </w:p>
        </w:tc>
      </w:tr>
      <w:tr w:rsidR="005D1094" w:rsidRPr="005D1094" w14:paraId="035D0774" w14:textId="77777777" w:rsidTr="00952574">
        <w:trPr>
          <w:trHeight w:val="680"/>
          <w:jc w:val="center"/>
        </w:trPr>
        <w:tc>
          <w:tcPr>
            <w:tcW w:w="2830" w:type="dxa"/>
            <w:vAlign w:val="center"/>
          </w:tcPr>
          <w:p w14:paraId="0B5A08DA" w14:textId="518C5459"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Saúde e Direitos Sexuais e Reprodutivos</w:t>
            </w:r>
          </w:p>
        </w:tc>
        <w:tc>
          <w:tcPr>
            <w:tcW w:w="2694" w:type="dxa"/>
            <w:vAlign w:val="center"/>
          </w:tcPr>
          <w:p w14:paraId="181238D0" w14:textId="26F12AC0"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Saúde e Direitos Sexuais e Reprodutivos</w:t>
            </w:r>
          </w:p>
        </w:tc>
        <w:tc>
          <w:tcPr>
            <w:tcW w:w="3543" w:type="dxa"/>
            <w:vAlign w:val="center"/>
          </w:tcPr>
          <w:p w14:paraId="0E1A3E16" w14:textId="60F0AAF5" w:rsidR="00B70FD3" w:rsidRPr="005D1094" w:rsidRDefault="0074695E" w:rsidP="005D1094">
            <w:pPr>
              <w:spacing w:before="60" w:after="60"/>
              <w:rPr>
                <w:rFonts w:ascii="Garamond" w:hAnsi="Garamond"/>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5 - </w:t>
            </w:r>
            <w:r w:rsidR="00B70FD3" w:rsidRPr="005D1094">
              <w:rPr>
                <w:rFonts w:ascii="Garamond" w:hAnsi="Garamond"/>
                <w:b/>
                <w:sz w:val="20"/>
                <w:szCs w:val="20"/>
                <w:lang w:val="pt-PT"/>
              </w:rPr>
              <w:t>Meta 5.6</w:t>
            </w:r>
          </w:p>
          <w:p w14:paraId="1FCC8026" w14:textId="282CF390" w:rsidR="00B70FD3" w:rsidRPr="005D1094" w:rsidRDefault="00B70FD3" w:rsidP="005D1094">
            <w:pPr>
              <w:spacing w:before="60" w:after="60"/>
              <w:rPr>
                <w:rFonts w:ascii="Garamond" w:hAnsi="Garamond"/>
                <w:i/>
                <w:iCs/>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3</w:t>
            </w:r>
          </w:p>
        </w:tc>
      </w:tr>
      <w:tr w:rsidR="005D1094" w:rsidRPr="005D1094" w14:paraId="47D445FF" w14:textId="77777777" w:rsidTr="00952574">
        <w:trPr>
          <w:trHeight w:val="680"/>
          <w:jc w:val="center"/>
        </w:trPr>
        <w:tc>
          <w:tcPr>
            <w:tcW w:w="2830" w:type="dxa"/>
            <w:vAlign w:val="center"/>
          </w:tcPr>
          <w:p w14:paraId="22F391DC" w14:textId="77777777" w:rsidR="00B70FD3" w:rsidRPr="005D1094" w:rsidRDefault="00B70FD3" w:rsidP="005D1094">
            <w:pPr>
              <w:pStyle w:val="PargrafodaLista"/>
              <w:spacing w:before="60" w:after="60"/>
              <w:ind w:left="0"/>
              <w:contextualSpacing w:val="0"/>
              <w:rPr>
                <w:rFonts w:ascii="Garamond" w:hAnsi="Garamond"/>
                <w:sz w:val="20"/>
                <w:szCs w:val="20"/>
              </w:rPr>
            </w:pPr>
            <w:proofErr w:type="spellStart"/>
            <w:r w:rsidRPr="005D1094">
              <w:rPr>
                <w:rFonts w:ascii="Garamond" w:hAnsi="Garamond"/>
                <w:sz w:val="20"/>
                <w:szCs w:val="20"/>
              </w:rPr>
              <w:t>Violência</w:t>
            </w:r>
            <w:proofErr w:type="spellEnd"/>
            <w:r w:rsidRPr="005D1094">
              <w:rPr>
                <w:rFonts w:ascii="Garamond" w:hAnsi="Garamond"/>
                <w:sz w:val="20"/>
                <w:szCs w:val="20"/>
              </w:rPr>
              <w:t xml:space="preserve"> </w:t>
            </w:r>
            <w:proofErr w:type="spellStart"/>
            <w:r w:rsidRPr="005D1094">
              <w:rPr>
                <w:rFonts w:ascii="Garamond" w:hAnsi="Garamond"/>
                <w:sz w:val="20"/>
                <w:szCs w:val="20"/>
              </w:rPr>
              <w:t>Baseada</w:t>
            </w:r>
            <w:proofErr w:type="spellEnd"/>
            <w:r w:rsidRPr="005D1094">
              <w:rPr>
                <w:rFonts w:ascii="Garamond" w:hAnsi="Garamond"/>
                <w:sz w:val="20"/>
                <w:szCs w:val="20"/>
              </w:rPr>
              <w:t xml:space="preserve"> no </w:t>
            </w:r>
            <w:proofErr w:type="spellStart"/>
            <w:r w:rsidRPr="005D1094">
              <w:rPr>
                <w:rFonts w:ascii="Garamond" w:hAnsi="Garamond"/>
                <w:sz w:val="20"/>
                <w:szCs w:val="20"/>
              </w:rPr>
              <w:t>Género</w:t>
            </w:r>
            <w:proofErr w:type="spellEnd"/>
          </w:p>
        </w:tc>
        <w:tc>
          <w:tcPr>
            <w:tcW w:w="2694" w:type="dxa"/>
            <w:vAlign w:val="center"/>
          </w:tcPr>
          <w:p w14:paraId="752F588B" w14:textId="77777777" w:rsidR="00B70FD3" w:rsidRPr="005D1094" w:rsidRDefault="00B70FD3" w:rsidP="005D1094">
            <w:pPr>
              <w:pStyle w:val="PargrafodaLista"/>
              <w:spacing w:before="60" w:after="60"/>
              <w:ind w:left="35"/>
              <w:contextualSpacing w:val="0"/>
              <w:rPr>
                <w:rFonts w:ascii="Garamond" w:hAnsi="Garamond"/>
                <w:sz w:val="20"/>
                <w:szCs w:val="20"/>
              </w:rPr>
            </w:pPr>
            <w:proofErr w:type="spellStart"/>
            <w:r w:rsidRPr="005D1094">
              <w:rPr>
                <w:rFonts w:ascii="Garamond" w:hAnsi="Garamond"/>
                <w:sz w:val="20"/>
                <w:szCs w:val="20"/>
              </w:rPr>
              <w:t>Violência</w:t>
            </w:r>
            <w:proofErr w:type="spellEnd"/>
            <w:r w:rsidRPr="005D1094">
              <w:rPr>
                <w:rFonts w:ascii="Garamond" w:hAnsi="Garamond"/>
                <w:sz w:val="20"/>
                <w:szCs w:val="20"/>
              </w:rPr>
              <w:t xml:space="preserve"> </w:t>
            </w:r>
            <w:proofErr w:type="spellStart"/>
            <w:r w:rsidRPr="005D1094">
              <w:rPr>
                <w:rFonts w:ascii="Garamond" w:hAnsi="Garamond"/>
                <w:sz w:val="20"/>
                <w:szCs w:val="20"/>
              </w:rPr>
              <w:t>Baseada</w:t>
            </w:r>
            <w:proofErr w:type="spellEnd"/>
            <w:r w:rsidRPr="005D1094">
              <w:rPr>
                <w:rFonts w:ascii="Garamond" w:hAnsi="Garamond"/>
                <w:sz w:val="20"/>
                <w:szCs w:val="20"/>
              </w:rPr>
              <w:t xml:space="preserve"> no </w:t>
            </w:r>
            <w:proofErr w:type="spellStart"/>
            <w:r w:rsidRPr="005D1094">
              <w:rPr>
                <w:rFonts w:ascii="Garamond" w:hAnsi="Garamond"/>
                <w:sz w:val="20"/>
                <w:szCs w:val="20"/>
              </w:rPr>
              <w:t>Género</w:t>
            </w:r>
            <w:proofErr w:type="spellEnd"/>
          </w:p>
        </w:tc>
        <w:tc>
          <w:tcPr>
            <w:tcW w:w="3543" w:type="dxa"/>
            <w:vAlign w:val="center"/>
          </w:tcPr>
          <w:p w14:paraId="1AEB16BE" w14:textId="28937EFF" w:rsidR="00B70FD3" w:rsidRPr="005D1094" w:rsidRDefault="0074695E" w:rsidP="005D1094">
            <w:pPr>
              <w:spacing w:before="60" w:after="60"/>
              <w:rPr>
                <w:rFonts w:ascii="Garamond" w:hAnsi="Garamond"/>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5 - </w:t>
            </w:r>
            <w:r w:rsidR="00B70FD3" w:rsidRPr="005D1094">
              <w:rPr>
                <w:rFonts w:ascii="Garamond" w:hAnsi="Garamond"/>
                <w:b/>
                <w:sz w:val="20"/>
                <w:szCs w:val="20"/>
                <w:lang w:val="pt-PT"/>
              </w:rPr>
              <w:t>Meta 5.2</w:t>
            </w:r>
            <w:r w:rsidRPr="005D1094">
              <w:rPr>
                <w:rFonts w:ascii="Garamond" w:hAnsi="Garamond"/>
                <w:b/>
                <w:sz w:val="20"/>
                <w:szCs w:val="20"/>
                <w:lang w:val="pt-PT"/>
              </w:rPr>
              <w:t xml:space="preserve">, </w:t>
            </w:r>
            <w:r w:rsidR="00B70FD3" w:rsidRPr="005D1094">
              <w:rPr>
                <w:rFonts w:ascii="Garamond" w:hAnsi="Garamond"/>
                <w:b/>
                <w:sz w:val="20"/>
                <w:szCs w:val="20"/>
                <w:lang w:val="pt-PT"/>
              </w:rPr>
              <w:t>Meta 5.3</w:t>
            </w:r>
          </w:p>
        </w:tc>
      </w:tr>
      <w:tr w:rsidR="005D1094" w:rsidRPr="005D1094" w14:paraId="1952A76F" w14:textId="77777777" w:rsidTr="00952574">
        <w:trPr>
          <w:trHeight w:val="680"/>
          <w:jc w:val="center"/>
        </w:trPr>
        <w:tc>
          <w:tcPr>
            <w:tcW w:w="2830" w:type="dxa"/>
            <w:vAlign w:val="center"/>
          </w:tcPr>
          <w:p w14:paraId="358E32B6" w14:textId="77777777" w:rsidR="00B70FD3" w:rsidRPr="005D1094" w:rsidRDefault="00B70FD3" w:rsidP="005D1094">
            <w:pPr>
              <w:pStyle w:val="PargrafodaLista"/>
              <w:spacing w:before="60" w:after="60"/>
              <w:ind w:left="0"/>
              <w:contextualSpacing w:val="0"/>
              <w:rPr>
                <w:rFonts w:ascii="Garamond" w:hAnsi="Garamond"/>
                <w:sz w:val="20"/>
                <w:szCs w:val="20"/>
                <w:lang w:val="pt-PT"/>
              </w:rPr>
            </w:pPr>
            <w:r w:rsidRPr="005D1094">
              <w:rPr>
                <w:rFonts w:ascii="Garamond" w:hAnsi="Garamond"/>
                <w:sz w:val="20"/>
                <w:szCs w:val="20"/>
                <w:lang w:val="pt-PT"/>
              </w:rPr>
              <w:t>Participação política e exercício do poder</w:t>
            </w:r>
          </w:p>
        </w:tc>
        <w:tc>
          <w:tcPr>
            <w:tcW w:w="2694" w:type="dxa"/>
            <w:vAlign w:val="center"/>
          </w:tcPr>
          <w:p w14:paraId="2B3C3940" w14:textId="77777777" w:rsidR="00B70FD3" w:rsidRPr="005D1094" w:rsidRDefault="00B70FD3" w:rsidP="005D1094">
            <w:pPr>
              <w:pStyle w:val="PargrafodaLista"/>
              <w:spacing w:before="60" w:after="60"/>
              <w:ind w:left="35"/>
              <w:contextualSpacing w:val="0"/>
              <w:rPr>
                <w:rFonts w:ascii="Garamond" w:hAnsi="Garamond"/>
                <w:sz w:val="20"/>
                <w:szCs w:val="20"/>
                <w:lang w:val="pt-PT"/>
              </w:rPr>
            </w:pPr>
            <w:r w:rsidRPr="005D1094">
              <w:rPr>
                <w:rFonts w:ascii="Garamond" w:hAnsi="Garamond"/>
                <w:sz w:val="20"/>
                <w:szCs w:val="20"/>
                <w:lang w:val="pt-PT"/>
              </w:rPr>
              <w:t>Participação política e exercício do poder</w:t>
            </w:r>
          </w:p>
        </w:tc>
        <w:tc>
          <w:tcPr>
            <w:tcW w:w="3543" w:type="dxa"/>
            <w:vAlign w:val="center"/>
          </w:tcPr>
          <w:p w14:paraId="406D0A84" w14:textId="331F4005" w:rsidR="00B70FD3" w:rsidRPr="005D1094" w:rsidRDefault="0074695E" w:rsidP="005D1094">
            <w:pPr>
              <w:spacing w:before="60" w:after="60"/>
              <w:rPr>
                <w:rFonts w:ascii="Garamond" w:hAnsi="Garamond"/>
                <w:b/>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5- </w:t>
            </w:r>
            <w:r w:rsidR="00B70FD3" w:rsidRPr="005D1094">
              <w:rPr>
                <w:rFonts w:ascii="Garamond" w:hAnsi="Garamond"/>
                <w:b/>
                <w:sz w:val="20"/>
                <w:szCs w:val="20"/>
                <w:lang w:val="pt-PT"/>
              </w:rPr>
              <w:t>Meta 5.5</w:t>
            </w:r>
          </w:p>
          <w:p w14:paraId="5997382B" w14:textId="69FCBBA3" w:rsidR="00B70FD3" w:rsidRPr="005D1094" w:rsidRDefault="0074695E" w:rsidP="005D1094">
            <w:pPr>
              <w:pStyle w:val="Textodenotaderodap"/>
              <w:spacing w:before="60" w:after="60"/>
              <w:rPr>
                <w:rFonts w:ascii="Garamond" w:hAnsi="Garamond"/>
                <w:i/>
              </w:rPr>
            </w:pPr>
            <w:proofErr w:type="spellStart"/>
            <w:r w:rsidRPr="005D1094">
              <w:rPr>
                <w:rFonts w:ascii="Garamond" w:eastAsiaTheme="minorHAnsi" w:hAnsi="Garamond"/>
                <w:b/>
                <w:lang w:eastAsia="en-US"/>
              </w:rPr>
              <w:t>ODS</w:t>
            </w:r>
            <w:proofErr w:type="spellEnd"/>
            <w:r w:rsidRPr="005D1094">
              <w:rPr>
                <w:rFonts w:ascii="Garamond" w:eastAsiaTheme="minorHAnsi" w:hAnsi="Garamond"/>
                <w:b/>
                <w:lang w:eastAsia="en-US"/>
              </w:rPr>
              <w:t xml:space="preserve"> 16 - </w:t>
            </w:r>
            <w:r w:rsidR="00B70FD3" w:rsidRPr="005D1094">
              <w:rPr>
                <w:rFonts w:ascii="Garamond" w:eastAsiaTheme="minorHAnsi" w:hAnsi="Garamond"/>
                <w:b/>
                <w:lang w:eastAsia="en-US"/>
              </w:rPr>
              <w:t>Meta 16.7</w:t>
            </w:r>
            <w:r w:rsidR="00B70FD3" w:rsidRPr="005D1094">
              <w:rPr>
                <w:rFonts w:ascii="Garamond" w:hAnsi="Garamond"/>
              </w:rPr>
              <w:t xml:space="preserve"> </w:t>
            </w:r>
          </w:p>
        </w:tc>
      </w:tr>
      <w:tr w:rsidR="005D1094" w:rsidRPr="005D1094" w14:paraId="259CD298" w14:textId="77777777" w:rsidTr="00952574">
        <w:trPr>
          <w:trHeight w:val="680"/>
          <w:jc w:val="center"/>
        </w:trPr>
        <w:tc>
          <w:tcPr>
            <w:tcW w:w="2830" w:type="dxa"/>
            <w:vAlign w:val="center"/>
          </w:tcPr>
          <w:p w14:paraId="12EE10B0" w14:textId="47F2E945" w:rsidR="00B70FD3" w:rsidRPr="005D1094" w:rsidRDefault="00B70FD3" w:rsidP="005D1094">
            <w:pPr>
              <w:pStyle w:val="PargrafodaLista"/>
              <w:spacing w:before="60" w:after="60"/>
              <w:ind w:left="0"/>
              <w:contextualSpacing w:val="0"/>
              <w:rPr>
                <w:rFonts w:ascii="Garamond" w:hAnsi="Garamond"/>
                <w:sz w:val="20"/>
                <w:szCs w:val="20"/>
                <w:lang w:val="pt-PT"/>
              </w:rPr>
            </w:pPr>
            <w:proofErr w:type="spellStart"/>
            <w:r w:rsidRPr="005D1094">
              <w:rPr>
                <w:rFonts w:ascii="Garamond" w:hAnsi="Garamond"/>
                <w:sz w:val="20"/>
                <w:szCs w:val="20"/>
                <w:lang w:val="pt-PT"/>
              </w:rPr>
              <w:t>Transversalização</w:t>
            </w:r>
            <w:proofErr w:type="spellEnd"/>
            <w:r w:rsidRPr="005D1094">
              <w:rPr>
                <w:rFonts w:ascii="Garamond" w:hAnsi="Garamond"/>
                <w:sz w:val="20"/>
                <w:szCs w:val="20"/>
                <w:lang w:val="pt-PT"/>
              </w:rPr>
              <w:t xml:space="preserve"> da abordagem de género</w:t>
            </w:r>
          </w:p>
        </w:tc>
        <w:tc>
          <w:tcPr>
            <w:tcW w:w="2694" w:type="dxa"/>
            <w:vAlign w:val="center"/>
          </w:tcPr>
          <w:p w14:paraId="5202EEBA" w14:textId="4CEBDDC6" w:rsidR="00B70FD3" w:rsidRPr="005D1094" w:rsidRDefault="00B70FD3" w:rsidP="005D1094">
            <w:pPr>
              <w:pStyle w:val="PargrafodaLista"/>
              <w:spacing w:before="60" w:after="60"/>
              <w:ind w:left="35"/>
              <w:contextualSpacing w:val="0"/>
              <w:rPr>
                <w:rFonts w:ascii="Garamond" w:hAnsi="Garamond"/>
                <w:sz w:val="20"/>
                <w:szCs w:val="20"/>
                <w:lang w:val="pt-PT"/>
              </w:rPr>
            </w:pPr>
            <w:proofErr w:type="spellStart"/>
            <w:r w:rsidRPr="005D1094">
              <w:rPr>
                <w:rFonts w:ascii="Garamond" w:hAnsi="Garamond"/>
                <w:sz w:val="20"/>
                <w:szCs w:val="20"/>
                <w:lang w:val="pt-PT"/>
              </w:rPr>
              <w:t>Transversalização</w:t>
            </w:r>
            <w:proofErr w:type="spellEnd"/>
            <w:r w:rsidRPr="005D1094">
              <w:rPr>
                <w:rFonts w:ascii="Garamond" w:hAnsi="Garamond"/>
                <w:sz w:val="20"/>
                <w:szCs w:val="20"/>
                <w:lang w:val="pt-PT"/>
              </w:rPr>
              <w:t xml:space="preserve"> da abordagem de género</w:t>
            </w:r>
          </w:p>
        </w:tc>
        <w:tc>
          <w:tcPr>
            <w:tcW w:w="3543" w:type="dxa"/>
            <w:vAlign w:val="center"/>
          </w:tcPr>
          <w:p w14:paraId="558D37A7" w14:textId="0D01E1BE" w:rsidR="00B70FD3" w:rsidRPr="005D1094" w:rsidRDefault="0074695E" w:rsidP="005D1094">
            <w:pPr>
              <w:pStyle w:val="PargrafodaLista"/>
              <w:spacing w:before="60" w:after="60"/>
              <w:ind w:left="77"/>
              <w:contextualSpacing w:val="0"/>
              <w:rPr>
                <w:rFonts w:ascii="Garamond" w:hAnsi="Garamond"/>
                <w:sz w:val="20"/>
                <w:szCs w:val="20"/>
                <w:lang w:val="pt-PT"/>
              </w:rPr>
            </w:pPr>
            <w:proofErr w:type="spellStart"/>
            <w:r w:rsidRPr="005D1094">
              <w:rPr>
                <w:rFonts w:ascii="Garamond" w:hAnsi="Garamond"/>
                <w:b/>
                <w:sz w:val="20"/>
                <w:szCs w:val="20"/>
                <w:lang w:val="pt-PT"/>
              </w:rPr>
              <w:t>ODS</w:t>
            </w:r>
            <w:proofErr w:type="spellEnd"/>
            <w:r w:rsidRPr="005D1094">
              <w:rPr>
                <w:rFonts w:ascii="Garamond" w:hAnsi="Garamond"/>
                <w:b/>
                <w:sz w:val="20"/>
                <w:szCs w:val="20"/>
                <w:lang w:val="pt-PT"/>
              </w:rPr>
              <w:t xml:space="preserve"> 5 - </w:t>
            </w:r>
            <w:r w:rsidR="00B70FD3" w:rsidRPr="005D1094">
              <w:rPr>
                <w:rFonts w:ascii="Garamond" w:hAnsi="Garamond"/>
                <w:b/>
                <w:sz w:val="20"/>
                <w:szCs w:val="20"/>
                <w:lang w:val="pt-PT"/>
              </w:rPr>
              <w:t>Meta 5.c</w:t>
            </w:r>
          </w:p>
        </w:tc>
      </w:tr>
    </w:tbl>
    <w:p w14:paraId="56AC0546" w14:textId="77777777" w:rsidR="00905932" w:rsidRPr="007B59FF" w:rsidRDefault="00905932" w:rsidP="00F1265A">
      <w:pPr>
        <w:jc w:val="both"/>
        <w:rPr>
          <w:rFonts w:ascii="Garamond" w:hAnsi="Garamond" w:cs="Times"/>
          <w:shd w:val="clear" w:color="auto" w:fill="FFFFFF"/>
          <w:lang w:val="pt-PT"/>
        </w:rPr>
      </w:pPr>
    </w:p>
    <w:p w14:paraId="3DE83E6E" w14:textId="2515E35E" w:rsidR="00F1265A" w:rsidRPr="00905932" w:rsidRDefault="00F1265A" w:rsidP="0007402E">
      <w:pPr>
        <w:jc w:val="both"/>
        <w:rPr>
          <w:rFonts w:ascii="Garamond" w:hAnsi="Garamond" w:cs="Calibri"/>
          <w:b/>
          <w:iCs/>
          <w:lang w:val="pt-PT"/>
        </w:rPr>
      </w:pPr>
      <w:r w:rsidRPr="00905932">
        <w:rPr>
          <w:rFonts w:ascii="Garamond" w:hAnsi="Garamond" w:cs="Calibri"/>
          <w:b/>
          <w:iCs/>
          <w:lang w:val="pt-PT"/>
        </w:rPr>
        <w:t>Quadro institucional</w:t>
      </w:r>
      <w:r w:rsidR="00CD0DAF">
        <w:rPr>
          <w:rFonts w:ascii="Garamond" w:hAnsi="Garamond" w:cs="Calibri"/>
          <w:b/>
          <w:iCs/>
          <w:lang w:val="pt-PT"/>
        </w:rPr>
        <w:t xml:space="preserve"> nacional</w:t>
      </w:r>
    </w:p>
    <w:p w14:paraId="11AFC82C" w14:textId="364C0299" w:rsidR="00F1265A" w:rsidRPr="00190391" w:rsidRDefault="00F1265A" w:rsidP="00F1265A">
      <w:pPr>
        <w:spacing w:after="240"/>
        <w:jc w:val="both"/>
        <w:rPr>
          <w:rFonts w:ascii="Garamond" w:eastAsia="Times New Roman" w:hAnsi="Garamond" w:cs="Times New Roman"/>
          <w:lang w:val="pt-PT"/>
        </w:rPr>
      </w:pPr>
      <w:r w:rsidRPr="00190391">
        <w:rPr>
          <w:rFonts w:ascii="Garamond" w:eastAsia="Times New Roman" w:hAnsi="Garamond" w:cs="Calibri"/>
          <w:color w:val="222222"/>
          <w:lang w:val="pt-PT"/>
        </w:rPr>
        <w:t>Em relação ao</w:t>
      </w:r>
      <w:r w:rsidRPr="00190391">
        <w:rPr>
          <w:rFonts w:ascii="Garamond" w:eastAsia="Times New Roman" w:hAnsi="Garamond" w:cs="Calibri"/>
          <w:b/>
          <w:bCs/>
          <w:color w:val="222222"/>
          <w:lang w:val="pt-PT"/>
        </w:rPr>
        <w:t xml:space="preserve"> quadro institucional </w:t>
      </w:r>
      <w:r w:rsidRPr="00190391">
        <w:rPr>
          <w:rFonts w:ascii="Garamond" w:eastAsia="Times New Roman" w:hAnsi="Garamond" w:cs="Calibri"/>
          <w:color w:val="222222"/>
          <w:lang w:val="pt-PT"/>
        </w:rPr>
        <w:t>para a I</w:t>
      </w:r>
      <w:r>
        <w:rPr>
          <w:rFonts w:ascii="Garamond" w:eastAsia="Times New Roman" w:hAnsi="Garamond" w:cs="Calibri"/>
          <w:color w:val="222222"/>
          <w:lang w:val="pt-PT"/>
        </w:rPr>
        <w:t>gualdade de Género</w:t>
      </w:r>
      <w:r w:rsidRPr="00190391">
        <w:rPr>
          <w:rFonts w:ascii="Garamond" w:eastAsia="Times New Roman" w:hAnsi="Garamond" w:cs="Calibri"/>
          <w:color w:val="222222"/>
          <w:lang w:val="pt-PT"/>
        </w:rPr>
        <w:t xml:space="preserve">, as mudanças registadas desde o último exercício de planificação dizem respeito ao estabelecimento do </w:t>
      </w:r>
      <w:r w:rsidRPr="00190391">
        <w:rPr>
          <w:rFonts w:ascii="Garamond" w:eastAsia="Times New Roman" w:hAnsi="Garamond" w:cs="Calibri"/>
          <w:b/>
          <w:bCs/>
          <w:color w:val="222222"/>
          <w:lang w:val="pt-PT"/>
        </w:rPr>
        <w:t>Ministério da Família e Inclusão Social</w:t>
      </w:r>
      <w:r w:rsidRPr="00190391">
        <w:rPr>
          <w:rFonts w:ascii="Garamond" w:eastAsia="Times New Roman" w:hAnsi="Garamond" w:cs="Calibri"/>
          <w:color w:val="222222"/>
          <w:lang w:val="pt-PT"/>
        </w:rPr>
        <w:t xml:space="preserve"> (</w:t>
      </w:r>
      <w:proofErr w:type="spellStart"/>
      <w:r w:rsidRPr="00190391">
        <w:rPr>
          <w:rFonts w:ascii="Garamond" w:eastAsia="Times New Roman" w:hAnsi="Garamond" w:cs="Calibri"/>
          <w:b/>
          <w:bCs/>
          <w:color w:val="222222"/>
          <w:lang w:val="pt-PT"/>
        </w:rPr>
        <w:t>MFIS</w:t>
      </w:r>
      <w:proofErr w:type="spellEnd"/>
      <w:r w:rsidRPr="00190391">
        <w:rPr>
          <w:rFonts w:ascii="Garamond" w:eastAsia="Times New Roman" w:hAnsi="Garamond" w:cs="Calibri"/>
          <w:color w:val="222222"/>
          <w:lang w:val="pt-PT"/>
        </w:rPr>
        <w:t xml:space="preserve">), enquanto departamento governamental que responde </w:t>
      </w:r>
      <w:proofErr w:type="spellStart"/>
      <w:r w:rsidRPr="00190391">
        <w:rPr>
          <w:rFonts w:ascii="Garamond" w:eastAsia="Times New Roman" w:hAnsi="Garamond" w:cs="Calibri"/>
          <w:color w:val="222222"/>
          <w:lang w:val="pt-PT"/>
        </w:rPr>
        <w:t>pelos</w:t>
      </w:r>
      <w:proofErr w:type="spellEnd"/>
      <w:r w:rsidRPr="00190391">
        <w:rPr>
          <w:rFonts w:ascii="Garamond" w:eastAsia="Times New Roman" w:hAnsi="Garamond" w:cs="Calibri"/>
          <w:color w:val="222222"/>
          <w:lang w:val="pt-PT"/>
        </w:rPr>
        <w:t xml:space="preserve"> sectores da família e da inclusão social, designadamente infância, idosos, pessoas com deficiência, combate à pobreza e promoção da igualdade de género (Decreto-Lei nº37/2016, de 17 de </w:t>
      </w:r>
      <w:proofErr w:type="spellStart"/>
      <w:r w:rsidRPr="00190391">
        <w:rPr>
          <w:rFonts w:ascii="Garamond" w:eastAsia="Times New Roman" w:hAnsi="Garamond" w:cs="Calibri"/>
          <w:color w:val="222222"/>
          <w:lang w:val="pt-PT"/>
        </w:rPr>
        <w:t>junho</w:t>
      </w:r>
      <w:proofErr w:type="spellEnd"/>
      <w:r w:rsidRPr="00190391">
        <w:rPr>
          <w:rFonts w:ascii="Garamond" w:eastAsia="Times New Roman" w:hAnsi="Garamond" w:cs="Calibri"/>
          <w:color w:val="222222"/>
          <w:lang w:val="pt-PT"/>
        </w:rPr>
        <w:t xml:space="preserve">, relativo à nova orgânica do Governo). Assim, </w:t>
      </w:r>
      <w:proofErr w:type="spellStart"/>
      <w:r w:rsidRPr="00190391">
        <w:rPr>
          <w:rFonts w:ascii="Garamond" w:eastAsia="Times New Roman" w:hAnsi="Garamond" w:cs="Calibri"/>
          <w:color w:val="222222"/>
          <w:lang w:val="pt-PT"/>
        </w:rPr>
        <w:t>pela</w:t>
      </w:r>
      <w:proofErr w:type="spellEnd"/>
      <w:r w:rsidRPr="00190391">
        <w:rPr>
          <w:rFonts w:ascii="Garamond" w:eastAsia="Times New Roman" w:hAnsi="Garamond" w:cs="Calibri"/>
          <w:color w:val="222222"/>
          <w:lang w:val="pt-PT"/>
        </w:rPr>
        <w:t xml:space="preserve"> primeira vez, um Ministério tem atribuições em matéria de igualdade de género, para além de tutelar o </w:t>
      </w:r>
      <w:r w:rsidRPr="00BD48F2">
        <w:rPr>
          <w:rFonts w:ascii="Garamond" w:eastAsia="Times New Roman" w:hAnsi="Garamond" w:cs="Calibri"/>
          <w:b/>
          <w:color w:val="222222"/>
          <w:lang w:val="pt-PT"/>
        </w:rPr>
        <w:t>Instituto Cabo-Verdiano para a Igualdade e Equidade de Género (</w:t>
      </w:r>
      <w:proofErr w:type="spellStart"/>
      <w:r w:rsidRPr="00BD48F2">
        <w:rPr>
          <w:rFonts w:ascii="Garamond" w:eastAsia="Times New Roman" w:hAnsi="Garamond" w:cs="Calibri"/>
          <w:b/>
          <w:color w:val="222222"/>
          <w:lang w:val="pt-PT"/>
        </w:rPr>
        <w:t>ICIEG</w:t>
      </w:r>
      <w:proofErr w:type="spellEnd"/>
      <w:r w:rsidRPr="00BD48F2">
        <w:rPr>
          <w:rFonts w:ascii="Garamond" w:eastAsia="Times New Roman" w:hAnsi="Garamond" w:cs="Calibri"/>
          <w:b/>
          <w:color w:val="222222"/>
          <w:lang w:val="pt-PT"/>
        </w:rPr>
        <w:t xml:space="preserve">), </w:t>
      </w:r>
      <w:r>
        <w:rPr>
          <w:rFonts w:ascii="Garamond" w:eastAsia="Times New Roman" w:hAnsi="Garamond" w:cs="Calibri"/>
          <w:color w:val="222222"/>
          <w:lang w:val="pt-PT"/>
        </w:rPr>
        <w:t xml:space="preserve">que tem como principal missão, coordenar a implementação da </w:t>
      </w:r>
      <w:r w:rsidR="00E01E0C">
        <w:rPr>
          <w:rFonts w:ascii="Garamond" w:eastAsia="Times New Roman" w:hAnsi="Garamond" w:cs="Calibri"/>
          <w:color w:val="222222"/>
          <w:lang w:val="pt-PT"/>
        </w:rPr>
        <w:t>política</w:t>
      </w:r>
      <w:r>
        <w:rPr>
          <w:rFonts w:ascii="Garamond" w:eastAsia="Times New Roman" w:hAnsi="Garamond" w:cs="Calibri"/>
          <w:color w:val="222222"/>
          <w:lang w:val="pt-PT"/>
        </w:rPr>
        <w:t xml:space="preserve"> de género no </w:t>
      </w:r>
      <w:proofErr w:type="gramStart"/>
      <w:r>
        <w:rPr>
          <w:rFonts w:ascii="Garamond" w:eastAsia="Times New Roman" w:hAnsi="Garamond" w:cs="Calibri"/>
          <w:color w:val="222222"/>
          <w:lang w:val="pt-PT"/>
        </w:rPr>
        <w:t>pais</w:t>
      </w:r>
      <w:proofErr w:type="gramEnd"/>
      <w:r>
        <w:rPr>
          <w:rFonts w:ascii="Garamond" w:eastAsia="Times New Roman" w:hAnsi="Garamond" w:cs="Calibri"/>
          <w:color w:val="222222"/>
          <w:lang w:val="pt-PT"/>
        </w:rPr>
        <w:t>, e garantir a adequada implementação, seguimento e avaliação da mesma</w:t>
      </w:r>
      <w:r w:rsidRPr="00190391">
        <w:rPr>
          <w:rFonts w:ascii="Garamond" w:eastAsia="Times New Roman" w:hAnsi="Garamond" w:cs="Calibri"/>
          <w:color w:val="222222"/>
          <w:lang w:val="pt-PT"/>
        </w:rPr>
        <w:t xml:space="preserve">. </w:t>
      </w:r>
    </w:p>
    <w:p w14:paraId="1F9EFB08" w14:textId="77777777" w:rsidR="00F1265A" w:rsidRPr="00190391" w:rsidRDefault="00F1265A" w:rsidP="00F1265A">
      <w:pPr>
        <w:pStyle w:val="NormalWeb"/>
        <w:spacing w:before="0" w:beforeAutospacing="0" w:after="240" w:afterAutospacing="0"/>
        <w:jc w:val="both"/>
        <w:rPr>
          <w:rFonts w:ascii="Garamond" w:hAnsi="Garamond"/>
          <w:lang w:val="pt-PT"/>
        </w:rPr>
      </w:pPr>
      <w:r w:rsidRPr="00190391">
        <w:rPr>
          <w:rFonts w:ascii="Garamond" w:hAnsi="Garamond" w:cs="Calibri"/>
          <w:color w:val="000000"/>
          <w:lang w:val="pt-PT"/>
        </w:rPr>
        <w:t xml:space="preserve">O Governo avançou </w:t>
      </w:r>
      <w:r>
        <w:rPr>
          <w:rFonts w:ascii="Garamond" w:hAnsi="Garamond" w:cs="Calibri"/>
          <w:color w:val="000000"/>
          <w:lang w:val="pt-PT"/>
        </w:rPr>
        <w:t xml:space="preserve">também </w:t>
      </w:r>
      <w:r w:rsidRPr="00190391">
        <w:rPr>
          <w:rFonts w:ascii="Garamond" w:hAnsi="Garamond" w:cs="Calibri"/>
          <w:color w:val="000000"/>
          <w:lang w:val="pt-PT"/>
        </w:rPr>
        <w:t xml:space="preserve">com a criação de uma </w:t>
      </w:r>
      <w:r w:rsidRPr="00190391">
        <w:rPr>
          <w:rFonts w:ascii="Garamond" w:hAnsi="Garamond" w:cs="Calibri"/>
          <w:b/>
          <w:bCs/>
          <w:color w:val="000000"/>
          <w:lang w:val="pt-PT"/>
        </w:rPr>
        <w:t xml:space="preserve">Comissão Interministerial para a </w:t>
      </w:r>
      <w:proofErr w:type="spellStart"/>
      <w:r w:rsidRPr="00190391">
        <w:rPr>
          <w:rFonts w:ascii="Garamond" w:hAnsi="Garamond" w:cs="Calibri"/>
          <w:b/>
          <w:bCs/>
          <w:color w:val="000000"/>
          <w:lang w:val="pt-PT"/>
        </w:rPr>
        <w:t>Transversalização</w:t>
      </w:r>
      <w:proofErr w:type="spellEnd"/>
      <w:r w:rsidRPr="00190391">
        <w:rPr>
          <w:rFonts w:ascii="Garamond" w:hAnsi="Garamond" w:cs="Calibri"/>
          <w:b/>
          <w:bCs/>
          <w:color w:val="000000"/>
          <w:lang w:val="pt-PT"/>
        </w:rPr>
        <w:t xml:space="preserve"> da Abordagem de Género</w:t>
      </w:r>
      <w:r w:rsidRPr="00190391">
        <w:rPr>
          <w:rFonts w:ascii="Garamond" w:hAnsi="Garamond" w:cs="Calibri"/>
          <w:color w:val="000000"/>
          <w:lang w:val="pt-PT"/>
        </w:rPr>
        <w:t xml:space="preserve"> - a </w:t>
      </w:r>
      <w:r w:rsidRPr="00190391">
        <w:rPr>
          <w:rFonts w:ascii="Garamond" w:hAnsi="Garamond" w:cs="Calibri"/>
          <w:b/>
          <w:bCs/>
          <w:color w:val="000000"/>
          <w:lang w:val="pt-PT"/>
        </w:rPr>
        <w:t>Comissão de Género</w:t>
      </w:r>
      <w:r w:rsidRPr="00190391">
        <w:rPr>
          <w:rFonts w:ascii="Garamond" w:hAnsi="Garamond" w:cs="Calibri"/>
          <w:color w:val="000000"/>
          <w:lang w:val="pt-PT"/>
        </w:rPr>
        <w:t xml:space="preserve">, através da Resolução nº 103/2018, de 11 de </w:t>
      </w:r>
      <w:r>
        <w:rPr>
          <w:rFonts w:ascii="Garamond" w:hAnsi="Garamond" w:cs="Calibri"/>
          <w:color w:val="000000"/>
          <w:lang w:val="pt-PT"/>
        </w:rPr>
        <w:t>O</w:t>
      </w:r>
      <w:r w:rsidRPr="00190391">
        <w:rPr>
          <w:rFonts w:ascii="Garamond" w:hAnsi="Garamond" w:cs="Calibri"/>
          <w:color w:val="000000"/>
          <w:lang w:val="pt-PT"/>
        </w:rPr>
        <w:t xml:space="preserve">utubro, que visa o monitoramento da </w:t>
      </w:r>
      <w:proofErr w:type="spellStart"/>
      <w:r w:rsidRPr="00190391">
        <w:rPr>
          <w:rFonts w:ascii="Garamond" w:hAnsi="Garamond" w:cs="Calibri"/>
          <w:color w:val="000000"/>
          <w:lang w:val="pt-PT"/>
        </w:rPr>
        <w:t>efetivação</w:t>
      </w:r>
      <w:proofErr w:type="spellEnd"/>
      <w:r w:rsidRPr="00190391">
        <w:rPr>
          <w:rFonts w:ascii="Garamond" w:hAnsi="Garamond" w:cs="Calibri"/>
          <w:color w:val="000000"/>
          <w:lang w:val="pt-PT"/>
        </w:rPr>
        <w:t xml:space="preserve"> da </w:t>
      </w:r>
      <w:proofErr w:type="spellStart"/>
      <w:r w:rsidRPr="00190391">
        <w:rPr>
          <w:rFonts w:ascii="Garamond" w:hAnsi="Garamond" w:cs="Calibri"/>
          <w:color w:val="000000"/>
          <w:lang w:val="pt-PT"/>
        </w:rPr>
        <w:t>transversalização</w:t>
      </w:r>
      <w:proofErr w:type="spellEnd"/>
      <w:r w:rsidRPr="00190391">
        <w:rPr>
          <w:rFonts w:ascii="Garamond" w:hAnsi="Garamond" w:cs="Calibri"/>
          <w:color w:val="000000"/>
          <w:lang w:val="pt-PT"/>
        </w:rPr>
        <w:t xml:space="preserve"> da abordagem de género nas políticas públicas e, em particular, seguir e avaliar as medidas delineadas no </w:t>
      </w:r>
      <w:proofErr w:type="spellStart"/>
      <w:r w:rsidRPr="00190391">
        <w:rPr>
          <w:rFonts w:ascii="Garamond" w:hAnsi="Garamond" w:cs="Calibri"/>
          <w:color w:val="000000"/>
          <w:lang w:val="pt-PT"/>
        </w:rPr>
        <w:t>PEDS</w:t>
      </w:r>
      <w:proofErr w:type="spellEnd"/>
      <w:r w:rsidRPr="00190391">
        <w:rPr>
          <w:rFonts w:ascii="Garamond" w:hAnsi="Garamond" w:cs="Calibri"/>
          <w:color w:val="000000"/>
          <w:lang w:val="pt-PT"/>
        </w:rPr>
        <w:t xml:space="preserve"> e </w:t>
      </w:r>
      <w:proofErr w:type="spellStart"/>
      <w:r w:rsidRPr="00190391">
        <w:rPr>
          <w:rFonts w:ascii="Garamond" w:hAnsi="Garamond" w:cs="Calibri"/>
          <w:color w:val="000000"/>
          <w:lang w:val="pt-PT"/>
        </w:rPr>
        <w:t>setores</w:t>
      </w:r>
      <w:proofErr w:type="spellEnd"/>
      <w:r w:rsidRPr="00190391">
        <w:rPr>
          <w:rFonts w:ascii="Garamond" w:hAnsi="Garamond" w:cs="Calibri"/>
          <w:color w:val="000000"/>
          <w:lang w:val="pt-PT"/>
        </w:rPr>
        <w:t>; promover a</w:t>
      </w:r>
      <w:r>
        <w:rPr>
          <w:rFonts w:ascii="Garamond" w:hAnsi="Garamond" w:cs="Calibri"/>
          <w:color w:val="000000"/>
          <w:lang w:val="pt-PT"/>
        </w:rPr>
        <w:t xml:space="preserve"> igualdade de género </w:t>
      </w:r>
      <w:r w:rsidRPr="00190391">
        <w:rPr>
          <w:rFonts w:ascii="Garamond" w:hAnsi="Garamond" w:cs="Calibri"/>
          <w:color w:val="000000"/>
          <w:lang w:val="pt-PT"/>
        </w:rPr>
        <w:t xml:space="preserve">através da </w:t>
      </w:r>
      <w:proofErr w:type="spellStart"/>
      <w:r w:rsidRPr="00190391">
        <w:rPr>
          <w:rFonts w:ascii="Garamond" w:hAnsi="Garamond" w:cs="Calibri"/>
          <w:color w:val="000000"/>
          <w:lang w:val="pt-PT"/>
        </w:rPr>
        <w:t>atuação</w:t>
      </w:r>
      <w:proofErr w:type="spellEnd"/>
      <w:r w:rsidRPr="00190391">
        <w:rPr>
          <w:rFonts w:ascii="Garamond" w:hAnsi="Garamond" w:cs="Calibri"/>
          <w:color w:val="000000"/>
          <w:lang w:val="pt-PT"/>
        </w:rPr>
        <w:t xml:space="preserve"> dos seus membros como pontos focais de género; e reforçar a participação </w:t>
      </w:r>
      <w:proofErr w:type="spellStart"/>
      <w:r w:rsidRPr="00190391">
        <w:rPr>
          <w:rFonts w:ascii="Garamond" w:hAnsi="Garamond" w:cs="Calibri"/>
          <w:color w:val="000000"/>
          <w:lang w:val="pt-PT"/>
        </w:rPr>
        <w:t>efetiva</w:t>
      </w:r>
      <w:proofErr w:type="spellEnd"/>
      <w:r w:rsidRPr="00190391">
        <w:rPr>
          <w:rFonts w:ascii="Garamond" w:hAnsi="Garamond" w:cs="Calibri"/>
          <w:color w:val="000000"/>
          <w:lang w:val="pt-PT"/>
        </w:rPr>
        <w:t xml:space="preserve"> dos vários sectores e </w:t>
      </w:r>
      <w:proofErr w:type="spellStart"/>
      <w:r w:rsidRPr="00190391">
        <w:rPr>
          <w:rFonts w:ascii="Garamond" w:hAnsi="Garamond" w:cs="Calibri"/>
          <w:color w:val="000000"/>
          <w:lang w:val="pt-PT"/>
        </w:rPr>
        <w:t>atores</w:t>
      </w:r>
      <w:proofErr w:type="spellEnd"/>
      <w:r w:rsidRPr="00190391">
        <w:rPr>
          <w:rFonts w:ascii="Garamond" w:hAnsi="Garamond" w:cs="Calibri"/>
          <w:color w:val="000000"/>
          <w:lang w:val="pt-PT"/>
        </w:rPr>
        <w:t xml:space="preserve"> intervenientes na materialização da </w:t>
      </w:r>
      <w:proofErr w:type="spellStart"/>
      <w:r w:rsidRPr="00190391">
        <w:rPr>
          <w:rFonts w:ascii="Garamond" w:hAnsi="Garamond" w:cs="Calibri"/>
          <w:color w:val="000000"/>
          <w:lang w:val="pt-PT"/>
        </w:rPr>
        <w:t>transversalização</w:t>
      </w:r>
      <w:proofErr w:type="spellEnd"/>
      <w:r w:rsidRPr="00190391">
        <w:rPr>
          <w:rFonts w:ascii="Garamond" w:hAnsi="Garamond" w:cs="Calibri"/>
          <w:color w:val="000000"/>
          <w:lang w:val="pt-PT"/>
        </w:rPr>
        <w:t xml:space="preserve"> da abordagem de género nas políticas públicas. A Comissão de Género é presidida </w:t>
      </w:r>
      <w:proofErr w:type="spellStart"/>
      <w:r w:rsidRPr="00190391">
        <w:rPr>
          <w:rFonts w:ascii="Garamond" w:hAnsi="Garamond" w:cs="Calibri"/>
          <w:color w:val="000000"/>
          <w:lang w:val="pt-PT"/>
        </w:rPr>
        <w:t>pelo</w:t>
      </w:r>
      <w:proofErr w:type="spellEnd"/>
      <w:r w:rsidRPr="00190391">
        <w:rPr>
          <w:rFonts w:ascii="Garamond" w:hAnsi="Garamond" w:cs="Calibri"/>
          <w:color w:val="000000"/>
          <w:lang w:val="pt-PT"/>
        </w:rPr>
        <w:t xml:space="preserve"> </w:t>
      </w:r>
      <w:proofErr w:type="spellStart"/>
      <w:r w:rsidRPr="00190391">
        <w:rPr>
          <w:rFonts w:ascii="Garamond" w:hAnsi="Garamond" w:cs="Calibri"/>
          <w:color w:val="000000"/>
          <w:lang w:val="pt-PT"/>
        </w:rPr>
        <w:t>ICIEG</w:t>
      </w:r>
      <w:proofErr w:type="spellEnd"/>
      <w:r w:rsidRPr="00190391">
        <w:rPr>
          <w:rFonts w:ascii="Garamond" w:hAnsi="Garamond" w:cs="Calibri"/>
          <w:color w:val="000000"/>
          <w:lang w:val="pt-PT"/>
        </w:rPr>
        <w:t xml:space="preserve"> e constituída por representantes das </w:t>
      </w:r>
      <w:proofErr w:type="spellStart"/>
      <w:r w:rsidRPr="00190391">
        <w:rPr>
          <w:rFonts w:ascii="Garamond" w:hAnsi="Garamond" w:cs="Calibri"/>
          <w:color w:val="000000"/>
          <w:lang w:val="pt-PT"/>
        </w:rPr>
        <w:t>DGPOGs</w:t>
      </w:r>
      <w:proofErr w:type="spellEnd"/>
      <w:r w:rsidRPr="00190391">
        <w:rPr>
          <w:rFonts w:ascii="Garamond" w:hAnsi="Garamond" w:cs="Calibri"/>
          <w:color w:val="000000"/>
          <w:lang w:val="pt-PT"/>
        </w:rPr>
        <w:t xml:space="preserve"> dos vários </w:t>
      </w:r>
      <w:proofErr w:type="spellStart"/>
      <w:r w:rsidRPr="00190391">
        <w:rPr>
          <w:rFonts w:ascii="Garamond" w:hAnsi="Garamond" w:cs="Calibri"/>
          <w:color w:val="000000"/>
          <w:lang w:val="pt-PT"/>
        </w:rPr>
        <w:t>setores</w:t>
      </w:r>
      <w:proofErr w:type="spellEnd"/>
      <w:r w:rsidRPr="00190391">
        <w:rPr>
          <w:rFonts w:ascii="Garamond" w:hAnsi="Garamond" w:cs="Calibri"/>
          <w:color w:val="000000"/>
          <w:lang w:val="pt-PT"/>
        </w:rPr>
        <w:t xml:space="preserve">, bem como representantes do </w:t>
      </w:r>
      <w:proofErr w:type="spellStart"/>
      <w:r w:rsidRPr="00190391">
        <w:rPr>
          <w:rFonts w:ascii="Garamond" w:hAnsi="Garamond" w:cs="Calibri"/>
          <w:color w:val="000000"/>
          <w:lang w:val="pt-PT"/>
        </w:rPr>
        <w:t>CIGEF</w:t>
      </w:r>
      <w:proofErr w:type="spellEnd"/>
      <w:r w:rsidRPr="00190391">
        <w:rPr>
          <w:rFonts w:ascii="Garamond" w:hAnsi="Garamond" w:cs="Calibri"/>
          <w:color w:val="000000"/>
          <w:lang w:val="pt-PT"/>
        </w:rPr>
        <w:t>/</w:t>
      </w:r>
      <w:proofErr w:type="spellStart"/>
      <w:r w:rsidRPr="00190391">
        <w:rPr>
          <w:rFonts w:ascii="Garamond" w:hAnsi="Garamond" w:cs="Calibri"/>
          <w:color w:val="000000"/>
          <w:lang w:val="pt-PT"/>
        </w:rPr>
        <w:t>UniCV</w:t>
      </w:r>
      <w:proofErr w:type="spellEnd"/>
      <w:r w:rsidRPr="00190391">
        <w:rPr>
          <w:rFonts w:ascii="Garamond" w:hAnsi="Garamond" w:cs="Calibri"/>
          <w:color w:val="000000"/>
          <w:lang w:val="pt-PT"/>
        </w:rPr>
        <w:t xml:space="preserve">, </w:t>
      </w:r>
      <w:proofErr w:type="spellStart"/>
      <w:r w:rsidRPr="00190391">
        <w:rPr>
          <w:rFonts w:ascii="Garamond" w:hAnsi="Garamond" w:cs="Calibri"/>
          <w:color w:val="000000"/>
          <w:lang w:val="pt-PT"/>
        </w:rPr>
        <w:t>ICCA</w:t>
      </w:r>
      <w:proofErr w:type="spellEnd"/>
      <w:r w:rsidRPr="00190391">
        <w:rPr>
          <w:rFonts w:ascii="Garamond" w:hAnsi="Garamond" w:cs="Calibri"/>
          <w:color w:val="000000"/>
          <w:lang w:val="pt-PT"/>
        </w:rPr>
        <w:t xml:space="preserve">, das ONG e da </w:t>
      </w:r>
      <w:proofErr w:type="spellStart"/>
      <w:r w:rsidRPr="00190391">
        <w:rPr>
          <w:rFonts w:ascii="Garamond" w:hAnsi="Garamond" w:cs="Calibri"/>
          <w:color w:val="000000"/>
          <w:lang w:val="pt-PT"/>
        </w:rPr>
        <w:t>RMP</w:t>
      </w:r>
      <w:proofErr w:type="spellEnd"/>
      <w:r w:rsidRPr="00190391">
        <w:rPr>
          <w:rFonts w:ascii="Garamond" w:hAnsi="Garamond" w:cs="Calibri"/>
          <w:color w:val="000000"/>
          <w:lang w:val="pt-PT"/>
        </w:rPr>
        <w:t xml:space="preserve">-CV. De referir que as </w:t>
      </w:r>
      <w:proofErr w:type="spellStart"/>
      <w:r w:rsidRPr="00190391">
        <w:rPr>
          <w:rFonts w:ascii="Garamond" w:hAnsi="Garamond" w:cs="Calibri"/>
          <w:color w:val="000000"/>
          <w:lang w:val="pt-PT"/>
        </w:rPr>
        <w:t>DGPOG</w:t>
      </w:r>
      <w:proofErr w:type="spellEnd"/>
      <w:r w:rsidRPr="00190391">
        <w:rPr>
          <w:rFonts w:ascii="Garamond" w:hAnsi="Garamond" w:cs="Calibri"/>
          <w:color w:val="000000"/>
          <w:lang w:val="pt-PT"/>
        </w:rPr>
        <w:t xml:space="preserve"> no âmbito do </w:t>
      </w:r>
      <w:proofErr w:type="spellStart"/>
      <w:r w:rsidRPr="00190391">
        <w:rPr>
          <w:rFonts w:ascii="Garamond" w:hAnsi="Garamond" w:cs="Calibri"/>
          <w:color w:val="000000"/>
          <w:lang w:val="pt-PT"/>
        </w:rPr>
        <w:t>PEDS</w:t>
      </w:r>
      <w:proofErr w:type="spellEnd"/>
      <w:r w:rsidRPr="00190391">
        <w:rPr>
          <w:rFonts w:ascii="Garamond" w:hAnsi="Garamond" w:cs="Calibri"/>
          <w:color w:val="000000"/>
          <w:lang w:val="pt-PT"/>
        </w:rPr>
        <w:t xml:space="preserve"> têm responsabilidades, juntamente com os Gestores dos Programas do </w:t>
      </w:r>
      <w:proofErr w:type="spellStart"/>
      <w:r w:rsidRPr="00190391">
        <w:rPr>
          <w:rFonts w:ascii="Garamond" w:hAnsi="Garamond" w:cs="Calibri"/>
          <w:color w:val="000000"/>
          <w:lang w:val="pt-PT"/>
        </w:rPr>
        <w:t>PEDS</w:t>
      </w:r>
      <w:proofErr w:type="spellEnd"/>
      <w:r w:rsidRPr="00190391">
        <w:rPr>
          <w:rFonts w:ascii="Garamond" w:hAnsi="Garamond" w:cs="Calibri"/>
          <w:color w:val="000000"/>
          <w:lang w:val="pt-PT"/>
        </w:rPr>
        <w:t xml:space="preserve"> (responsáveis </w:t>
      </w:r>
      <w:proofErr w:type="spellStart"/>
      <w:r w:rsidRPr="00190391">
        <w:rPr>
          <w:rFonts w:ascii="Garamond" w:hAnsi="Garamond" w:cs="Calibri"/>
          <w:color w:val="000000"/>
          <w:lang w:val="pt-PT"/>
        </w:rPr>
        <w:t>pela</w:t>
      </w:r>
      <w:proofErr w:type="spellEnd"/>
      <w:r w:rsidRPr="00190391">
        <w:rPr>
          <w:rFonts w:ascii="Garamond" w:hAnsi="Garamond" w:cs="Calibri"/>
          <w:color w:val="000000"/>
          <w:lang w:val="pt-PT"/>
        </w:rPr>
        <w:t xml:space="preserve"> implementação dos Programas), </w:t>
      </w:r>
      <w:r w:rsidRPr="00190391">
        <w:rPr>
          <w:rFonts w:ascii="Garamond" w:hAnsi="Garamond" w:cs="Calibri"/>
          <w:color w:val="222222"/>
          <w:lang w:val="pt-PT"/>
        </w:rPr>
        <w:t xml:space="preserve">em matéria de gestão física e financeira, dos instrumentos de planeamento e seguimento e avaliação </w:t>
      </w:r>
      <w:proofErr w:type="spellStart"/>
      <w:r w:rsidRPr="00190391">
        <w:rPr>
          <w:rFonts w:ascii="Garamond" w:hAnsi="Garamond" w:cs="Calibri"/>
          <w:color w:val="222222"/>
          <w:lang w:val="pt-PT"/>
        </w:rPr>
        <w:t>setoriais</w:t>
      </w:r>
      <w:proofErr w:type="spellEnd"/>
      <w:r w:rsidRPr="00190391">
        <w:rPr>
          <w:rFonts w:ascii="Garamond" w:hAnsi="Garamond" w:cs="Calibri"/>
          <w:color w:val="222222"/>
          <w:lang w:val="pt-PT"/>
        </w:rPr>
        <w:t>. </w:t>
      </w:r>
    </w:p>
    <w:p w14:paraId="31111A7A" w14:textId="77777777" w:rsidR="00F1265A" w:rsidRPr="00190391" w:rsidRDefault="00F1265A" w:rsidP="00F1265A">
      <w:pPr>
        <w:pStyle w:val="NormalWeb"/>
        <w:spacing w:before="0" w:beforeAutospacing="0" w:after="240" w:afterAutospacing="0"/>
        <w:contextualSpacing/>
        <w:jc w:val="both"/>
        <w:rPr>
          <w:rFonts w:ascii="Garamond" w:hAnsi="Garamond"/>
          <w:lang w:val="pt-PT"/>
        </w:rPr>
      </w:pPr>
      <w:r w:rsidRPr="00190391">
        <w:rPr>
          <w:rFonts w:ascii="Garamond" w:hAnsi="Garamond" w:cs="Calibri"/>
          <w:color w:val="222222"/>
          <w:lang w:val="pt-PT"/>
        </w:rPr>
        <w:t>Entre as competências da Comissão de Género pode-se destacar em particular: </w:t>
      </w:r>
    </w:p>
    <w:p w14:paraId="7831997A" w14:textId="77777777" w:rsidR="00F1265A" w:rsidRPr="00190391" w:rsidRDefault="00F1265A" w:rsidP="00152725">
      <w:pPr>
        <w:pStyle w:val="NormalWeb"/>
        <w:numPr>
          <w:ilvl w:val="0"/>
          <w:numId w:val="4"/>
        </w:numPr>
        <w:spacing w:before="0" w:beforeAutospacing="0" w:after="0" w:afterAutospacing="0"/>
        <w:ind w:left="360"/>
        <w:jc w:val="both"/>
        <w:textAlignment w:val="baseline"/>
        <w:rPr>
          <w:rFonts w:ascii="Garamond" w:hAnsi="Garamond" w:cs="Arial"/>
          <w:color w:val="222222"/>
          <w:lang w:val="pt-PT"/>
        </w:rPr>
      </w:pPr>
      <w:r w:rsidRPr="00190391">
        <w:rPr>
          <w:rFonts w:ascii="Garamond" w:hAnsi="Garamond" w:cs="Calibri"/>
          <w:color w:val="222222"/>
          <w:lang w:val="pt-PT"/>
        </w:rPr>
        <w:t xml:space="preserve">Conhecer e analisar a implementação das medidas sensíveis ao género do </w:t>
      </w:r>
      <w:proofErr w:type="spellStart"/>
      <w:r w:rsidRPr="00190391">
        <w:rPr>
          <w:rFonts w:ascii="Garamond" w:hAnsi="Garamond" w:cs="Calibri"/>
          <w:color w:val="222222"/>
          <w:lang w:val="pt-PT"/>
        </w:rPr>
        <w:t>PEDS</w:t>
      </w:r>
      <w:proofErr w:type="spellEnd"/>
      <w:r w:rsidRPr="00190391">
        <w:rPr>
          <w:rFonts w:ascii="Garamond" w:hAnsi="Garamond" w:cs="Calibri"/>
          <w:color w:val="222222"/>
          <w:lang w:val="pt-PT"/>
        </w:rPr>
        <w:t>, nos planos estratégicos e programas de cada sector, assim como das Políticas Nacionais de Género;</w:t>
      </w:r>
    </w:p>
    <w:p w14:paraId="21D9D163" w14:textId="77777777" w:rsidR="00F1265A" w:rsidRPr="00190391" w:rsidRDefault="00F1265A" w:rsidP="00152725">
      <w:pPr>
        <w:pStyle w:val="NormalWeb"/>
        <w:numPr>
          <w:ilvl w:val="0"/>
          <w:numId w:val="4"/>
        </w:numPr>
        <w:spacing w:before="0" w:beforeAutospacing="0" w:after="0" w:afterAutospacing="0"/>
        <w:ind w:left="360"/>
        <w:jc w:val="both"/>
        <w:textAlignment w:val="baseline"/>
        <w:rPr>
          <w:rFonts w:ascii="Garamond" w:hAnsi="Garamond" w:cs="Arial"/>
          <w:color w:val="222222"/>
          <w:lang w:val="pt-PT"/>
        </w:rPr>
      </w:pPr>
      <w:r w:rsidRPr="00190391">
        <w:rPr>
          <w:rFonts w:ascii="Garamond" w:hAnsi="Garamond" w:cs="Calibri"/>
          <w:color w:val="222222"/>
          <w:lang w:val="pt-PT"/>
        </w:rPr>
        <w:t xml:space="preserve">Acompanhar a implementação dos compromissos internacionais assumidos </w:t>
      </w:r>
      <w:proofErr w:type="spellStart"/>
      <w:r w:rsidRPr="00190391">
        <w:rPr>
          <w:rFonts w:ascii="Garamond" w:hAnsi="Garamond" w:cs="Calibri"/>
          <w:color w:val="222222"/>
          <w:lang w:val="pt-PT"/>
        </w:rPr>
        <w:t>pelo</w:t>
      </w:r>
      <w:proofErr w:type="spellEnd"/>
      <w:r w:rsidRPr="00190391">
        <w:rPr>
          <w:rFonts w:ascii="Garamond" w:hAnsi="Garamond" w:cs="Calibri"/>
          <w:color w:val="222222"/>
          <w:lang w:val="pt-PT"/>
        </w:rPr>
        <w:t xml:space="preserve"> país em matéria de IG e direitos das mulheres, nomeadamente através dos </w:t>
      </w:r>
      <w:proofErr w:type="spellStart"/>
      <w:r w:rsidRPr="00190391">
        <w:rPr>
          <w:rFonts w:ascii="Garamond" w:hAnsi="Garamond" w:cs="Calibri"/>
          <w:color w:val="222222"/>
          <w:lang w:val="pt-PT"/>
        </w:rPr>
        <w:t>ODS</w:t>
      </w:r>
      <w:proofErr w:type="spellEnd"/>
      <w:r w:rsidRPr="00190391">
        <w:rPr>
          <w:rFonts w:ascii="Garamond" w:hAnsi="Garamond" w:cs="Calibri"/>
          <w:color w:val="222222"/>
          <w:lang w:val="pt-PT"/>
        </w:rPr>
        <w:t xml:space="preserve"> e </w:t>
      </w:r>
      <w:proofErr w:type="spellStart"/>
      <w:r w:rsidRPr="00190391">
        <w:rPr>
          <w:rFonts w:ascii="Garamond" w:hAnsi="Garamond" w:cs="Calibri"/>
          <w:color w:val="222222"/>
          <w:lang w:val="pt-PT"/>
        </w:rPr>
        <w:t>CEDAW</w:t>
      </w:r>
      <w:proofErr w:type="spellEnd"/>
      <w:r w:rsidRPr="00190391">
        <w:rPr>
          <w:rFonts w:ascii="Garamond" w:hAnsi="Garamond" w:cs="Calibri"/>
          <w:color w:val="222222"/>
          <w:lang w:val="pt-PT"/>
        </w:rPr>
        <w:t>;</w:t>
      </w:r>
    </w:p>
    <w:p w14:paraId="3C428461" w14:textId="091461B4" w:rsidR="00F1265A" w:rsidRPr="00CD0DAF" w:rsidRDefault="00F1265A" w:rsidP="00152725">
      <w:pPr>
        <w:pStyle w:val="NormalWeb"/>
        <w:numPr>
          <w:ilvl w:val="0"/>
          <w:numId w:val="4"/>
        </w:numPr>
        <w:spacing w:before="0" w:beforeAutospacing="0" w:after="240" w:afterAutospacing="0"/>
        <w:ind w:left="360"/>
        <w:jc w:val="both"/>
        <w:textAlignment w:val="baseline"/>
        <w:rPr>
          <w:rFonts w:ascii="Garamond" w:hAnsi="Garamond" w:cs="Arial"/>
          <w:color w:val="222222"/>
          <w:lang w:val="pt-PT"/>
        </w:rPr>
      </w:pPr>
      <w:r w:rsidRPr="00190391">
        <w:rPr>
          <w:rFonts w:ascii="Garamond" w:hAnsi="Garamond" w:cs="Calibri"/>
          <w:color w:val="222222"/>
          <w:lang w:val="pt-PT"/>
        </w:rPr>
        <w:t xml:space="preserve">Apresentar anualmente um relatório sobre a situação da </w:t>
      </w:r>
      <w:proofErr w:type="spellStart"/>
      <w:r w:rsidRPr="00190391">
        <w:rPr>
          <w:rFonts w:ascii="Garamond" w:hAnsi="Garamond" w:cs="Calibri"/>
          <w:color w:val="222222"/>
          <w:lang w:val="pt-PT"/>
        </w:rPr>
        <w:t>transversalização</w:t>
      </w:r>
      <w:proofErr w:type="spellEnd"/>
      <w:r w:rsidRPr="00190391">
        <w:rPr>
          <w:rFonts w:ascii="Garamond" w:hAnsi="Garamond" w:cs="Calibri"/>
          <w:color w:val="222222"/>
          <w:lang w:val="pt-PT"/>
        </w:rPr>
        <w:t xml:space="preserve"> de género, conforme modelo pré-definido </w:t>
      </w:r>
      <w:proofErr w:type="spellStart"/>
      <w:r w:rsidRPr="00190391">
        <w:rPr>
          <w:rFonts w:ascii="Garamond" w:hAnsi="Garamond" w:cs="Calibri"/>
          <w:color w:val="222222"/>
          <w:lang w:val="pt-PT"/>
        </w:rPr>
        <w:t>pela</w:t>
      </w:r>
      <w:proofErr w:type="spellEnd"/>
      <w:r w:rsidRPr="00190391">
        <w:rPr>
          <w:rFonts w:ascii="Garamond" w:hAnsi="Garamond" w:cs="Calibri"/>
          <w:color w:val="222222"/>
          <w:lang w:val="pt-PT"/>
        </w:rPr>
        <w:t xml:space="preserve"> tutela. </w:t>
      </w:r>
    </w:p>
    <w:p w14:paraId="7282D5AC" w14:textId="004A9D51" w:rsidR="00A960EC" w:rsidRDefault="008E76FB" w:rsidP="00A960EC">
      <w:pPr>
        <w:pStyle w:val="NormalWeb"/>
        <w:spacing w:before="0" w:beforeAutospacing="0" w:after="240" w:afterAutospacing="0"/>
        <w:jc w:val="both"/>
        <w:rPr>
          <w:rFonts w:ascii="Garamond" w:hAnsi="Garamond" w:cs="Calibri"/>
          <w:i/>
          <w:iCs/>
          <w:lang w:val="pt-PT"/>
        </w:rPr>
      </w:pPr>
      <w:bookmarkStart w:id="10" w:name="_Hlk19731809"/>
      <w:r w:rsidRPr="008E76FB">
        <w:rPr>
          <w:rFonts w:ascii="Garamond" w:hAnsi="Garamond"/>
          <w:lang w:val="pt-PT"/>
        </w:rPr>
        <w:t xml:space="preserve">O </w:t>
      </w:r>
      <w:r w:rsidR="00160915" w:rsidRPr="008E76FB">
        <w:rPr>
          <w:rFonts w:ascii="Garamond" w:hAnsi="Garamond"/>
          <w:b/>
          <w:bCs/>
          <w:lang w:val="pt-PT"/>
        </w:rPr>
        <w:t>Observatório de Género</w:t>
      </w:r>
      <w:r w:rsidR="00A45450">
        <w:rPr>
          <w:rFonts w:ascii="Garamond" w:hAnsi="Garamond"/>
          <w:lang w:val="pt-PT"/>
        </w:rPr>
        <w:t xml:space="preserve">, por seu lado, </w:t>
      </w:r>
      <w:r w:rsidR="00160915" w:rsidRPr="008E76FB">
        <w:rPr>
          <w:rFonts w:ascii="Garamond" w:hAnsi="Garamond"/>
          <w:lang w:val="pt-PT"/>
        </w:rPr>
        <w:t xml:space="preserve">integra indicadores que permitem monitorar os progressos e desafios do país. Em 2015 e 2016, o observatório foi revisto para integrar e harmonizar um quadro de indicadores chaves que respondam aos desafios </w:t>
      </w:r>
      <w:proofErr w:type="spellStart"/>
      <w:r w:rsidR="00160915" w:rsidRPr="008E76FB">
        <w:rPr>
          <w:rFonts w:ascii="Garamond" w:hAnsi="Garamond"/>
          <w:lang w:val="pt-PT"/>
        </w:rPr>
        <w:t>atuais</w:t>
      </w:r>
      <w:proofErr w:type="spellEnd"/>
      <w:r w:rsidR="00160915" w:rsidRPr="008E76FB">
        <w:rPr>
          <w:rFonts w:ascii="Garamond" w:hAnsi="Garamond"/>
          <w:lang w:val="pt-PT"/>
        </w:rPr>
        <w:t xml:space="preserve"> e compromissos</w:t>
      </w:r>
      <w:r w:rsidR="00A45450">
        <w:rPr>
          <w:rFonts w:ascii="Garamond" w:hAnsi="Garamond"/>
          <w:lang w:val="pt-PT"/>
        </w:rPr>
        <w:t xml:space="preserve"> nacionais e internacionais </w:t>
      </w:r>
      <w:r w:rsidR="00160915" w:rsidRPr="008E76FB">
        <w:rPr>
          <w:rFonts w:ascii="Garamond" w:hAnsi="Garamond"/>
          <w:lang w:val="pt-PT"/>
        </w:rPr>
        <w:t>d</w:t>
      </w:r>
      <w:r>
        <w:rPr>
          <w:rFonts w:ascii="Garamond" w:hAnsi="Garamond"/>
          <w:lang w:val="pt-PT"/>
        </w:rPr>
        <w:t>o país</w:t>
      </w:r>
      <w:r w:rsidR="00160915" w:rsidRPr="008E76FB">
        <w:rPr>
          <w:rFonts w:ascii="Garamond" w:hAnsi="Garamond"/>
          <w:lang w:val="pt-PT"/>
        </w:rPr>
        <w:t xml:space="preserve"> nesta matéria, incluindo o </w:t>
      </w:r>
      <w:proofErr w:type="spellStart"/>
      <w:r w:rsidR="00160915" w:rsidRPr="008E76FB">
        <w:rPr>
          <w:rFonts w:ascii="Garamond" w:hAnsi="Garamond"/>
          <w:lang w:val="pt-PT"/>
        </w:rPr>
        <w:t>ODS</w:t>
      </w:r>
      <w:proofErr w:type="spellEnd"/>
      <w:r w:rsidR="00160915" w:rsidRPr="008E76FB">
        <w:rPr>
          <w:rFonts w:ascii="Garamond" w:hAnsi="Garamond"/>
          <w:lang w:val="pt-PT"/>
        </w:rPr>
        <w:t xml:space="preserve"> 5 e outros </w:t>
      </w:r>
      <w:proofErr w:type="spellStart"/>
      <w:r>
        <w:rPr>
          <w:rFonts w:ascii="Garamond" w:hAnsi="Garamond"/>
          <w:lang w:val="pt-PT"/>
        </w:rPr>
        <w:t>ODS</w:t>
      </w:r>
      <w:proofErr w:type="spellEnd"/>
      <w:r>
        <w:rPr>
          <w:rFonts w:ascii="Garamond" w:hAnsi="Garamond"/>
          <w:lang w:val="pt-PT"/>
        </w:rPr>
        <w:t xml:space="preserve"> </w:t>
      </w:r>
      <w:r w:rsidR="00160915" w:rsidRPr="008E76FB">
        <w:rPr>
          <w:rFonts w:ascii="Garamond" w:hAnsi="Garamond"/>
          <w:lang w:val="pt-PT"/>
        </w:rPr>
        <w:t>relevantes. Foi criada uma plataforma online para facilitar o acesso dos utilizadores aos dados e conhecimento disponível. O recurso tem sido um aliad</w:t>
      </w:r>
      <w:r>
        <w:rPr>
          <w:rFonts w:ascii="Garamond" w:hAnsi="Garamond"/>
          <w:lang w:val="pt-PT"/>
        </w:rPr>
        <w:t>o</w:t>
      </w:r>
      <w:r w:rsidR="00160915" w:rsidRPr="008E76FB">
        <w:rPr>
          <w:rFonts w:ascii="Garamond" w:hAnsi="Garamond"/>
          <w:lang w:val="pt-PT"/>
        </w:rPr>
        <w:t xml:space="preserve"> na </w:t>
      </w:r>
      <w:proofErr w:type="spellStart"/>
      <w:r w:rsidR="00160915" w:rsidRPr="008E76FB">
        <w:rPr>
          <w:rFonts w:ascii="Garamond" w:hAnsi="Garamond"/>
          <w:lang w:val="pt-PT"/>
        </w:rPr>
        <w:t>transversalização</w:t>
      </w:r>
      <w:proofErr w:type="spellEnd"/>
      <w:r w:rsidR="00160915" w:rsidRPr="008E76FB">
        <w:rPr>
          <w:rFonts w:ascii="Garamond" w:hAnsi="Garamond"/>
          <w:lang w:val="pt-PT"/>
        </w:rPr>
        <w:t xml:space="preserve"> da abordagem de género, disponibilizando dados </w:t>
      </w:r>
      <w:proofErr w:type="spellStart"/>
      <w:r w:rsidR="00160915" w:rsidRPr="008E76FB">
        <w:rPr>
          <w:rFonts w:ascii="Garamond" w:hAnsi="Garamond"/>
          <w:lang w:val="pt-PT"/>
        </w:rPr>
        <w:t>atualizados</w:t>
      </w:r>
      <w:proofErr w:type="spellEnd"/>
      <w:r w:rsidR="00160915" w:rsidRPr="008E76FB">
        <w:rPr>
          <w:rFonts w:ascii="Garamond" w:hAnsi="Garamond"/>
          <w:lang w:val="pt-PT"/>
        </w:rPr>
        <w:t xml:space="preserve"> e an</w:t>
      </w:r>
      <w:r>
        <w:rPr>
          <w:rFonts w:ascii="Garamond" w:hAnsi="Garamond"/>
          <w:lang w:val="pt-PT"/>
        </w:rPr>
        <w:t>á</w:t>
      </w:r>
      <w:r w:rsidR="00160915" w:rsidRPr="008E76FB">
        <w:rPr>
          <w:rFonts w:ascii="Garamond" w:hAnsi="Garamond"/>
          <w:lang w:val="pt-PT"/>
        </w:rPr>
        <w:t>lises complementares</w:t>
      </w:r>
      <w:r>
        <w:rPr>
          <w:rFonts w:ascii="Garamond" w:hAnsi="Garamond"/>
          <w:lang w:val="pt-PT"/>
        </w:rPr>
        <w:t>.</w:t>
      </w:r>
      <w:r w:rsidR="00160915" w:rsidRPr="008E76FB">
        <w:rPr>
          <w:rFonts w:ascii="Garamond" w:hAnsi="Garamond"/>
          <w:lang w:val="pt-PT"/>
        </w:rPr>
        <w:t xml:space="preserve">   </w:t>
      </w:r>
    </w:p>
    <w:p w14:paraId="21E40BA9" w14:textId="417AB214" w:rsidR="00A960EC" w:rsidRPr="00A45450" w:rsidRDefault="00A960EC" w:rsidP="00A45450">
      <w:pPr>
        <w:pStyle w:val="NormalWeb"/>
        <w:spacing w:before="0" w:beforeAutospacing="0" w:after="240" w:afterAutospacing="0"/>
        <w:jc w:val="both"/>
        <w:rPr>
          <w:rFonts w:ascii="Garamond" w:hAnsi="Garamond"/>
          <w:lang w:val="pt-PT"/>
        </w:rPr>
      </w:pPr>
      <w:r w:rsidRPr="00A45450">
        <w:rPr>
          <w:rFonts w:ascii="Garamond" w:hAnsi="Garamond"/>
          <w:lang w:val="pt-PT"/>
        </w:rPr>
        <w:t xml:space="preserve">As </w:t>
      </w:r>
      <w:r w:rsidRPr="00A45450">
        <w:rPr>
          <w:rFonts w:ascii="Garamond" w:hAnsi="Garamond"/>
          <w:b/>
          <w:bCs/>
          <w:lang w:val="pt-PT"/>
        </w:rPr>
        <w:t>Contas Públicas</w:t>
      </w:r>
      <w:r w:rsidRPr="00A45450">
        <w:rPr>
          <w:rFonts w:ascii="Garamond" w:hAnsi="Garamond"/>
          <w:lang w:val="pt-PT"/>
        </w:rPr>
        <w:t xml:space="preserve"> e </w:t>
      </w:r>
      <w:r w:rsidRPr="00A45450">
        <w:rPr>
          <w:rFonts w:ascii="Garamond" w:hAnsi="Garamond"/>
          <w:b/>
          <w:bCs/>
          <w:lang w:val="pt-PT"/>
        </w:rPr>
        <w:t>Assembleia Nacional</w:t>
      </w:r>
      <w:r w:rsidRPr="00A45450">
        <w:rPr>
          <w:rFonts w:ascii="Garamond" w:hAnsi="Garamond"/>
          <w:lang w:val="pt-PT"/>
        </w:rPr>
        <w:t xml:space="preserve"> têm um papel fundamental em virtude da O</w:t>
      </w:r>
      <w:r w:rsidR="0082722B" w:rsidRPr="00A45450">
        <w:rPr>
          <w:rFonts w:ascii="Garamond" w:hAnsi="Garamond"/>
          <w:lang w:val="pt-PT"/>
        </w:rPr>
        <w:t xml:space="preserve">rçamentação </w:t>
      </w:r>
      <w:r w:rsidRPr="00A45450">
        <w:rPr>
          <w:rFonts w:ascii="Garamond" w:hAnsi="Garamond"/>
          <w:lang w:val="pt-PT"/>
        </w:rPr>
        <w:t xml:space="preserve">Sensível ao Género em curso de implementação, tendo sido desenvolvido um Marcador de Género para seguir os investimentos </w:t>
      </w:r>
      <w:r w:rsidR="00A45450" w:rsidRPr="00A45450">
        <w:rPr>
          <w:rFonts w:ascii="Garamond" w:hAnsi="Garamond"/>
          <w:lang w:val="pt-PT"/>
        </w:rPr>
        <w:t xml:space="preserve">de Género no Orçamento de Estado </w:t>
      </w:r>
      <w:r w:rsidRPr="00A45450">
        <w:rPr>
          <w:rFonts w:ascii="Garamond" w:hAnsi="Garamond"/>
          <w:lang w:val="pt-PT"/>
        </w:rPr>
        <w:t>(elaboração e implementação do O</w:t>
      </w:r>
      <w:r w:rsidR="00A45450" w:rsidRPr="00A45450">
        <w:rPr>
          <w:rFonts w:ascii="Garamond" w:hAnsi="Garamond"/>
          <w:lang w:val="pt-PT"/>
        </w:rPr>
        <w:t>E</w:t>
      </w:r>
      <w:r w:rsidRPr="00A45450">
        <w:rPr>
          <w:rFonts w:ascii="Garamond" w:hAnsi="Garamond"/>
          <w:lang w:val="pt-PT"/>
        </w:rPr>
        <w:t xml:space="preserve"> no primeiro caso, e na sua </w:t>
      </w:r>
      <w:r w:rsidRPr="00A45450">
        <w:rPr>
          <w:rFonts w:ascii="Garamond" w:hAnsi="Garamond" w:cs="Calibri"/>
          <w:lang w:val="pt-PT"/>
        </w:rPr>
        <w:t xml:space="preserve">discussão e aprovação, bem como </w:t>
      </w:r>
      <w:r w:rsidR="00A45450" w:rsidRPr="00A45450">
        <w:rPr>
          <w:rFonts w:ascii="Garamond" w:hAnsi="Garamond" w:cs="Calibri"/>
          <w:lang w:val="pt-PT"/>
        </w:rPr>
        <w:t>n</w:t>
      </w:r>
      <w:r w:rsidRPr="00A45450">
        <w:rPr>
          <w:rFonts w:ascii="Garamond" w:hAnsi="Garamond" w:cs="Calibri"/>
          <w:lang w:val="pt-PT"/>
        </w:rPr>
        <w:t>a fiscalização da sua implementação</w:t>
      </w:r>
      <w:r w:rsidR="00A45450" w:rsidRPr="00A45450">
        <w:rPr>
          <w:rFonts w:ascii="Garamond" w:hAnsi="Garamond" w:cs="Calibri"/>
          <w:lang w:val="pt-PT"/>
        </w:rPr>
        <w:t xml:space="preserve"> no segundo caso</w:t>
      </w:r>
      <w:r w:rsidRPr="00A45450">
        <w:rPr>
          <w:rFonts w:ascii="Garamond" w:hAnsi="Garamond" w:cs="Calibri"/>
          <w:lang w:val="pt-PT"/>
        </w:rPr>
        <w:t>)</w:t>
      </w:r>
      <w:r w:rsidR="00A45450" w:rsidRPr="00A45450">
        <w:rPr>
          <w:rFonts w:ascii="Garamond" w:hAnsi="Garamond"/>
          <w:lang w:val="pt-PT"/>
        </w:rPr>
        <w:t>.</w:t>
      </w:r>
    </w:p>
    <w:p w14:paraId="46A343F3" w14:textId="4F71CB64" w:rsidR="00124610" w:rsidRPr="00F2313A" w:rsidRDefault="00124610" w:rsidP="00A45450">
      <w:pPr>
        <w:pStyle w:val="NormalWeb"/>
        <w:spacing w:before="0" w:beforeAutospacing="0" w:after="240" w:afterAutospacing="0"/>
        <w:contextualSpacing/>
        <w:jc w:val="both"/>
        <w:rPr>
          <w:rFonts w:ascii="Garamond" w:hAnsi="Garamond"/>
          <w:lang w:val="pt-PT"/>
        </w:rPr>
      </w:pPr>
      <w:r w:rsidRPr="00F2313A">
        <w:rPr>
          <w:rFonts w:ascii="Garamond" w:hAnsi="Garamond" w:cs="Calibri"/>
          <w:lang w:val="pt-PT"/>
        </w:rPr>
        <w:t xml:space="preserve">Os </w:t>
      </w:r>
      <w:r w:rsidRPr="00F2313A">
        <w:rPr>
          <w:rFonts w:ascii="Garamond" w:hAnsi="Garamond" w:cs="Calibri"/>
          <w:b/>
          <w:bCs/>
          <w:lang w:val="pt-PT"/>
        </w:rPr>
        <w:t>serviços sociais</w:t>
      </w:r>
      <w:r w:rsidRPr="00F2313A">
        <w:rPr>
          <w:rFonts w:ascii="Garamond" w:hAnsi="Garamond" w:cs="Calibri"/>
          <w:lang w:val="pt-PT"/>
        </w:rPr>
        <w:t xml:space="preserve"> que, no âmbito das políticas sociais em curso contribuem com programas e serviços específicos p</w:t>
      </w:r>
      <w:r w:rsidR="00F2313A" w:rsidRPr="00F2313A">
        <w:rPr>
          <w:rFonts w:ascii="Garamond" w:hAnsi="Garamond" w:cs="Calibri"/>
          <w:lang w:val="pt-PT"/>
        </w:rPr>
        <w:t xml:space="preserve">romotores da </w:t>
      </w:r>
      <w:r w:rsidRPr="00F2313A">
        <w:rPr>
          <w:rFonts w:ascii="Garamond" w:hAnsi="Garamond" w:cs="Calibri"/>
          <w:lang w:val="pt-PT"/>
        </w:rPr>
        <w:t>igualdade de género, funcionam actualmente de forma descentralizada a nível das Câmaras Municipais, que por seu lado têm pontos focais de género (18 das 22 CM). A</w:t>
      </w:r>
      <w:r w:rsidR="00301327" w:rsidRPr="00F2313A">
        <w:rPr>
          <w:rFonts w:ascii="Garamond" w:hAnsi="Garamond"/>
          <w:lang w:val="pt-PT"/>
        </w:rPr>
        <w:t xml:space="preserve"> </w:t>
      </w:r>
      <w:r w:rsidR="00A45450" w:rsidRPr="00F2313A">
        <w:rPr>
          <w:rFonts w:ascii="Garamond" w:hAnsi="Garamond"/>
          <w:b/>
          <w:bCs/>
          <w:lang w:val="pt-PT"/>
        </w:rPr>
        <w:t>planificação municipal</w:t>
      </w:r>
      <w:r w:rsidR="00AE1CD2" w:rsidRPr="00F2313A">
        <w:rPr>
          <w:rFonts w:ascii="Garamond" w:hAnsi="Garamond"/>
          <w:lang w:val="pt-PT"/>
        </w:rPr>
        <w:t xml:space="preserve"> </w:t>
      </w:r>
      <w:r w:rsidR="00F2313A">
        <w:rPr>
          <w:rFonts w:ascii="Garamond" w:hAnsi="Garamond"/>
          <w:lang w:val="pt-PT"/>
        </w:rPr>
        <w:t xml:space="preserve">é outra peça </w:t>
      </w:r>
      <w:r w:rsidRPr="00F2313A">
        <w:rPr>
          <w:rFonts w:ascii="Garamond" w:hAnsi="Garamond"/>
          <w:lang w:val="pt-PT"/>
        </w:rPr>
        <w:t xml:space="preserve">fundamental no âmbito do processo de regionalização em curso no país: </w:t>
      </w:r>
      <w:r w:rsidR="00A45450" w:rsidRPr="00F2313A">
        <w:rPr>
          <w:rFonts w:ascii="Garamond" w:hAnsi="Garamond"/>
          <w:lang w:val="pt-PT"/>
        </w:rPr>
        <w:t xml:space="preserve">9 dos 22 municípios já </w:t>
      </w:r>
      <w:r w:rsidRPr="00F2313A">
        <w:rPr>
          <w:rFonts w:ascii="Garamond" w:hAnsi="Garamond"/>
          <w:lang w:val="pt-PT"/>
        </w:rPr>
        <w:t xml:space="preserve">contam com </w:t>
      </w:r>
      <w:r w:rsidR="00A45450" w:rsidRPr="00F2313A">
        <w:rPr>
          <w:rFonts w:ascii="Garamond" w:hAnsi="Garamond"/>
          <w:lang w:val="pt-PT"/>
        </w:rPr>
        <w:t>um</w:t>
      </w:r>
      <w:r w:rsidR="00AE1CD2" w:rsidRPr="00F2313A">
        <w:rPr>
          <w:rFonts w:ascii="Garamond" w:hAnsi="Garamond"/>
          <w:lang w:val="pt-PT"/>
        </w:rPr>
        <w:t xml:space="preserve"> Plano Estratégico Municipal de Desenvolvimento Sustentável (</w:t>
      </w:r>
      <w:proofErr w:type="spellStart"/>
      <w:r w:rsidR="00AE1CD2" w:rsidRPr="00F2313A">
        <w:rPr>
          <w:rFonts w:ascii="Garamond" w:hAnsi="Garamond"/>
          <w:lang w:val="pt-PT"/>
        </w:rPr>
        <w:t>PMEDS</w:t>
      </w:r>
      <w:proofErr w:type="spellEnd"/>
      <w:r w:rsidR="00AE1CD2" w:rsidRPr="00F2313A">
        <w:rPr>
          <w:rFonts w:ascii="Garamond" w:hAnsi="Garamond"/>
          <w:lang w:val="pt-PT"/>
        </w:rPr>
        <w:t>)</w:t>
      </w:r>
      <w:r w:rsidR="00F2313A">
        <w:rPr>
          <w:rFonts w:ascii="Garamond" w:hAnsi="Garamond"/>
          <w:lang w:val="pt-PT"/>
        </w:rPr>
        <w:t xml:space="preserve"> que </w:t>
      </w:r>
      <w:r w:rsidRPr="00F2313A">
        <w:rPr>
          <w:rFonts w:ascii="Garamond" w:hAnsi="Garamond"/>
          <w:lang w:val="pt-PT"/>
        </w:rPr>
        <w:t>integra um diagnóstico de género e respostas de género.</w:t>
      </w:r>
    </w:p>
    <w:bookmarkEnd w:id="10"/>
    <w:p w14:paraId="5EDD46AB" w14:textId="77777777" w:rsidR="00F1265A" w:rsidRPr="00BD48F2" w:rsidRDefault="00F1265A" w:rsidP="00F1265A">
      <w:pPr>
        <w:spacing w:before="120"/>
        <w:jc w:val="both"/>
        <w:rPr>
          <w:rFonts w:ascii="Garamond" w:eastAsia="Times New Roman" w:hAnsi="Garamond" w:cs="Times New Roman"/>
          <w:lang w:val="pt-PT"/>
        </w:rPr>
      </w:pPr>
      <w:r w:rsidRPr="00BD48F2">
        <w:rPr>
          <w:rFonts w:ascii="Garamond" w:eastAsia="Times New Roman" w:hAnsi="Garamond" w:cs="Calibri"/>
          <w:color w:val="222222"/>
          <w:lang w:val="pt-PT"/>
        </w:rPr>
        <w:t xml:space="preserve">O </w:t>
      </w:r>
      <w:proofErr w:type="spellStart"/>
      <w:r w:rsidRPr="00BD48F2">
        <w:rPr>
          <w:rFonts w:ascii="Garamond" w:eastAsia="Times New Roman" w:hAnsi="Garamond" w:cs="Calibri"/>
          <w:color w:val="222222"/>
          <w:lang w:val="pt-PT"/>
        </w:rPr>
        <w:t>ICIEG</w:t>
      </w:r>
      <w:proofErr w:type="spellEnd"/>
      <w:r w:rsidRPr="00BD48F2">
        <w:rPr>
          <w:rFonts w:ascii="Garamond" w:eastAsia="Times New Roman" w:hAnsi="Garamond" w:cs="Calibri"/>
          <w:color w:val="222222"/>
          <w:lang w:val="pt-PT"/>
        </w:rPr>
        <w:t xml:space="preserve"> mantem uma ampla rede de parcerias, que </w:t>
      </w:r>
      <w:r>
        <w:rPr>
          <w:rFonts w:ascii="Garamond" w:eastAsia="Times New Roman" w:hAnsi="Garamond" w:cs="Calibri"/>
          <w:color w:val="222222"/>
          <w:lang w:val="pt-PT"/>
        </w:rPr>
        <w:t xml:space="preserve">estão envolvidas na formulação e implementação de planos, programas e </w:t>
      </w:r>
      <w:proofErr w:type="spellStart"/>
      <w:r>
        <w:rPr>
          <w:rFonts w:ascii="Garamond" w:eastAsia="Times New Roman" w:hAnsi="Garamond" w:cs="Calibri"/>
          <w:color w:val="222222"/>
          <w:lang w:val="pt-PT"/>
        </w:rPr>
        <w:t>projetos</w:t>
      </w:r>
      <w:proofErr w:type="spellEnd"/>
      <w:r w:rsidRPr="00BD48F2">
        <w:rPr>
          <w:rFonts w:ascii="Garamond" w:eastAsia="Times New Roman" w:hAnsi="Garamond" w:cs="Calibri"/>
          <w:color w:val="222222"/>
          <w:lang w:val="pt-PT"/>
        </w:rPr>
        <w:t>:</w:t>
      </w:r>
    </w:p>
    <w:p w14:paraId="69ECE842" w14:textId="77777777" w:rsidR="00F1265A" w:rsidRPr="00BD48F2" w:rsidRDefault="00F1265A" w:rsidP="00152725">
      <w:pPr>
        <w:numPr>
          <w:ilvl w:val="0"/>
          <w:numId w:val="5"/>
        </w:numPr>
        <w:ind w:left="360"/>
        <w:jc w:val="both"/>
        <w:textAlignment w:val="baseline"/>
        <w:rPr>
          <w:rFonts w:ascii="Garamond" w:eastAsia="Times New Roman" w:hAnsi="Garamond" w:cs="Arial"/>
          <w:color w:val="222222"/>
          <w:lang w:val="pt-PT"/>
        </w:rPr>
      </w:pPr>
      <w:r w:rsidRPr="00BD48F2">
        <w:rPr>
          <w:rFonts w:ascii="Garamond" w:eastAsia="Times New Roman" w:hAnsi="Garamond" w:cs="Calibri"/>
          <w:color w:val="222222"/>
          <w:lang w:val="pt-PT"/>
        </w:rPr>
        <w:t xml:space="preserve">As </w:t>
      </w:r>
      <w:r w:rsidRPr="00BD48F2">
        <w:rPr>
          <w:rFonts w:ascii="Garamond" w:eastAsia="Times New Roman" w:hAnsi="Garamond" w:cs="Calibri"/>
          <w:bCs/>
          <w:color w:val="222222"/>
          <w:lang w:val="pt-PT"/>
        </w:rPr>
        <w:t>organizações da sociedade civil</w:t>
      </w:r>
      <w:r w:rsidRPr="00BD48F2">
        <w:rPr>
          <w:rFonts w:ascii="Garamond" w:eastAsia="Times New Roman" w:hAnsi="Garamond" w:cs="Calibri"/>
          <w:color w:val="222222"/>
          <w:lang w:val="pt-PT"/>
        </w:rPr>
        <w:t xml:space="preserve"> engajadas na promoção da igualdade, incluindo as que representam grupos específicos (mulheres com deficiência, mulheres imigrantes, mulheres portadoras de VIH/SIDA, associação de pessoas </w:t>
      </w:r>
      <w:proofErr w:type="spellStart"/>
      <w:r w:rsidRPr="00BD48F2">
        <w:rPr>
          <w:rFonts w:ascii="Garamond" w:eastAsia="Times New Roman" w:hAnsi="Garamond" w:cs="Calibri"/>
          <w:color w:val="222222"/>
          <w:lang w:val="pt-PT"/>
        </w:rPr>
        <w:t>LGBTI</w:t>
      </w:r>
      <w:proofErr w:type="spellEnd"/>
      <w:r w:rsidRPr="00BD48F2">
        <w:rPr>
          <w:rFonts w:ascii="Garamond" w:eastAsia="Times New Roman" w:hAnsi="Garamond" w:cs="Calibri"/>
          <w:color w:val="222222"/>
          <w:lang w:val="pt-PT"/>
        </w:rPr>
        <w:t>, etc.), homens (Rede Laço Branco) ou grupos profissionais específicos (mulheres juristas, mulheres empresárias, mulheres empregadas domésticas, mulheres parlamentares);</w:t>
      </w:r>
    </w:p>
    <w:p w14:paraId="40971986" w14:textId="77777777" w:rsidR="00F1265A" w:rsidRPr="00BD48F2" w:rsidRDefault="00F1265A" w:rsidP="00152725">
      <w:pPr>
        <w:numPr>
          <w:ilvl w:val="0"/>
          <w:numId w:val="5"/>
        </w:numPr>
        <w:ind w:left="360"/>
        <w:jc w:val="both"/>
        <w:textAlignment w:val="baseline"/>
        <w:rPr>
          <w:rFonts w:ascii="Garamond" w:eastAsia="Times New Roman" w:hAnsi="Garamond" w:cs="Arial"/>
          <w:color w:val="222222"/>
          <w:lang w:val="pt-PT"/>
        </w:rPr>
      </w:pPr>
      <w:r>
        <w:rPr>
          <w:rFonts w:ascii="Garamond" w:eastAsia="Times New Roman" w:hAnsi="Garamond" w:cs="Calibri"/>
          <w:color w:val="222222"/>
          <w:lang w:val="pt-PT"/>
        </w:rPr>
        <w:t>Instituições do sector publico, privado e Camaras Municipais;</w:t>
      </w:r>
    </w:p>
    <w:p w14:paraId="7FBAF295" w14:textId="77777777" w:rsidR="00F1265A" w:rsidRPr="00BD48F2" w:rsidRDefault="00F1265A" w:rsidP="00152725">
      <w:pPr>
        <w:numPr>
          <w:ilvl w:val="0"/>
          <w:numId w:val="5"/>
        </w:numPr>
        <w:ind w:left="360"/>
        <w:jc w:val="both"/>
        <w:textAlignment w:val="baseline"/>
        <w:rPr>
          <w:rFonts w:ascii="Garamond" w:eastAsia="Times New Roman" w:hAnsi="Garamond" w:cs="Arial"/>
          <w:color w:val="222222"/>
          <w:lang w:val="pt-PT"/>
        </w:rPr>
      </w:pPr>
      <w:r w:rsidRPr="00BD48F2">
        <w:rPr>
          <w:rFonts w:ascii="Garamond" w:eastAsia="Times New Roman" w:hAnsi="Garamond" w:cs="Calibri"/>
          <w:bCs/>
          <w:color w:val="222222"/>
          <w:lang w:val="pt-PT"/>
        </w:rPr>
        <w:t>Parceiros de desenvolvimento</w:t>
      </w:r>
      <w:r w:rsidRPr="00BD48F2">
        <w:rPr>
          <w:rFonts w:ascii="Garamond" w:eastAsia="Times New Roman" w:hAnsi="Garamond" w:cs="Calibri"/>
          <w:color w:val="222222"/>
          <w:lang w:val="pt-PT"/>
        </w:rPr>
        <w:t>, incluindo a cooperação bilateral e multilateral;</w:t>
      </w:r>
    </w:p>
    <w:p w14:paraId="41F93437" w14:textId="77777777" w:rsidR="00F1265A" w:rsidRPr="00BD48F2" w:rsidRDefault="00F1265A" w:rsidP="00152725">
      <w:pPr>
        <w:numPr>
          <w:ilvl w:val="0"/>
          <w:numId w:val="5"/>
        </w:numPr>
        <w:ind w:left="360"/>
        <w:jc w:val="both"/>
        <w:textAlignment w:val="baseline"/>
        <w:rPr>
          <w:rFonts w:ascii="Garamond" w:eastAsia="Times New Roman" w:hAnsi="Garamond" w:cs="Arial"/>
          <w:color w:val="222222"/>
          <w:lang w:val="pt-PT"/>
        </w:rPr>
      </w:pPr>
      <w:r w:rsidRPr="00BD48F2">
        <w:rPr>
          <w:rFonts w:ascii="Garamond" w:eastAsia="Times New Roman" w:hAnsi="Garamond" w:cs="Calibri"/>
          <w:color w:val="222222"/>
          <w:lang w:val="pt-PT"/>
        </w:rPr>
        <w:t xml:space="preserve">Instituições congéneres, tais como o </w:t>
      </w:r>
      <w:proofErr w:type="spellStart"/>
      <w:r w:rsidRPr="00BD48F2">
        <w:rPr>
          <w:rFonts w:ascii="Garamond" w:eastAsia="Times New Roman" w:hAnsi="Garamond" w:cs="Calibri"/>
          <w:bCs/>
          <w:color w:val="222222"/>
          <w:lang w:val="pt-PT"/>
        </w:rPr>
        <w:t>ICCA</w:t>
      </w:r>
      <w:proofErr w:type="spellEnd"/>
      <w:r w:rsidRPr="00BD48F2">
        <w:rPr>
          <w:rFonts w:ascii="Garamond" w:eastAsia="Times New Roman" w:hAnsi="Garamond" w:cs="Calibri"/>
          <w:color w:val="222222"/>
          <w:lang w:val="pt-PT"/>
        </w:rPr>
        <w:t xml:space="preserve"> e a </w:t>
      </w:r>
      <w:proofErr w:type="spellStart"/>
      <w:r w:rsidRPr="00BD48F2">
        <w:rPr>
          <w:rFonts w:ascii="Garamond" w:eastAsia="Times New Roman" w:hAnsi="Garamond" w:cs="Calibri"/>
          <w:bCs/>
          <w:color w:val="222222"/>
          <w:lang w:val="pt-PT"/>
        </w:rPr>
        <w:t>CNDHC</w:t>
      </w:r>
      <w:proofErr w:type="spellEnd"/>
      <w:r w:rsidRPr="00BD48F2">
        <w:rPr>
          <w:rFonts w:ascii="Garamond" w:eastAsia="Times New Roman" w:hAnsi="Garamond" w:cs="Calibri"/>
          <w:color w:val="222222"/>
          <w:lang w:val="pt-PT"/>
        </w:rPr>
        <w:t>;</w:t>
      </w:r>
    </w:p>
    <w:p w14:paraId="10550603" w14:textId="77777777" w:rsidR="00F1265A" w:rsidRPr="00BD48F2" w:rsidRDefault="00F1265A" w:rsidP="00152725">
      <w:pPr>
        <w:numPr>
          <w:ilvl w:val="0"/>
          <w:numId w:val="5"/>
        </w:numPr>
        <w:ind w:left="360"/>
        <w:jc w:val="both"/>
        <w:textAlignment w:val="baseline"/>
        <w:rPr>
          <w:rFonts w:ascii="Garamond" w:eastAsia="Times New Roman" w:hAnsi="Garamond" w:cs="Arial"/>
          <w:color w:val="222222"/>
          <w:lang w:val="pt-PT"/>
        </w:rPr>
      </w:pPr>
      <w:r w:rsidRPr="00BD48F2">
        <w:rPr>
          <w:rFonts w:ascii="Garamond" w:eastAsia="Times New Roman" w:hAnsi="Garamond" w:cs="Calibri"/>
          <w:color w:val="222222"/>
          <w:lang w:val="pt-PT"/>
        </w:rPr>
        <w:t xml:space="preserve">Instituições académicas, com destaque para </w:t>
      </w:r>
      <w:r w:rsidRPr="00BD48F2">
        <w:rPr>
          <w:rFonts w:ascii="Garamond" w:eastAsia="Times New Roman" w:hAnsi="Garamond" w:cs="Calibri"/>
          <w:bCs/>
          <w:color w:val="222222"/>
          <w:lang w:val="pt-PT"/>
        </w:rPr>
        <w:t xml:space="preserve">o </w:t>
      </w:r>
      <w:proofErr w:type="spellStart"/>
      <w:r w:rsidRPr="00BD48F2">
        <w:rPr>
          <w:rFonts w:ascii="Garamond" w:eastAsia="Times New Roman" w:hAnsi="Garamond" w:cs="Calibri"/>
          <w:bCs/>
          <w:color w:val="222222"/>
          <w:lang w:val="pt-PT"/>
        </w:rPr>
        <w:t>CIGEF</w:t>
      </w:r>
      <w:proofErr w:type="spellEnd"/>
      <w:r w:rsidRPr="00BD48F2">
        <w:rPr>
          <w:rFonts w:ascii="Garamond" w:eastAsia="Times New Roman" w:hAnsi="Garamond" w:cs="Calibri"/>
          <w:bCs/>
          <w:color w:val="222222"/>
          <w:lang w:val="pt-PT"/>
        </w:rPr>
        <w:t>;</w:t>
      </w:r>
    </w:p>
    <w:p w14:paraId="28D46760" w14:textId="77777777" w:rsidR="00F1265A" w:rsidRPr="00BD48F2" w:rsidRDefault="00F1265A" w:rsidP="00152725">
      <w:pPr>
        <w:numPr>
          <w:ilvl w:val="0"/>
          <w:numId w:val="5"/>
        </w:numPr>
        <w:spacing w:after="240"/>
        <w:ind w:left="360"/>
        <w:jc w:val="both"/>
        <w:textAlignment w:val="baseline"/>
        <w:rPr>
          <w:rFonts w:ascii="Times New Roman" w:eastAsia="Times New Roman" w:hAnsi="Times New Roman" w:cs="Times New Roman"/>
          <w:lang w:val="pt-PT"/>
        </w:rPr>
      </w:pPr>
      <w:r w:rsidRPr="00BD48F2">
        <w:rPr>
          <w:rFonts w:ascii="Garamond" w:eastAsia="Times New Roman" w:hAnsi="Garamond" w:cs="Calibri"/>
          <w:bCs/>
          <w:color w:val="222222"/>
          <w:lang w:val="pt-PT"/>
        </w:rPr>
        <w:t>Sindicatos</w:t>
      </w:r>
      <w:r w:rsidRPr="00BD48F2">
        <w:rPr>
          <w:rFonts w:ascii="Garamond" w:eastAsia="Times New Roman" w:hAnsi="Garamond" w:cs="Calibri"/>
          <w:color w:val="222222"/>
          <w:lang w:val="pt-PT"/>
        </w:rPr>
        <w:t>, em particular os que representam especialmente trabalhadoras, como é o caso do Sindicatos das Trabalhadoras Domésticas.</w:t>
      </w:r>
    </w:p>
    <w:p w14:paraId="3332D247" w14:textId="77777777" w:rsidR="00F1265A" w:rsidRPr="00241425" w:rsidRDefault="00F1265A" w:rsidP="00241425">
      <w:pPr>
        <w:pStyle w:val="Ttulo2"/>
        <w:jc w:val="both"/>
        <w:rPr>
          <w:rFonts w:ascii="Garamond" w:hAnsi="Garamond" w:cs="Times New Roman"/>
          <w:b/>
          <w:color w:val="auto"/>
          <w:sz w:val="28"/>
          <w:szCs w:val="28"/>
          <w:lang w:val="pt-PT"/>
        </w:rPr>
      </w:pPr>
      <w:bookmarkStart w:id="11" w:name="_Toc32858120"/>
      <w:r w:rsidRPr="00241425">
        <w:rPr>
          <w:rFonts w:ascii="Garamond" w:hAnsi="Garamond" w:cs="Times New Roman"/>
          <w:b/>
          <w:color w:val="auto"/>
          <w:sz w:val="28"/>
          <w:szCs w:val="28"/>
          <w:lang w:val="pt-PT"/>
        </w:rPr>
        <w:t>Quadro normativo internacional de direitos humanos</w:t>
      </w:r>
      <w:bookmarkEnd w:id="11"/>
    </w:p>
    <w:p w14:paraId="3FB9CD54" w14:textId="77777777" w:rsidR="00F1265A" w:rsidRPr="00190391" w:rsidRDefault="00F1265A" w:rsidP="00F1265A">
      <w:pPr>
        <w:pStyle w:val="NormalWeb"/>
        <w:spacing w:before="0" w:beforeAutospacing="0" w:after="240" w:afterAutospacing="0"/>
        <w:jc w:val="both"/>
        <w:rPr>
          <w:rFonts w:ascii="Garamond" w:hAnsi="Garamond"/>
          <w:lang w:val="pt-PT"/>
        </w:rPr>
      </w:pPr>
      <w:r w:rsidRPr="00190391">
        <w:rPr>
          <w:rFonts w:ascii="Garamond" w:hAnsi="Garamond" w:cs="Calibri"/>
          <w:color w:val="000000"/>
          <w:lang w:val="pt-PT"/>
        </w:rPr>
        <w:t xml:space="preserve">As políticas e a planificação na área da igualdade de género em Cabo Verde seguem, há largos anos, um referencial de direitos humanos. A igualdade de género é um princípio universal de direito, reconhecido nos principais instrumentos internacionais de direitos humanos, </w:t>
      </w:r>
      <w:proofErr w:type="gramStart"/>
      <w:r w:rsidRPr="00190391">
        <w:rPr>
          <w:rFonts w:ascii="Garamond" w:hAnsi="Garamond" w:cs="Calibri"/>
          <w:color w:val="000000"/>
          <w:lang w:val="pt-PT"/>
        </w:rPr>
        <w:t>ao mesmo tempo que</w:t>
      </w:r>
      <w:proofErr w:type="gramEnd"/>
      <w:r w:rsidRPr="00190391">
        <w:rPr>
          <w:rFonts w:ascii="Garamond" w:hAnsi="Garamond" w:cs="Calibri"/>
          <w:color w:val="000000"/>
          <w:lang w:val="pt-PT"/>
        </w:rPr>
        <w:t xml:space="preserve"> é uma questão fundamental do desenvolvimento económico e social e da construção da democracia. </w:t>
      </w:r>
    </w:p>
    <w:p w14:paraId="5606D9B2" w14:textId="77777777" w:rsidR="00F1265A" w:rsidRPr="00190391" w:rsidRDefault="00F1265A" w:rsidP="00F1265A">
      <w:pPr>
        <w:pStyle w:val="NormalWeb"/>
        <w:spacing w:before="0" w:beforeAutospacing="0" w:after="240" w:afterAutospacing="0"/>
        <w:jc w:val="both"/>
        <w:rPr>
          <w:rFonts w:ascii="Garamond" w:hAnsi="Garamond"/>
          <w:lang w:val="pt-PT"/>
        </w:rPr>
      </w:pPr>
      <w:r w:rsidRPr="00190391">
        <w:rPr>
          <w:rFonts w:ascii="Garamond" w:hAnsi="Garamond" w:cs="Calibri"/>
          <w:color w:val="000000"/>
          <w:lang w:val="pt-PT"/>
        </w:rPr>
        <w:t xml:space="preserve">De entre as várias Convenções de Direitos Humanos ratificadas por Cabo Verde, a </w:t>
      </w:r>
      <w:proofErr w:type="spellStart"/>
      <w:r w:rsidRPr="00190391">
        <w:rPr>
          <w:rFonts w:ascii="Garamond" w:hAnsi="Garamond" w:cs="Calibri"/>
          <w:b/>
          <w:bCs/>
          <w:color w:val="000000"/>
          <w:lang w:val="pt-PT"/>
        </w:rPr>
        <w:t>CEDAW</w:t>
      </w:r>
      <w:proofErr w:type="spellEnd"/>
      <w:r w:rsidRPr="00190391">
        <w:rPr>
          <w:rFonts w:ascii="Garamond" w:hAnsi="Garamond" w:cs="Calibri"/>
          <w:b/>
          <w:bCs/>
          <w:color w:val="000000"/>
          <w:lang w:val="pt-PT"/>
        </w:rPr>
        <w:t xml:space="preserve"> - Convenção para a Eliminação de todas as Formas de Discriminação contra as Mulheres</w:t>
      </w:r>
      <w:r w:rsidRPr="00190391">
        <w:rPr>
          <w:rFonts w:ascii="Garamond" w:hAnsi="Garamond" w:cs="Calibri"/>
          <w:color w:val="000000"/>
          <w:lang w:val="pt-PT"/>
        </w:rPr>
        <w:t xml:space="preserve">, é a principal referência. Cabo Verde está em dia com as suas obrigações de reportagem sobre a implementação da </w:t>
      </w:r>
      <w:proofErr w:type="spellStart"/>
      <w:r w:rsidRPr="00190391">
        <w:rPr>
          <w:rFonts w:ascii="Garamond" w:hAnsi="Garamond" w:cs="Calibri"/>
          <w:color w:val="000000"/>
          <w:lang w:val="pt-PT"/>
        </w:rPr>
        <w:t>CEDAW</w:t>
      </w:r>
      <w:proofErr w:type="spellEnd"/>
      <w:r w:rsidRPr="00190391">
        <w:rPr>
          <w:rFonts w:ascii="Garamond" w:hAnsi="Garamond" w:cs="Calibri"/>
          <w:color w:val="000000"/>
          <w:lang w:val="pt-PT"/>
        </w:rPr>
        <w:t xml:space="preserve">: submeteu o seu IXº relatório periódico em início de 2018, que foi recentemente analisado </w:t>
      </w:r>
      <w:proofErr w:type="spellStart"/>
      <w:r w:rsidRPr="00190391">
        <w:rPr>
          <w:rFonts w:ascii="Garamond" w:hAnsi="Garamond" w:cs="Calibri"/>
          <w:color w:val="000000"/>
          <w:lang w:val="pt-PT"/>
        </w:rPr>
        <w:t>pelo</w:t>
      </w:r>
      <w:proofErr w:type="spellEnd"/>
      <w:r w:rsidRPr="00190391">
        <w:rPr>
          <w:rFonts w:ascii="Garamond" w:hAnsi="Garamond" w:cs="Calibri"/>
          <w:color w:val="000000"/>
          <w:lang w:val="pt-PT"/>
        </w:rPr>
        <w:t xml:space="preserve"> Comité </w:t>
      </w:r>
      <w:proofErr w:type="spellStart"/>
      <w:r w:rsidRPr="00190391">
        <w:rPr>
          <w:rFonts w:ascii="Garamond" w:hAnsi="Garamond" w:cs="Calibri"/>
          <w:color w:val="000000"/>
          <w:lang w:val="pt-PT"/>
        </w:rPr>
        <w:t>CEDAW</w:t>
      </w:r>
      <w:proofErr w:type="spellEnd"/>
      <w:r w:rsidRPr="00190391">
        <w:rPr>
          <w:rFonts w:ascii="Garamond" w:hAnsi="Garamond" w:cs="Calibri"/>
          <w:color w:val="000000"/>
          <w:lang w:val="pt-PT"/>
        </w:rPr>
        <w:t xml:space="preserve"> na sua 73ª sessão (11 de Julho de 2019). </w:t>
      </w:r>
    </w:p>
    <w:p w14:paraId="5FDA54C2" w14:textId="7EF27A60" w:rsidR="00F1265A" w:rsidRPr="00190391" w:rsidRDefault="00F1265A" w:rsidP="00F1265A">
      <w:pPr>
        <w:pStyle w:val="NormalWeb"/>
        <w:spacing w:before="0" w:beforeAutospacing="0" w:after="240" w:afterAutospacing="0"/>
        <w:jc w:val="both"/>
        <w:rPr>
          <w:rFonts w:ascii="Garamond" w:hAnsi="Garamond"/>
          <w:lang w:val="pt-PT"/>
        </w:rPr>
      </w:pPr>
      <w:r w:rsidRPr="00190391">
        <w:rPr>
          <w:rFonts w:ascii="Garamond" w:hAnsi="Garamond" w:cs="Calibri"/>
          <w:color w:val="000000"/>
          <w:lang w:val="pt-PT"/>
        </w:rPr>
        <w:t>As demais Convenções ratificadas por Cabo Verde contemplam os direitos das mulheres</w:t>
      </w:r>
      <w:r w:rsidR="0007402E">
        <w:rPr>
          <w:rFonts w:ascii="Garamond" w:hAnsi="Garamond" w:cs="Calibri"/>
          <w:color w:val="000000"/>
          <w:lang w:val="pt-PT"/>
        </w:rPr>
        <w:t xml:space="preserve"> </w:t>
      </w:r>
      <w:r w:rsidRPr="00190391">
        <w:rPr>
          <w:rFonts w:ascii="Garamond" w:hAnsi="Garamond" w:cs="Calibri"/>
          <w:color w:val="000000"/>
          <w:lang w:val="pt-PT"/>
        </w:rPr>
        <w:t xml:space="preserve">e </w:t>
      </w:r>
      <w:r w:rsidR="0007402E">
        <w:rPr>
          <w:rFonts w:ascii="Garamond" w:hAnsi="Garamond" w:cs="Calibri"/>
          <w:color w:val="000000"/>
          <w:lang w:val="pt-PT"/>
        </w:rPr>
        <w:t>as recomendações d</w:t>
      </w:r>
      <w:r w:rsidRPr="00190391">
        <w:rPr>
          <w:rFonts w:ascii="Garamond" w:hAnsi="Garamond" w:cs="Calibri"/>
          <w:color w:val="000000"/>
          <w:lang w:val="pt-PT"/>
        </w:rPr>
        <w:t xml:space="preserve">os </w:t>
      </w:r>
      <w:proofErr w:type="spellStart"/>
      <w:r w:rsidRPr="00190391">
        <w:rPr>
          <w:rFonts w:ascii="Garamond" w:hAnsi="Garamond" w:cs="Calibri"/>
          <w:color w:val="000000"/>
          <w:lang w:val="pt-PT"/>
        </w:rPr>
        <w:t>respetivos</w:t>
      </w:r>
      <w:proofErr w:type="spellEnd"/>
      <w:r w:rsidRPr="00190391">
        <w:rPr>
          <w:rFonts w:ascii="Garamond" w:hAnsi="Garamond" w:cs="Calibri"/>
          <w:color w:val="000000"/>
          <w:lang w:val="pt-PT"/>
        </w:rPr>
        <w:t xml:space="preserve"> Comités são relevantes para a igualdade de género: em particular as recomendações recebidas recentemente do Comité </w:t>
      </w:r>
      <w:proofErr w:type="spellStart"/>
      <w:r w:rsidRPr="00190391">
        <w:rPr>
          <w:rFonts w:ascii="Garamond" w:hAnsi="Garamond" w:cs="Calibri"/>
          <w:b/>
          <w:bCs/>
          <w:color w:val="000000"/>
          <w:lang w:val="pt-PT"/>
        </w:rPr>
        <w:t>PIDESC</w:t>
      </w:r>
      <w:proofErr w:type="spellEnd"/>
      <w:r w:rsidRPr="00190391">
        <w:rPr>
          <w:rFonts w:ascii="Garamond" w:hAnsi="Garamond" w:cs="Calibri"/>
          <w:color w:val="000000"/>
          <w:lang w:val="pt-PT"/>
        </w:rPr>
        <w:t xml:space="preserve">, em </w:t>
      </w:r>
      <w:proofErr w:type="spellStart"/>
      <w:r w:rsidRPr="00190391">
        <w:rPr>
          <w:rFonts w:ascii="Garamond" w:hAnsi="Garamond" w:cs="Calibri"/>
          <w:color w:val="000000"/>
          <w:lang w:val="pt-PT"/>
        </w:rPr>
        <w:t>outubro</w:t>
      </w:r>
      <w:proofErr w:type="spellEnd"/>
      <w:r w:rsidRPr="00190391">
        <w:rPr>
          <w:rFonts w:ascii="Garamond" w:hAnsi="Garamond" w:cs="Calibri"/>
          <w:color w:val="000000"/>
          <w:lang w:val="pt-PT"/>
        </w:rPr>
        <w:t xml:space="preserve"> de 2018, que de um total de 32 recomendações inclui 9 recomendações relativas à igualdade de género. Para além de outras recomendações que, não sendo sobre a igualdade de género, são muito relevantes para este domínio (ex. sobre o direito à saúde, a recomendação de implementação cuidados de saúde mental de base comunitária, relevantes para homens e mulheres, com especificidades para cada sexo, e para a prevenção da </w:t>
      </w:r>
      <w:proofErr w:type="spellStart"/>
      <w:r w:rsidRPr="00190391">
        <w:rPr>
          <w:rFonts w:ascii="Garamond" w:hAnsi="Garamond" w:cs="Calibri"/>
          <w:color w:val="000000"/>
          <w:lang w:val="pt-PT"/>
        </w:rPr>
        <w:t>VBG</w:t>
      </w:r>
      <w:proofErr w:type="spellEnd"/>
      <w:r w:rsidRPr="00190391">
        <w:rPr>
          <w:rFonts w:ascii="Garamond" w:hAnsi="Garamond" w:cs="Calibri"/>
          <w:color w:val="000000"/>
          <w:lang w:val="pt-PT"/>
        </w:rPr>
        <w:t xml:space="preserve">). Outros processos recentes, tal como o 3º ciclo da </w:t>
      </w:r>
      <w:r w:rsidRPr="00190391">
        <w:rPr>
          <w:rFonts w:ascii="Garamond" w:hAnsi="Garamond" w:cs="Calibri"/>
          <w:b/>
          <w:bCs/>
          <w:color w:val="000000"/>
          <w:lang w:val="pt-PT"/>
        </w:rPr>
        <w:t>Revisão Periódica Universal (</w:t>
      </w:r>
      <w:proofErr w:type="spellStart"/>
      <w:r w:rsidRPr="00190391">
        <w:rPr>
          <w:rFonts w:ascii="Garamond" w:hAnsi="Garamond" w:cs="Calibri"/>
          <w:b/>
          <w:bCs/>
          <w:color w:val="000000"/>
          <w:lang w:val="pt-PT"/>
        </w:rPr>
        <w:t>UPR</w:t>
      </w:r>
      <w:proofErr w:type="spellEnd"/>
      <w:r w:rsidRPr="00190391">
        <w:rPr>
          <w:rFonts w:ascii="Garamond" w:hAnsi="Garamond" w:cs="Calibri"/>
          <w:b/>
          <w:bCs/>
          <w:color w:val="000000"/>
          <w:lang w:val="pt-PT"/>
        </w:rPr>
        <w:t>)</w:t>
      </w:r>
      <w:r w:rsidRPr="00190391">
        <w:rPr>
          <w:rFonts w:ascii="Garamond" w:hAnsi="Garamond" w:cs="Calibri"/>
          <w:color w:val="000000"/>
          <w:lang w:val="pt-PT"/>
        </w:rPr>
        <w:t xml:space="preserve">, também levaram a recomendações ao país:  das 159 recomendações recebidas por Cabo Verde 62 são </w:t>
      </w:r>
      <w:proofErr w:type="spellStart"/>
      <w:r w:rsidRPr="00190391">
        <w:rPr>
          <w:rFonts w:ascii="Garamond" w:hAnsi="Garamond" w:cs="Calibri"/>
          <w:color w:val="000000"/>
          <w:lang w:val="pt-PT"/>
        </w:rPr>
        <w:t>diretamente</w:t>
      </w:r>
      <w:proofErr w:type="spellEnd"/>
      <w:r w:rsidRPr="00190391">
        <w:rPr>
          <w:rFonts w:ascii="Garamond" w:hAnsi="Garamond" w:cs="Calibri"/>
          <w:color w:val="000000"/>
          <w:lang w:val="pt-PT"/>
        </w:rPr>
        <w:t xml:space="preserve"> sobre igualdade de género. O relatório da </w:t>
      </w:r>
      <w:r w:rsidRPr="00190391">
        <w:rPr>
          <w:rFonts w:ascii="Garamond" w:hAnsi="Garamond" w:cs="Calibri"/>
          <w:b/>
          <w:bCs/>
          <w:color w:val="000000"/>
          <w:lang w:val="pt-PT"/>
        </w:rPr>
        <w:t>Relatora Especial sobre Habitação Adequada</w:t>
      </w:r>
      <w:r w:rsidRPr="00190391">
        <w:rPr>
          <w:rFonts w:ascii="Garamond" w:hAnsi="Garamond" w:cs="Calibri"/>
          <w:color w:val="000000"/>
          <w:lang w:val="pt-PT"/>
        </w:rPr>
        <w:t xml:space="preserve">, no contexto do direito a um padrão adequado de vida e de bem-estar, que visitou Cabo Verde em 2015, também foca especificidades das questões de habitação para as mulheres, incluindo casas de abrigo em situações de </w:t>
      </w:r>
      <w:proofErr w:type="spellStart"/>
      <w:r w:rsidRPr="00190391">
        <w:rPr>
          <w:rFonts w:ascii="Garamond" w:hAnsi="Garamond" w:cs="Calibri"/>
          <w:color w:val="000000"/>
          <w:lang w:val="pt-PT"/>
        </w:rPr>
        <w:t>VBG</w:t>
      </w:r>
      <w:proofErr w:type="spellEnd"/>
      <w:r w:rsidRPr="00190391">
        <w:rPr>
          <w:rFonts w:ascii="Garamond" w:hAnsi="Garamond" w:cs="Calibri"/>
          <w:color w:val="000000"/>
          <w:lang w:val="pt-PT"/>
        </w:rPr>
        <w:t xml:space="preserve">. Por outro lado, Cabo Verde recebeu em </w:t>
      </w:r>
      <w:proofErr w:type="spellStart"/>
      <w:r w:rsidRPr="00190391">
        <w:rPr>
          <w:rFonts w:ascii="Garamond" w:hAnsi="Garamond" w:cs="Calibri"/>
          <w:color w:val="000000"/>
          <w:lang w:val="pt-PT"/>
        </w:rPr>
        <w:t>novembro</w:t>
      </w:r>
      <w:proofErr w:type="spellEnd"/>
      <w:r w:rsidRPr="00190391">
        <w:rPr>
          <w:rFonts w:ascii="Garamond" w:hAnsi="Garamond" w:cs="Calibri"/>
          <w:color w:val="000000"/>
          <w:lang w:val="pt-PT"/>
        </w:rPr>
        <w:t xml:space="preserve"> de 2018 a segunda visita de um </w:t>
      </w:r>
      <w:r w:rsidRPr="00190391">
        <w:rPr>
          <w:rFonts w:ascii="Garamond" w:hAnsi="Garamond" w:cs="Calibri"/>
          <w:b/>
          <w:bCs/>
          <w:color w:val="000000"/>
          <w:lang w:val="pt-PT"/>
        </w:rPr>
        <w:t>Relator Especial</w:t>
      </w:r>
      <w:r w:rsidRPr="00190391">
        <w:rPr>
          <w:rFonts w:ascii="Garamond" w:hAnsi="Garamond" w:cs="Calibri"/>
          <w:color w:val="000000"/>
          <w:lang w:val="pt-PT"/>
        </w:rPr>
        <w:t>, neste caso</w:t>
      </w:r>
      <w:r w:rsidRPr="00190391">
        <w:rPr>
          <w:rFonts w:ascii="Garamond" w:hAnsi="Garamond" w:cs="Calibri"/>
          <w:b/>
          <w:bCs/>
          <w:color w:val="000000"/>
          <w:lang w:val="pt-PT"/>
        </w:rPr>
        <w:t xml:space="preserve"> sobre o Direito ao Desenvolvimento</w:t>
      </w:r>
      <w:r w:rsidRPr="00190391">
        <w:rPr>
          <w:rFonts w:ascii="Garamond" w:hAnsi="Garamond" w:cs="Calibri"/>
          <w:color w:val="000000"/>
          <w:lang w:val="pt-PT"/>
        </w:rPr>
        <w:t xml:space="preserve">. As recomendações vinculativas recebidas por Cabo Verde (sobre as quais o país tem de fazer balanços periódicos), são tidas como referência no presente processo de planificação estratégica de </w:t>
      </w:r>
      <w:r w:rsidR="0007402E" w:rsidRPr="00190391">
        <w:rPr>
          <w:rFonts w:ascii="Garamond" w:hAnsi="Garamond" w:cs="Calibri"/>
          <w:color w:val="000000"/>
          <w:lang w:val="pt-PT"/>
        </w:rPr>
        <w:t>género</w:t>
      </w:r>
      <w:r w:rsidRPr="00190391">
        <w:rPr>
          <w:rFonts w:ascii="Garamond" w:hAnsi="Garamond" w:cs="Calibri"/>
          <w:color w:val="000000"/>
          <w:lang w:val="pt-PT"/>
        </w:rPr>
        <w:t xml:space="preserve">. </w:t>
      </w:r>
    </w:p>
    <w:p w14:paraId="55F2812C" w14:textId="77777777" w:rsidR="00F1265A" w:rsidRPr="00190391" w:rsidRDefault="00F1265A" w:rsidP="00F1265A">
      <w:pPr>
        <w:pStyle w:val="NormalWeb"/>
        <w:spacing w:before="0" w:beforeAutospacing="0" w:after="240" w:afterAutospacing="0"/>
        <w:jc w:val="both"/>
        <w:rPr>
          <w:rFonts w:ascii="Garamond" w:hAnsi="Garamond"/>
          <w:lang w:val="pt-PT"/>
        </w:rPr>
      </w:pPr>
      <w:r w:rsidRPr="00190391">
        <w:rPr>
          <w:rFonts w:ascii="Garamond" w:hAnsi="Garamond" w:cs="Calibri"/>
          <w:color w:val="000000"/>
          <w:lang w:val="pt-PT"/>
        </w:rPr>
        <w:t xml:space="preserve">Em termos de instrumentos de direitos humanos regionais, Cabo Verde ratificou o Protocolo à </w:t>
      </w:r>
      <w:r w:rsidRPr="00190391">
        <w:rPr>
          <w:rFonts w:ascii="Garamond" w:hAnsi="Garamond" w:cs="Calibri"/>
          <w:b/>
          <w:bCs/>
          <w:color w:val="000000"/>
          <w:lang w:val="pt-PT"/>
        </w:rPr>
        <w:t>Carta Africana dos Direitos Humanos e dos Povos sobre os Direitos das Mulheres em África</w:t>
      </w:r>
      <w:r w:rsidRPr="00190391">
        <w:rPr>
          <w:rFonts w:ascii="Garamond" w:hAnsi="Garamond" w:cs="Calibri"/>
          <w:color w:val="000000"/>
          <w:lang w:val="pt-PT"/>
        </w:rPr>
        <w:t xml:space="preserve"> (Protocolo de Maputo). </w:t>
      </w:r>
    </w:p>
    <w:p w14:paraId="53526800" w14:textId="77777777" w:rsidR="00F1265A" w:rsidRPr="00190391" w:rsidRDefault="00F1265A" w:rsidP="00F1265A">
      <w:pPr>
        <w:rPr>
          <w:rFonts w:ascii="Garamond" w:hAnsi="Garamond"/>
          <w:lang w:val="pt-PT"/>
        </w:rPr>
      </w:pPr>
      <w:r w:rsidRPr="00190391">
        <w:rPr>
          <w:rFonts w:ascii="Garamond" w:hAnsi="Garamond" w:cs="Calibri"/>
          <w:color w:val="000000"/>
          <w:lang w:val="pt-PT"/>
        </w:rPr>
        <w:t xml:space="preserve">Em termos de acordos internacionais, Cabo Verde firmou o </w:t>
      </w:r>
      <w:r w:rsidRPr="00190391">
        <w:rPr>
          <w:rFonts w:ascii="Garamond" w:hAnsi="Garamond" w:cs="Calibri"/>
          <w:b/>
          <w:bCs/>
          <w:color w:val="000000"/>
          <w:lang w:val="pt-PT"/>
        </w:rPr>
        <w:t xml:space="preserve">Programa de </w:t>
      </w:r>
      <w:proofErr w:type="spellStart"/>
      <w:r w:rsidRPr="00190391">
        <w:rPr>
          <w:rFonts w:ascii="Garamond" w:hAnsi="Garamond" w:cs="Calibri"/>
          <w:b/>
          <w:bCs/>
          <w:color w:val="000000"/>
          <w:lang w:val="pt-PT"/>
        </w:rPr>
        <w:t>Ação</w:t>
      </w:r>
      <w:proofErr w:type="spellEnd"/>
      <w:r w:rsidRPr="00190391">
        <w:rPr>
          <w:rFonts w:ascii="Garamond" w:hAnsi="Garamond" w:cs="Calibri"/>
          <w:b/>
          <w:bCs/>
          <w:color w:val="000000"/>
          <w:lang w:val="pt-PT"/>
        </w:rPr>
        <w:t xml:space="preserve"> da </w:t>
      </w:r>
      <w:proofErr w:type="spellStart"/>
      <w:r w:rsidRPr="00190391">
        <w:rPr>
          <w:rFonts w:ascii="Garamond" w:hAnsi="Garamond" w:cs="Calibri"/>
          <w:b/>
          <w:bCs/>
          <w:color w:val="000000"/>
          <w:lang w:val="pt-PT"/>
        </w:rPr>
        <w:t>CIPD</w:t>
      </w:r>
      <w:proofErr w:type="spellEnd"/>
      <w:r w:rsidRPr="00190391">
        <w:rPr>
          <w:rFonts w:ascii="Garamond" w:hAnsi="Garamond" w:cs="Calibri"/>
          <w:color w:val="000000"/>
          <w:lang w:val="pt-PT"/>
        </w:rPr>
        <w:t xml:space="preserve"> e a </w:t>
      </w:r>
      <w:r w:rsidRPr="00190391">
        <w:rPr>
          <w:rFonts w:ascii="Garamond" w:hAnsi="Garamond" w:cs="Calibri"/>
          <w:b/>
          <w:bCs/>
          <w:color w:val="000000"/>
          <w:lang w:val="pt-PT"/>
        </w:rPr>
        <w:t xml:space="preserve">Declaração e Plataforma de </w:t>
      </w:r>
      <w:proofErr w:type="spellStart"/>
      <w:r w:rsidRPr="00190391">
        <w:rPr>
          <w:rFonts w:ascii="Garamond" w:hAnsi="Garamond" w:cs="Calibri"/>
          <w:b/>
          <w:bCs/>
          <w:color w:val="000000"/>
          <w:lang w:val="pt-PT"/>
        </w:rPr>
        <w:t>Ação</w:t>
      </w:r>
      <w:proofErr w:type="spellEnd"/>
      <w:r w:rsidRPr="00190391">
        <w:rPr>
          <w:rFonts w:ascii="Garamond" w:hAnsi="Garamond" w:cs="Calibri"/>
          <w:b/>
          <w:bCs/>
          <w:color w:val="000000"/>
          <w:lang w:val="pt-PT"/>
        </w:rPr>
        <w:t xml:space="preserve"> de </w:t>
      </w:r>
      <w:proofErr w:type="spellStart"/>
      <w:r w:rsidRPr="00190391">
        <w:rPr>
          <w:rFonts w:ascii="Garamond" w:hAnsi="Garamond" w:cs="Calibri"/>
          <w:b/>
          <w:bCs/>
          <w:color w:val="000000"/>
          <w:lang w:val="pt-PT"/>
        </w:rPr>
        <w:t>Beijing</w:t>
      </w:r>
      <w:proofErr w:type="spellEnd"/>
      <w:r w:rsidRPr="00190391">
        <w:rPr>
          <w:rFonts w:ascii="Garamond" w:hAnsi="Garamond" w:cs="Calibri"/>
          <w:color w:val="000000"/>
          <w:lang w:val="pt-PT"/>
        </w:rPr>
        <w:t xml:space="preserve">, sendo que ambos celebram 25 anos em breve (em 2019 no caso da ICPD+25, e 2020 no caso de Beijing+25). Adicionalmente, e como se </w:t>
      </w:r>
      <w:proofErr w:type="spellStart"/>
      <w:r w:rsidRPr="00190391">
        <w:rPr>
          <w:rFonts w:ascii="Garamond" w:hAnsi="Garamond" w:cs="Calibri"/>
          <w:color w:val="000000"/>
          <w:lang w:val="pt-PT"/>
        </w:rPr>
        <w:t>ve</w:t>
      </w:r>
      <w:proofErr w:type="spellEnd"/>
      <w:r w:rsidRPr="00190391">
        <w:rPr>
          <w:rFonts w:ascii="Garamond" w:hAnsi="Garamond" w:cs="Calibri"/>
          <w:color w:val="000000"/>
          <w:lang w:val="pt-PT"/>
        </w:rPr>
        <w:t xml:space="preserve"> mais em detalhe a seguir, Cabo Verde é signatário da </w:t>
      </w:r>
      <w:r w:rsidRPr="00190391">
        <w:rPr>
          <w:rFonts w:ascii="Garamond" w:hAnsi="Garamond" w:cs="Calibri"/>
          <w:b/>
          <w:bCs/>
          <w:color w:val="000000"/>
          <w:lang w:val="pt-PT"/>
        </w:rPr>
        <w:t>Agenda 2030 para o desenvolvimento sustentável</w:t>
      </w:r>
      <w:r w:rsidRPr="00190391">
        <w:rPr>
          <w:rFonts w:ascii="Garamond" w:hAnsi="Garamond" w:cs="Calibri"/>
          <w:color w:val="000000"/>
          <w:lang w:val="pt-PT"/>
        </w:rPr>
        <w:t xml:space="preserve">, sendo ainda relevante para o país o </w:t>
      </w:r>
      <w:r w:rsidRPr="00190391">
        <w:rPr>
          <w:rFonts w:ascii="Garamond" w:hAnsi="Garamond" w:cs="Calibri"/>
          <w:i/>
          <w:iCs/>
          <w:color w:val="000000"/>
          <w:lang w:val="pt-PT"/>
        </w:rPr>
        <w:t xml:space="preserve">Samoa </w:t>
      </w:r>
      <w:proofErr w:type="spellStart"/>
      <w:r w:rsidRPr="00190391">
        <w:rPr>
          <w:rFonts w:ascii="Garamond" w:hAnsi="Garamond" w:cs="Calibri"/>
          <w:i/>
          <w:iCs/>
          <w:color w:val="000000"/>
          <w:lang w:val="pt-PT"/>
        </w:rPr>
        <w:t>Pathway</w:t>
      </w:r>
      <w:proofErr w:type="spellEnd"/>
      <w:r w:rsidRPr="00190391">
        <w:rPr>
          <w:rFonts w:ascii="Garamond" w:hAnsi="Garamond" w:cs="Calibri"/>
          <w:color w:val="000000"/>
          <w:lang w:val="pt-PT"/>
        </w:rPr>
        <w:t xml:space="preserve">, e a Agenda Africana 2063. </w:t>
      </w:r>
    </w:p>
    <w:p w14:paraId="1B6C9AE0" w14:textId="77777777" w:rsidR="00F1265A" w:rsidRDefault="00F1265A" w:rsidP="00F1265A">
      <w:pPr>
        <w:spacing w:line="360" w:lineRule="auto"/>
        <w:contextualSpacing/>
        <w:jc w:val="both"/>
        <w:rPr>
          <w:rFonts w:ascii="Garamond" w:hAnsi="Garamond" w:cs="Calibri"/>
          <w:b/>
          <w:color w:val="141414"/>
          <w:lang w:val="pt-PT"/>
        </w:rPr>
      </w:pPr>
      <w:r>
        <w:rPr>
          <w:rFonts w:ascii="Garamond" w:hAnsi="Garamond" w:cs="Calibri"/>
          <w:b/>
          <w:color w:val="141414"/>
          <w:lang w:val="pt-PT"/>
        </w:rPr>
        <w:t xml:space="preserve"> </w:t>
      </w:r>
    </w:p>
    <w:p w14:paraId="307E32CE" w14:textId="77777777" w:rsidR="00F1265A" w:rsidRPr="00F04B19" w:rsidRDefault="00F1265A" w:rsidP="004D1917">
      <w:pPr>
        <w:contextualSpacing/>
        <w:jc w:val="both"/>
        <w:rPr>
          <w:rFonts w:ascii="Garamond" w:hAnsi="Garamond" w:cs="Calibri"/>
          <w:b/>
          <w:color w:val="141414"/>
          <w:lang w:val="pt-PT"/>
        </w:rPr>
      </w:pPr>
      <w:r>
        <w:rPr>
          <w:rFonts w:ascii="Garamond" w:hAnsi="Garamond" w:cs="Calibri"/>
          <w:b/>
          <w:color w:val="141414"/>
          <w:lang w:val="pt-PT"/>
        </w:rPr>
        <w:t xml:space="preserve">Agenda 2030 dos </w:t>
      </w:r>
      <w:proofErr w:type="spellStart"/>
      <w:r w:rsidRPr="00F04B19">
        <w:rPr>
          <w:rFonts w:ascii="Garamond" w:hAnsi="Garamond" w:cs="Calibri"/>
          <w:b/>
          <w:color w:val="141414"/>
          <w:lang w:val="pt-PT"/>
        </w:rPr>
        <w:t>Objetivos</w:t>
      </w:r>
      <w:proofErr w:type="spellEnd"/>
      <w:r w:rsidRPr="00F04B19">
        <w:rPr>
          <w:rFonts w:ascii="Garamond" w:hAnsi="Garamond" w:cs="Calibri"/>
          <w:b/>
          <w:color w:val="141414"/>
          <w:lang w:val="pt-PT"/>
        </w:rPr>
        <w:t xml:space="preserve"> de Desenvolvimento Sustentáve</w:t>
      </w:r>
      <w:r>
        <w:rPr>
          <w:rFonts w:ascii="Garamond" w:hAnsi="Garamond" w:cs="Calibri"/>
          <w:b/>
          <w:color w:val="141414"/>
          <w:lang w:val="pt-PT"/>
        </w:rPr>
        <w:t>l</w:t>
      </w:r>
    </w:p>
    <w:p w14:paraId="746FE1D9" w14:textId="77777777" w:rsidR="00F1265A" w:rsidRDefault="00F1265A" w:rsidP="004D1917">
      <w:pPr>
        <w:pStyle w:val="NormalWeb"/>
        <w:spacing w:before="0" w:beforeAutospacing="0" w:after="0" w:afterAutospacing="0"/>
        <w:jc w:val="both"/>
        <w:rPr>
          <w:rFonts w:ascii="Garamond" w:hAnsi="Garamond" w:cs="DaunPenh"/>
          <w:lang w:val="pt-PT"/>
        </w:rPr>
      </w:pPr>
      <w:r w:rsidRPr="001C4F13">
        <w:rPr>
          <w:rFonts w:ascii="Garamond" w:hAnsi="Garamond"/>
          <w:lang w:val="pt-PT"/>
        </w:rPr>
        <w:t>Cabo Verde é signatário da Agenda</w:t>
      </w:r>
      <w:r>
        <w:rPr>
          <w:rFonts w:ascii="Garamond" w:hAnsi="Garamond"/>
          <w:lang w:val="pt-PT"/>
        </w:rPr>
        <w:t xml:space="preserve"> </w:t>
      </w:r>
      <w:r w:rsidRPr="001C4F13">
        <w:rPr>
          <w:rFonts w:ascii="Garamond" w:hAnsi="Garamond"/>
          <w:lang w:val="pt-PT"/>
        </w:rPr>
        <w:t>2030 para o desenvolvimento sustentável</w:t>
      </w:r>
      <w:r>
        <w:rPr>
          <w:rFonts w:ascii="Garamond" w:hAnsi="Garamond"/>
          <w:lang w:val="pt-PT"/>
        </w:rPr>
        <w:t>.</w:t>
      </w:r>
      <w:r w:rsidRPr="00E66917">
        <w:rPr>
          <w:lang w:val="pt-PT"/>
        </w:rPr>
        <w:t xml:space="preserve"> </w:t>
      </w:r>
      <w:r w:rsidRPr="00EF718A">
        <w:rPr>
          <w:rFonts w:ascii="Garamond" w:hAnsi="Garamond" w:cs="DaunPenh"/>
          <w:lang w:val="pt-PT"/>
        </w:rPr>
        <w:t xml:space="preserve">A consecução dos </w:t>
      </w:r>
      <w:proofErr w:type="spellStart"/>
      <w:r w:rsidRPr="00EF718A">
        <w:rPr>
          <w:rFonts w:ascii="Garamond" w:hAnsi="Garamond" w:cs="DaunPenh"/>
          <w:lang w:val="pt-PT"/>
        </w:rPr>
        <w:t>ODS</w:t>
      </w:r>
      <w:proofErr w:type="spellEnd"/>
      <w:r w:rsidRPr="00EF718A">
        <w:rPr>
          <w:rFonts w:ascii="Garamond" w:hAnsi="Garamond" w:cs="DaunPenh"/>
          <w:lang w:val="pt-PT"/>
        </w:rPr>
        <w:t xml:space="preserve"> esta baseada no princípio de parceria global e na </w:t>
      </w:r>
      <w:r>
        <w:rPr>
          <w:rFonts w:ascii="Garamond" w:hAnsi="Garamond" w:cs="DaunPenh"/>
          <w:lang w:val="pt-PT"/>
        </w:rPr>
        <w:t xml:space="preserve">construção </w:t>
      </w:r>
      <w:r w:rsidRPr="00EF718A">
        <w:rPr>
          <w:rFonts w:ascii="Garamond" w:hAnsi="Garamond" w:cs="DaunPenh"/>
          <w:lang w:val="pt-PT"/>
        </w:rPr>
        <w:t>de “</w:t>
      </w:r>
      <w:r w:rsidRPr="00EF718A">
        <w:rPr>
          <w:rFonts w:ascii="Garamond" w:hAnsi="Garamond" w:cs="DaunPenh"/>
          <w:i/>
          <w:lang w:val="pt-PT"/>
        </w:rPr>
        <w:t xml:space="preserve">um mundo de respeito universal </w:t>
      </w:r>
      <w:proofErr w:type="spellStart"/>
      <w:r w:rsidRPr="00EF718A">
        <w:rPr>
          <w:rFonts w:ascii="Garamond" w:hAnsi="Garamond" w:cs="DaunPenh"/>
          <w:i/>
          <w:lang w:val="pt-PT"/>
        </w:rPr>
        <w:t>pela</w:t>
      </w:r>
      <w:proofErr w:type="spellEnd"/>
      <w:r w:rsidRPr="00EF718A">
        <w:rPr>
          <w:rFonts w:ascii="Garamond" w:hAnsi="Garamond" w:cs="DaunPenh"/>
          <w:i/>
          <w:lang w:val="pt-PT"/>
        </w:rPr>
        <w:t xml:space="preserve"> pessoa e dignidade humana, </w:t>
      </w:r>
      <w:proofErr w:type="spellStart"/>
      <w:r w:rsidRPr="00EF718A">
        <w:rPr>
          <w:rFonts w:ascii="Garamond" w:hAnsi="Garamond" w:cs="DaunPenh"/>
          <w:i/>
          <w:lang w:val="pt-PT"/>
        </w:rPr>
        <w:t>pelo</w:t>
      </w:r>
      <w:proofErr w:type="spellEnd"/>
      <w:r w:rsidRPr="00EF718A">
        <w:rPr>
          <w:rFonts w:ascii="Garamond" w:hAnsi="Garamond" w:cs="DaunPenh"/>
          <w:i/>
          <w:lang w:val="pt-PT"/>
        </w:rPr>
        <w:t xml:space="preserve"> estado de Direito, </w:t>
      </w:r>
      <w:proofErr w:type="spellStart"/>
      <w:r w:rsidRPr="00EF718A">
        <w:rPr>
          <w:rFonts w:ascii="Garamond" w:hAnsi="Garamond" w:cs="DaunPenh"/>
          <w:i/>
          <w:lang w:val="pt-PT"/>
        </w:rPr>
        <w:t>pela</w:t>
      </w:r>
      <w:proofErr w:type="spellEnd"/>
      <w:r w:rsidRPr="00EF718A">
        <w:rPr>
          <w:rFonts w:ascii="Garamond" w:hAnsi="Garamond" w:cs="DaunPenh"/>
          <w:i/>
          <w:lang w:val="pt-PT"/>
        </w:rPr>
        <w:t xml:space="preserve"> justiç</w:t>
      </w:r>
      <w:r w:rsidRPr="00EF718A">
        <w:rPr>
          <w:i/>
          <w:lang w:val="pt-PT"/>
        </w:rPr>
        <w:t>a</w:t>
      </w:r>
      <w:r w:rsidRPr="00EF718A">
        <w:rPr>
          <w:rFonts w:ascii="Garamond" w:hAnsi="Garamond" w:cs="DaunPenh"/>
          <w:i/>
          <w:lang w:val="pt-PT"/>
        </w:rPr>
        <w:t xml:space="preserve">, </w:t>
      </w:r>
      <w:proofErr w:type="spellStart"/>
      <w:r w:rsidRPr="00EF718A">
        <w:rPr>
          <w:rFonts w:ascii="Garamond" w:hAnsi="Garamond" w:cs="DaunPenh"/>
          <w:i/>
          <w:lang w:val="pt-PT"/>
        </w:rPr>
        <w:t>pela</w:t>
      </w:r>
      <w:proofErr w:type="spellEnd"/>
      <w:r w:rsidRPr="00EF718A">
        <w:rPr>
          <w:rFonts w:ascii="Garamond" w:hAnsi="Garamond" w:cs="DaunPenh"/>
          <w:i/>
          <w:lang w:val="pt-PT"/>
        </w:rPr>
        <w:t xml:space="preserve"> igualdade e </w:t>
      </w:r>
      <w:r>
        <w:rPr>
          <w:rFonts w:ascii="Garamond" w:hAnsi="Garamond" w:cs="DaunPenh"/>
          <w:i/>
          <w:lang w:val="pt-PT"/>
        </w:rPr>
        <w:t>não discriminação</w:t>
      </w:r>
      <w:r w:rsidRPr="00EF718A">
        <w:rPr>
          <w:rFonts w:ascii="Garamond" w:hAnsi="Garamond" w:cs="DaunPenh"/>
          <w:i/>
          <w:lang w:val="pt-PT"/>
        </w:rPr>
        <w:t xml:space="preserve">, </w:t>
      </w:r>
      <w:proofErr w:type="spellStart"/>
      <w:r w:rsidRPr="00EF718A">
        <w:rPr>
          <w:rFonts w:ascii="Garamond" w:hAnsi="Garamond" w:cs="DaunPenh"/>
          <w:i/>
          <w:lang w:val="pt-PT"/>
        </w:rPr>
        <w:t>pelo</w:t>
      </w:r>
      <w:proofErr w:type="spellEnd"/>
      <w:r w:rsidRPr="00EF718A">
        <w:rPr>
          <w:rFonts w:ascii="Garamond" w:hAnsi="Garamond" w:cs="DaunPenh"/>
          <w:i/>
          <w:lang w:val="pt-PT"/>
        </w:rPr>
        <w:t xml:space="preserve"> respeito da </w:t>
      </w:r>
      <w:r>
        <w:rPr>
          <w:rFonts w:ascii="Garamond" w:hAnsi="Garamond" w:cs="DaunPenh"/>
          <w:i/>
          <w:lang w:val="pt-PT"/>
        </w:rPr>
        <w:t>raça</w:t>
      </w:r>
      <w:r w:rsidRPr="00EF718A">
        <w:rPr>
          <w:rFonts w:ascii="Garamond" w:hAnsi="Garamond" w:cs="DaunPenh"/>
          <w:i/>
          <w:lang w:val="pt-PT"/>
        </w:rPr>
        <w:t xml:space="preserve">, etnia e diversidade cultural, </w:t>
      </w:r>
      <w:proofErr w:type="spellStart"/>
      <w:r w:rsidRPr="00EF718A">
        <w:rPr>
          <w:rFonts w:ascii="Garamond" w:hAnsi="Garamond" w:cs="DaunPenh"/>
          <w:i/>
          <w:lang w:val="pt-PT"/>
        </w:rPr>
        <w:t>pela</w:t>
      </w:r>
      <w:proofErr w:type="spellEnd"/>
      <w:r w:rsidRPr="00EF718A">
        <w:rPr>
          <w:rFonts w:ascii="Garamond" w:hAnsi="Garamond" w:cs="DaunPenh"/>
          <w:i/>
          <w:lang w:val="pt-PT"/>
        </w:rPr>
        <w:t xml:space="preserve"> igualdade de oportunidade permitindo a </w:t>
      </w:r>
      <w:r>
        <w:rPr>
          <w:rFonts w:ascii="Garamond" w:hAnsi="Garamond" w:cs="DaunPenh"/>
          <w:i/>
          <w:lang w:val="pt-PT"/>
        </w:rPr>
        <w:t xml:space="preserve">realização </w:t>
      </w:r>
      <w:proofErr w:type="spellStart"/>
      <w:r w:rsidRPr="00EF718A">
        <w:rPr>
          <w:rFonts w:ascii="Garamond" w:hAnsi="Garamond" w:cs="DaunPenh"/>
          <w:i/>
          <w:lang w:val="pt-PT"/>
        </w:rPr>
        <w:t>efetiva</w:t>
      </w:r>
      <w:proofErr w:type="spellEnd"/>
      <w:r w:rsidRPr="00EF718A">
        <w:rPr>
          <w:rFonts w:ascii="Garamond" w:hAnsi="Garamond" w:cs="DaunPenh"/>
          <w:i/>
          <w:lang w:val="pt-PT"/>
        </w:rPr>
        <w:t xml:space="preserve"> do potencial humano e </w:t>
      </w:r>
      <w:r>
        <w:rPr>
          <w:rFonts w:ascii="Garamond" w:hAnsi="Garamond" w:cs="DaunPenh"/>
          <w:i/>
          <w:lang w:val="pt-PT"/>
        </w:rPr>
        <w:t xml:space="preserve">contribuição </w:t>
      </w:r>
      <w:r w:rsidRPr="00EF718A">
        <w:rPr>
          <w:rFonts w:ascii="Garamond" w:hAnsi="Garamond" w:cs="DaunPenh"/>
          <w:i/>
          <w:lang w:val="pt-PT"/>
        </w:rPr>
        <w:t xml:space="preserve">para a prosperidade. Um mundo que invista nas suas </w:t>
      </w:r>
      <w:r>
        <w:rPr>
          <w:rFonts w:ascii="Garamond" w:hAnsi="Garamond" w:cs="DaunPenh"/>
          <w:i/>
          <w:lang w:val="pt-PT"/>
        </w:rPr>
        <w:t xml:space="preserve">crianças </w:t>
      </w:r>
      <w:r w:rsidRPr="00EF718A">
        <w:rPr>
          <w:rFonts w:ascii="Garamond" w:hAnsi="Garamond" w:cs="DaunPenh"/>
          <w:i/>
          <w:lang w:val="pt-PT"/>
        </w:rPr>
        <w:t>e onde todas as crianç</w:t>
      </w:r>
      <w:r>
        <w:rPr>
          <w:rFonts w:ascii="Garamond" w:hAnsi="Garamond" w:cs="DaunPenh"/>
          <w:i/>
          <w:lang w:val="pt-PT"/>
        </w:rPr>
        <w:t xml:space="preserve">as </w:t>
      </w:r>
      <w:r w:rsidRPr="00EF718A">
        <w:rPr>
          <w:rFonts w:ascii="Garamond" w:hAnsi="Garamond" w:cs="DaunPenh"/>
          <w:i/>
          <w:lang w:val="pt-PT"/>
        </w:rPr>
        <w:t>cres</w:t>
      </w:r>
      <w:r>
        <w:rPr>
          <w:rFonts w:ascii="Garamond" w:hAnsi="Garamond" w:cs="DaunPenh"/>
          <w:i/>
          <w:lang w:val="pt-PT"/>
        </w:rPr>
        <w:t xml:space="preserve">çam </w:t>
      </w:r>
      <w:r w:rsidRPr="00EF718A">
        <w:rPr>
          <w:rFonts w:ascii="Garamond" w:hAnsi="Garamond" w:cs="DaunPenh"/>
          <w:i/>
          <w:lang w:val="pt-PT"/>
        </w:rPr>
        <w:t xml:space="preserve">livres da </w:t>
      </w:r>
      <w:r>
        <w:rPr>
          <w:rFonts w:ascii="Garamond" w:hAnsi="Garamond" w:cs="DaunPenh"/>
          <w:i/>
          <w:lang w:val="pt-PT"/>
        </w:rPr>
        <w:t xml:space="preserve">violência </w:t>
      </w:r>
      <w:r w:rsidRPr="00EF718A">
        <w:rPr>
          <w:rFonts w:ascii="Garamond" w:hAnsi="Garamond" w:cs="DaunPenh"/>
          <w:i/>
          <w:lang w:val="pt-PT"/>
        </w:rPr>
        <w:t>e d</w:t>
      </w:r>
      <w:r>
        <w:rPr>
          <w:rFonts w:ascii="Garamond" w:hAnsi="Garamond" w:cs="DaunPenh"/>
          <w:i/>
          <w:lang w:val="pt-PT"/>
        </w:rPr>
        <w:t xml:space="preserve">e exploração. </w:t>
      </w:r>
      <w:r w:rsidRPr="00EF718A">
        <w:rPr>
          <w:rFonts w:ascii="Garamond" w:hAnsi="Garamond" w:cs="DaunPenh"/>
          <w:i/>
          <w:lang w:val="pt-PT"/>
        </w:rPr>
        <w:t xml:space="preserve">Um mundo onde todas as mulheres e meninas gozem da igualdade de </w:t>
      </w:r>
      <w:r>
        <w:rPr>
          <w:rFonts w:ascii="Garamond" w:hAnsi="Garamond" w:cs="DaunPenh"/>
          <w:i/>
          <w:lang w:val="pt-PT"/>
        </w:rPr>
        <w:t xml:space="preserve">género </w:t>
      </w:r>
      <w:r w:rsidRPr="00EF718A">
        <w:rPr>
          <w:rFonts w:ascii="Garamond" w:hAnsi="Garamond" w:cs="DaunPenh"/>
          <w:i/>
          <w:lang w:val="pt-PT"/>
        </w:rPr>
        <w:t>e onde todas as barreiras legais, sociais e</w:t>
      </w:r>
      <w:r>
        <w:rPr>
          <w:rFonts w:ascii="Garamond" w:hAnsi="Garamond" w:cs="DaunPenh"/>
          <w:i/>
          <w:lang w:val="pt-PT"/>
        </w:rPr>
        <w:t xml:space="preserve"> económicas </w:t>
      </w:r>
      <w:r w:rsidRPr="00EF718A">
        <w:rPr>
          <w:rFonts w:ascii="Garamond" w:hAnsi="Garamond" w:cs="DaunPenh"/>
          <w:i/>
          <w:lang w:val="pt-PT"/>
        </w:rPr>
        <w:t>para o seu empoderamento sejam removidas. Um mundo justo, equitativo, tolerante, aberto e socialmente inclusiv</w:t>
      </w:r>
      <w:r>
        <w:rPr>
          <w:rFonts w:ascii="Garamond" w:hAnsi="Garamond" w:cs="DaunPenh"/>
          <w:i/>
          <w:lang w:val="pt-PT"/>
        </w:rPr>
        <w:t>o</w:t>
      </w:r>
      <w:r w:rsidRPr="00EF718A">
        <w:rPr>
          <w:rFonts w:ascii="Garamond" w:hAnsi="Garamond" w:cs="DaunPenh"/>
          <w:i/>
          <w:lang w:val="pt-PT"/>
        </w:rPr>
        <w:t xml:space="preserve">, onde as necessidades dos mais </w:t>
      </w:r>
      <w:r>
        <w:rPr>
          <w:rFonts w:ascii="Garamond" w:hAnsi="Garamond" w:cs="DaunPenh"/>
          <w:i/>
          <w:lang w:val="pt-PT"/>
        </w:rPr>
        <w:t>vulneráveis são a</w:t>
      </w:r>
      <w:r w:rsidRPr="00EF718A">
        <w:rPr>
          <w:rFonts w:ascii="Garamond" w:hAnsi="Garamond" w:cs="DaunPenh"/>
          <w:i/>
          <w:lang w:val="pt-PT"/>
        </w:rPr>
        <w:t>tendidas</w:t>
      </w:r>
      <w:r>
        <w:rPr>
          <w:rFonts w:ascii="Garamond" w:hAnsi="Garamond" w:cs="DaunPenh"/>
          <w:lang w:val="pt-PT"/>
        </w:rPr>
        <w:t>”.</w:t>
      </w:r>
    </w:p>
    <w:p w14:paraId="033839F2" w14:textId="375B8229" w:rsidR="00F1265A" w:rsidRPr="004B5224" w:rsidRDefault="00F1265A" w:rsidP="00F1265A">
      <w:pPr>
        <w:pStyle w:val="NormalWeb"/>
        <w:jc w:val="both"/>
        <w:rPr>
          <w:lang w:val="pt-PT"/>
        </w:rPr>
      </w:pPr>
      <w:r w:rsidRPr="00B962F7">
        <w:rPr>
          <w:rFonts w:ascii="Garamond" w:hAnsi="Garamond"/>
          <w:lang w:val="pt-PT"/>
        </w:rPr>
        <w:t>A igualdade de género e o empoderamento das mulheres e meninas é amplamente reconhecido como uma condição prévia à realização da Agenda de Desenvolvimento Sustentável até 2030</w:t>
      </w:r>
      <w:r>
        <w:rPr>
          <w:rFonts w:ascii="Garamond" w:hAnsi="Garamond"/>
          <w:lang w:val="pt-PT"/>
        </w:rPr>
        <w:t>.</w:t>
      </w:r>
      <w:r w:rsidRPr="00B962F7">
        <w:rPr>
          <w:rFonts w:ascii="Garamond" w:hAnsi="Garamond" w:cs="Times"/>
          <w:shd w:val="clear" w:color="auto" w:fill="FFFFFF"/>
          <w:lang w:val="pt-PT"/>
        </w:rPr>
        <w:t xml:space="preserve"> É um </w:t>
      </w:r>
      <w:proofErr w:type="spellStart"/>
      <w:r w:rsidRPr="00B962F7">
        <w:rPr>
          <w:rFonts w:ascii="Garamond" w:hAnsi="Garamond" w:cs="Times"/>
          <w:shd w:val="clear" w:color="auto" w:fill="FFFFFF"/>
          <w:lang w:val="pt-PT"/>
        </w:rPr>
        <w:t>fator</w:t>
      </w:r>
      <w:proofErr w:type="spellEnd"/>
      <w:r w:rsidRPr="00B962F7">
        <w:rPr>
          <w:rFonts w:ascii="Garamond" w:hAnsi="Garamond" w:cs="Times"/>
          <w:shd w:val="clear" w:color="auto" w:fill="FFFFFF"/>
          <w:lang w:val="pt-PT"/>
        </w:rPr>
        <w:t xml:space="preserve"> crucial e decisivo para o sucesso da implementação da agenda global de desenvolvimento e a não responsabilização perante questões de género, poderá pôr em causa o alcance dos compromissos estabelecidos com a humanidade.</w:t>
      </w:r>
      <w:r w:rsidRPr="00E66917">
        <w:rPr>
          <w:rFonts w:ascii="Garamond" w:hAnsi="Garamond"/>
          <w:lang w:val="pt-PT"/>
        </w:rPr>
        <w:t xml:space="preserve"> </w:t>
      </w:r>
      <w:r>
        <w:rPr>
          <w:rFonts w:ascii="Garamond" w:hAnsi="Garamond"/>
          <w:lang w:val="pt-PT"/>
        </w:rPr>
        <w:t xml:space="preserve">Para alem do </w:t>
      </w:r>
      <w:proofErr w:type="spellStart"/>
      <w:r>
        <w:rPr>
          <w:rFonts w:ascii="Garamond" w:hAnsi="Garamond"/>
          <w:lang w:val="pt-PT"/>
        </w:rPr>
        <w:t>Objetivo</w:t>
      </w:r>
      <w:proofErr w:type="spellEnd"/>
      <w:r>
        <w:rPr>
          <w:rFonts w:ascii="Garamond" w:hAnsi="Garamond"/>
          <w:lang w:val="pt-PT"/>
        </w:rPr>
        <w:t xml:space="preserve"> espec</w:t>
      </w:r>
      <w:r w:rsidR="004D1917">
        <w:rPr>
          <w:rFonts w:ascii="Garamond" w:hAnsi="Garamond"/>
          <w:lang w:val="pt-PT"/>
        </w:rPr>
        <w:t>í</w:t>
      </w:r>
      <w:r>
        <w:rPr>
          <w:rFonts w:ascii="Garamond" w:hAnsi="Garamond"/>
          <w:lang w:val="pt-PT"/>
        </w:rPr>
        <w:t xml:space="preserve">fico de género, </w:t>
      </w:r>
      <w:proofErr w:type="spellStart"/>
      <w:r>
        <w:rPr>
          <w:rFonts w:ascii="Garamond" w:hAnsi="Garamond"/>
          <w:lang w:val="pt-PT"/>
        </w:rPr>
        <w:t>ODS</w:t>
      </w:r>
      <w:proofErr w:type="spellEnd"/>
      <w:r>
        <w:rPr>
          <w:rFonts w:ascii="Garamond" w:hAnsi="Garamond"/>
          <w:lang w:val="pt-PT"/>
        </w:rPr>
        <w:t xml:space="preserve"> 5, </w:t>
      </w:r>
      <w:r w:rsidRPr="00E66917">
        <w:rPr>
          <w:rFonts w:ascii="Garamond" w:hAnsi="Garamond"/>
          <w:i/>
          <w:lang w:val="pt-PT"/>
        </w:rPr>
        <w:t>Alcançar a Igualdade de Género e Empoderar as Mulheres e Meninas</w:t>
      </w:r>
      <w:r>
        <w:rPr>
          <w:rFonts w:ascii="Garamond" w:hAnsi="Garamond"/>
          <w:lang w:val="pt-PT"/>
        </w:rPr>
        <w:t>, a a</w:t>
      </w:r>
      <w:r w:rsidRPr="00B962F7">
        <w:rPr>
          <w:rFonts w:ascii="Garamond" w:hAnsi="Garamond"/>
          <w:lang w:val="pt-PT"/>
        </w:rPr>
        <w:t xml:space="preserve">genda </w:t>
      </w:r>
      <w:r>
        <w:rPr>
          <w:rFonts w:ascii="Garamond" w:hAnsi="Garamond"/>
          <w:lang w:val="pt-PT"/>
        </w:rPr>
        <w:t>gl</w:t>
      </w:r>
      <w:r w:rsidRPr="00B962F7">
        <w:rPr>
          <w:rFonts w:ascii="Garamond" w:hAnsi="Garamond"/>
          <w:lang w:val="pt-PT"/>
        </w:rPr>
        <w:t xml:space="preserve">obal de </w:t>
      </w:r>
      <w:r>
        <w:rPr>
          <w:rFonts w:ascii="Garamond" w:hAnsi="Garamond"/>
          <w:lang w:val="pt-PT"/>
        </w:rPr>
        <w:t>d</w:t>
      </w:r>
      <w:r w:rsidRPr="00B962F7">
        <w:rPr>
          <w:rFonts w:ascii="Garamond" w:hAnsi="Garamond"/>
          <w:lang w:val="pt-PT"/>
        </w:rPr>
        <w:t xml:space="preserve">esenvolvimento </w:t>
      </w:r>
      <w:r>
        <w:rPr>
          <w:rFonts w:ascii="Garamond" w:hAnsi="Garamond"/>
          <w:lang w:val="pt-PT"/>
        </w:rPr>
        <w:t>s</w:t>
      </w:r>
      <w:r w:rsidRPr="00B962F7">
        <w:rPr>
          <w:rFonts w:ascii="Garamond" w:hAnsi="Garamond"/>
          <w:lang w:val="pt-PT"/>
        </w:rPr>
        <w:t xml:space="preserve">ustentável </w:t>
      </w:r>
      <w:r w:rsidRPr="00E66917">
        <w:rPr>
          <w:rFonts w:ascii="Garamond" w:hAnsi="Garamond"/>
          <w:lang w:val="pt-PT"/>
        </w:rPr>
        <w:t>recomenda a</w:t>
      </w:r>
      <w:r>
        <w:rPr>
          <w:rFonts w:ascii="Garamond" w:hAnsi="Garamond"/>
          <w:lang w:val="pt-PT"/>
        </w:rPr>
        <w:t xml:space="preserve"> </w:t>
      </w:r>
      <w:proofErr w:type="spellStart"/>
      <w:r w:rsidRPr="00E66917">
        <w:rPr>
          <w:rFonts w:ascii="Garamond" w:hAnsi="Garamond"/>
          <w:lang w:val="pt-PT"/>
        </w:rPr>
        <w:t>transversalização</w:t>
      </w:r>
      <w:proofErr w:type="spellEnd"/>
      <w:r w:rsidRPr="00E66917">
        <w:rPr>
          <w:rFonts w:ascii="Garamond" w:hAnsi="Garamond"/>
          <w:lang w:val="pt-PT"/>
        </w:rPr>
        <w:t xml:space="preserve"> do género nos 17 </w:t>
      </w:r>
      <w:proofErr w:type="spellStart"/>
      <w:r w:rsidRPr="00E66917">
        <w:rPr>
          <w:rFonts w:ascii="Garamond" w:hAnsi="Garamond"/>
          <w:lang w:val="pt-PT"/>
        </w:rPr>
        <w:t>objetivos</w:t>
      </w:r>
      <w:proofErr w:type="spellEnd"/>
      <w:r>
        <w:rPr>
          <w:rFonts w:ascii="Garamond" w:hAnsi="Garamond"/>
          <w:lang w:val="pt-PT"/>
        </w:rPr>
        <w:t xml:space="preserve">, acrescendo </w:t>
      </w:r>
      <w:r w:rsidRPr="00B962F7">
        <w:rPr>
          <w:rFonts w:ascii="Garamond" w:hAnsi="Garamond"/>
          <w:lang w:val="pt-PT"/>
        </w:rPr>
        <w:t xml:space="preserve">importantes disposições, metas e indicadores para o empoderamento das mulheres na maioria de seus </w:t>
      </w:r>
      <w:proofErr w:type="spellStart"/>
      <w:r w:rsidRPr="00B962F7">
        <w:rPr>
          <w:rFonts w:ascii="Garamond" w:hAnsi="Garamond"/>
          <w:lang w:val="pt-PT"/>
        </w:rPr>
        <w:t>objetivos</w:t>
      </w:r>
      <w:proofErr w:type="spellEnd"/>
      <w:r w:rsidRPr="00B962F7">
        <w:rPr>
          <w:rFonts w:ascii="Garamond" w:hAnsi="Garamond"/>
          <w:lang w:val="pt-PT"/>
        </w:rPr>
        <w:t xml:space="preserve">, com especial destaque para aquelas ligadas ao </w:t>
      </w:r>
      <w:proofErr w:type="spellStart"/>
      <w:r w:rsidRPr="004B5224">
        <w:rPr>
          <w:rFonts w:ascii="Garamond" w:hAnsi="Garamond"/>
          <w:lang w:val="pt-PT"/>
        </w:rPr>
        <w:t>Objetivo</w:t>
      </w:r>
      <w:proofErr w:type="spellEnd"/>
      <w:r w:rsidRPr="004B5224">
        <w:rPr>
          <w:rFonts w:ascii="Garamond" w:hAnsi="Garamond"/>
          <w:lang w:val="pt-PT"/>
        </w:rPr>
        <w:t xml:space="preserve"> 3 (Saúde e Bem estar) </w:t>
      </w:r>
      <w:proofErr w:type="spellStart"/>
      <w:r w:rsidRPr="004B5224">
        <w:rPr>
          <w:rFonts w:ascii="Garamond" w:hAnsi="Garamond"/>
          <w:lang w:val="pt-PT"/>
        </w:rPr>
        <w:t>Objetivo</w:t>
      </w:r>
      <w:proofErr w:type="spellEnd"/>
      <w:r w:rsidRPr="004B5224">
        <w:rPr>
          <w:rFonts w:ascii="Garamond" w:hAnsi="Garamond"/>
          <w:lang w:val="pt-PT"/>
        </w:rPr>
        <w:t xml:space="preserve"> 4 (Educação Inclusiva e de Qualidade), </w:t>
      </w:r>
      <w:proofErr w:type="spellStart"/>
      <w:r w:rsidRPr="004B5224">
        <w:rPr>
          <w:rFonts w:ascii="Garamond" w:hAnsi="Garamond"/>
          <w:lang w:val="pt-PT"/>
        </w:rPr>
        <w:t>Objetivo</w:t>
      </w:r>
      <w:proofErr w:type="spellEnd"/>
      <w:r w:rsidRPr="004B5224">
        <w:rPr>
          <w:rFonts w:ascii="Garamond" w:hAnsi="Garamond"/>
          <w:lang w:val="pt-PT"/>
        </w:rPr>
        <w:t xml:space="preserve"> 8 (Trabalho digno e Crescimento Economico), </w:t>
      </w:r>
      <w:proofErr w:type="spellStart"/>
      <w:r w:rsidRPr="004B5224">
        <w:rPr>
          <w:rFonts w:ascii="Garamond" w:hAnsi="Garamond"/>
          <w:lang w:val="pt-PT"/>
        </w:rPr>
        <w:t>Objetivo</w:t>
      </w:r>
      <w:proofErr w:type="spellEnd"/>
      <w:r w:rsidRPr="004B5224">
        <w:rPr>
          <w:rFonts w:ascii="Garamond" w:hAnsi="Garamond"/>
          <w:lang w:val="pt-PT"/>
        </w:rPr>
        <w:t xml:space="preserve"> 10 (Redução das Desigualdades), </w:t>
      </w:r>
      <w:proofErr w:type="spellStart"/>
      <w:r w:rsidRPr="004B5224">
        <w:rPr>
          <w:rFonts w:ascii="Garamond" w:hAnsi="Garamond"/>
          <w:lang w:val="pt-PT"/>
        </w:rPr>
        <w:t>Objetivo</w:t>
      </w:r>
      <w:proofErr w:type="spellEnd"/>
      <w:r w:rsidRPr="004B5224">
        <w:rPr>
          <w:rFonts w:ascii="Garamond" w:hAnsi="Garamond"/>
          <w:lang w:val="pt-PT"/>
        </w:rPr>
        <w:t xml:space="preserve"> 16 (Paz, Justiça e Instituições Solidas) e </w:t>
      </w:r>
      <w:proofErr w:type="spellStart"/>
      <w:r w:rsidRPr="004B5224">
        <w:rPr>
          <w:rFonts w:ascii="Garamond" w:hAnsi="Garamond"/>
          <w:lang w:val="pt-PT"/>
        </w:rPr>
        <w:t>Objetivo</w:t>
      </w:r>
      <w:proofErr w:type="spellEnd"/>
      <w:r w:rsidRPr="004B5224">
        <w:rPr>
          <w:rFonts w:ascii="Garamond" w:hAnsi="Garamond"/>
          <w:lang w:val="pt-PT"/>
        </w:rPr>
        <w:t xml:space="preserve"> 17 (Parcerias para os Resultados).   </w:t>
      </w:r>
      <w:r w:rsidRPr="00B962F7">
        <w:rPr>
          <w:rFonts w:ascii="Garamond" w:hAnsi="Garamond"/>
          <w:lang w:val="pt-PT"/>
        </w:rPr>
        <w:t xml:space="preserve">No cômputo geral, mais de um terço das 169 metas dos </w:t>
      </w:r>
      <w:proofErr w:type="spellStart"/>
      <w:r w:rsidRPr="00B962F7">
        <w:rPr>
          <w:rFonts w:ascii="Garamond" w:hAnsi="Garamond"/>
          <w:lang w:val="pt-PT"/>
        </w:rPr>
        <w:t>ODS</w:t>
      </w:r>
      <w:proofErr w:type="spellEnd"/>
      <w:r w:rsidRPr="00B962F7">
        <w:rPr>
          <w:rFonts w:ascii="Garamond" w:hAnsi="Garamond"/>
          <w:lang w:val="pt-PT"/>
        </w:rPr>
        <w:t xml:space="preserve"> são sensíveis ao género e a maior e parte dos indicadores são desagregados por sexo, por idade e por meio de residência. </w:t>
      </w:r>
    </w:p>
    <w:p w14:paraId="1F13B2FC" w14:textId="0B8529DD" w:rsidR="00F1265A" w:rsidRDefault="00F1265A" w:rsidP="00F1265A">
      <w:pPr>
        <w:jc w:val="both"/>
        <w:rPr>
          <w:rFonts w:ascii="Garamond" w:hAnsi="Garamond" w:cs="Times New Roman"/>
          <w:lang w:val="pt-PT"/>
        </w:rPr>
      </w:pPr>
      <w:r w:rsidRPr="00E66917">
        <w:rPr>
          <w:rFonts w:ascii="Garamond" w:hAnsi="Garamond" w:cs="Times New Roman"/>
          <w:lang w:val="pt-PT"/>
        </w:rPr>
        <w:t>Cabo Verde vem planificando e implementando várias</w:t>
      </w:r>
      <w:r>
        <w:rPr>
          <w:rFonts w:ascii="Garamond" w:hAnsi="Garamond" w:cs="Times New Roman"/>
          <w:lang w:val="pt-PT"/>
        </w:rPr>
        <w:t xml:space="preserve"> </w:t>
      </w:r>
      <w:proofErr w:type="spellStart"/>
      <w:r w:rsidRPr="00E66917">
        <w:rPr>
          <w:rFonts w:ascii="Garamond" w:hAnsi="Garamond" w:cs="Times New Roman"/>
          <w:lang w:val="pt-PT"/>
        </w:rPr>
        <w:t>ações</w:t>
      </w:r>
      <w:proofErr w:type="spellEnd"/>
      <w:r w:rsidRPr="00E66917">
        <w:rPr>
          <w:rFonts w:ascii="Garamond" w:hAnsi="Garamond" w:cs="Times New Roman"/>
          <w:lang w:val="pt-PT"/>
        </w:rPr>
        <w:t xml:space="preserve"> neste âmbito e foi um dos países que apresentou um </w:t>
      </w:r>
      <w:r>
        <w:rPr>
          <w:rFonts w:ascii="Garamond" w:hAnsi="Garamond" w:cs="Times New Roman"/>
          <w:lang w:val="pt-PT"/>
        </w:rPr>
        <w:t>R</w:t>
      </w:r>
      <w:r w:rsidRPr="00E66917">
        <w:rPr>
          <w:rFonts w:ascii="Garamond" w:hAnsi="Garamond" w:cs="Times New Roman"/>
          <w:lang w:val="pt-PT"/>
        </w:rPr>
        <w:t xml:space="preserve">elatório </w:t>
      </w:r>
      <w:r>
        <w:rPr>
          <w:rFonts w:ascii="Garamond" w:hAnsi="Garamond" w:cs="Times New Roman"/>
          <w:lang w:val="pt-PT"/>
        </w:rPr>
        <w:t>V</w:t>
      </w:r>
      <w:r w:rsidRPr="00E66917">
        <w:rPr>
          <w:rFonts w:ascii="Garamond" w:hAnsi="Garamond" w:cs="Times New Roman"/>
          <w:lang w:val="pt-PT"/>
        </w:rPr>
        <w:t>oluntário de</w:t>
      </w:r>
      <w:r>
        <w:rPr>
          <w:rFonts w:ascii="Garamond" w:hAnsi="Garamond" w:cs="Times New Roman"/>
          <w:lang w:val="pt-PT"/>
        </w:rPr>
        <w:t xml:space="preserve"> </w:t>
      </w:r>
      <w:r w:rsidRPr="00E66917">
        <w:rPr>
          <w:rFonts w:ascii="Garamond" w:hAnsi="Garamond" w:cs="Times New Roman"/>
          <w:lang w:val="pt-PT"/>
        </w:rPr>
        <w:t>Seguimento</w:t>
      </w:r>
      <w:r>
        <w:rPr>
          <w:rFonts w:ascii="Garamond" w:hAnsi="Garamond" w:cs="Times New Roman"/>
          <w:lang w:val="pt-PT"/>
        </w:rPr>
        <w:t xml:space="preserve"> (</w:t>
      </w:r>
      <w:proofErr w:type="spellStart"/>
      <w:r>
        <w:rPr>
          <w:rFonts w:ascii="Garamond" w:hAnsi="Garamond" w:cs="Times New Roman"/>
          <w:lang w:val="pt-PT"/>
        </w:rPr>
        <w:t>VNR</w:t>
      </w:r>
      <w:proofErr w:type="spellEnd"/>
      <w:r>
        <w:rPr>
          <w:rFonts w:ascii="Garamond" w:hAnsi="Garamond" w:cs="Times New Roman"/>
          <w:lang w:val="pt-PT"/>
        </w:rPr>
        <w:t xml:space="preserve"> 2018).</w:t>
      </w:r>
      <w:r w:rsidRPr="00E66917">
        <w:rPr>
          <w:rFonts w:ascii="Garamond" w:hAnsi="Garamond" w:cs="Times New Roman"/>
          <w:lang w:val="pt-PT"/>
        </w:rPr>
        <w:t xml:space="preserve"> Adicionalmente, uma revisão à luz dos </w:t>
      </w:r>
      <w:proofErr w:type="spellStart"/>
      <w:r w:rsidRPr="00E66917">
        <w:rPr>
          <w:rFonts w:ascii="Garamond" w:hAnsi="Garamond" w:cs="Times New Roman"/>
          <w:lang w:val="pt-PT"/>
        </w:rPr>
        <w:t>ODS</w:t>
      </w:r>
      <w:proofErr w:type="spellEnd"/>
      <w:r w:rsidRPr="00E66917">
        <w:rPr>
          <w:rFonts w:ascii="Garamond" w:hAnsi="Garamond" w:cs="Times New Roman"/>
          <w:lang w:val="pt-PT"/>
        </w:rPr>
        <w:t xml:space="preserve"> do Programa do Governo para a IX</w:t>
      </w:r>
      <w:r>
        <w:rPr>
          <w:rFonts w:ascii="Garamond" w:hAnsi="Garamond" w:cs="Times New Roman"/>
          <w:lang w:val="pt-PT"/>
        </w:rPr>
        <w:t xml:space="preserve"> </w:t>
      </w:r>
      <w:r w:rsidRPr="00E66917">
        <w:rPr>
          <w:rFonts w:ascii="Garamond" w:hAnsi="Garamond" w:cs="Times New Roman"/>
          <w:lang w:val="pt-PT"/>
        </w:rPr>
        <w:t xml:space="preserve">Legislatura, mostrou o seu forte alinhamento com os </w:t>
      </w:r>
      <w:proofErr w:type="spellStart"/>
      <w:r w:rsidRPr="00E66917">
        <w:rPr>
          <w:rFonts w:ascii="Garamond" w:hAnsi="Garamond" w:cs="Times New Roman"/>
          <w:lang w:val="pt-PT"/>
        </w:rPr>
        <w:t>ODS</w:t>
      </w:r>
      <w:proofErr w:type="spellEnd"/>
      <w:r w:rsidRPr="00E66917">
        <w:rPr>
          <w:rFonts w:ascii="Garamond" w:hAnsi="Garamond" w:cs="Times New Roman"/>
          <w:lang w:val="pt-PT"/>
        </w:rPr>
        <w:t>, tanto em geral, como relativamente</w:t>
      </w:r>
      <w:r>
        <w:rPr>
          <w:rFonts w:ascii="Garamond" w:hAnsi="Garamond" w:cs="Times New Roman"/>
          <w:lang w:val="pt-PT"/>
        </w:rPr>
        <w:t xml:space="preserve"> </w:t>
      </w:r>
      <w:r w:rsidRPr="00E66917">
        <w:rPr>
          <w:rFonts w:ascii="Garamond" w:hAnsi="Garamond" w:cs="Times New Roman"/>
          <w:lang w:val="pt-PT"/>
        </w:rPr>
        <w:t xml:space="preserve">ao </w:t>
      </w:r>
      <w:proofErr w:type="spellStart"/>
      <w:r w:rsidRPr="00E66917">
        <w:rPr>
          <w:rFonts w:ascii="Garamond" w:hAnsi="Garamond" w:cs="Times New Roman"/>
          <w:lang w:val="pt-PT"/>
        </w:rPr>
        <w:t>ODS</w:t>
      </w:r>
      <w:proofErr w:type="spellEnd"/>
      <w:r w:rsidRPr="00E66917">
        <w:rPr>
          <w:rFonts w:ascii="Garamond" w:hAnsi="Garamond" w:cs="Times New Roman"/>
          <w:lang w:val="pt-PT"/>
        </w:rPr>
        <w:t xml:space="preserve"> 5 em particular</w:t>
      </w:r>
      <w:r>
        <w:rPr>
          <w:rFonts w:ascii="Garamond" w:hAnsi="Garamond" w:cs="Times New Roman"/>
          <w:lang w:val="pt-PT"/>
        </w:rPr>
        <w:t xml:space="preserve">,  - </w:t>
      </w:r>
      <w:r w:rsidRPr="00E66917">
        <w:rPr>
          <w:rFonts w:ascii="Garamond" w:hAnsi="Garamond" w:cs="Times New Roman"/>
          <w:i/>
          <w:lang w:val="pt-PT"/>
        </w:rPr>
        <w:t>Alcançar a Igualdade de Género e Empoderar as Mulheres e Meninas</w:t>
      </w:r>
      <w:r>
        <w:rPr>
          <w:rFonts w:ascii="Garamond" w:hAnsi="Garamond" w:cs="Times New Roman"/>
          <w:lang w:val="pt-PT"/>
        </w:rPr>
        <w:t>, por forma a e</w:t>
      </w:r>
      <w:r w:rsidRPr="00B962F7">
        <w:rPr>
          <w:rFonts w:ascii="Garamond" w:hAnsi="Garamond" w:cs="Times New Roman"/>
          <w:lang w:val="pt-PT"/>
        </w:rPr>
        <w:t>liminar a discriminação e a violência contra as mulheres e assegurar a igualdade de participação e oportunidades em todas as esferas da vida</w:t>
      </w:r>
      <w:r>
        <w:rPr>
          <w:rFonts w:ascii="Garamond" w:hAnsi="Garamond" w:cs="Times New Roman"/>
          <w:lang w:val="pt-PT"/>
        </w:rPr>
        <w:t xml:space="preserve">. </w:t>
      </w:r>
    </w:p>
    <w:p w14:paraId="51C63E9F" w14:textId="77777777" w:rsidR="00F1265A" w:rsidRPr="00BA49E2" w:rsidRDefault="00F1265A" w:rsidP="00F1265A">
      <w:pPr>
        <w:spacing w:line="276" w:lineRule="auto"/>
        <w:jc w:val="both"/>
        <w:rPr>
          <w:rFonts w:ascii="Garamond" w:hAnsi="Garamond" w:cs="Times New Roman"/>
          <w:color w:val="FF0000"/>
          <w:lang w:val="pt-PT"/>
        </w:rPr>
      </w:pPr>
    </w:p>
    <w:p w14:paraId="3C57C3B2" w14:textId="01ACCDFC" w:rsidR="00F1265A" w:rsidRPr="004D1917" w:rsidRDefault="00F1265A" w:rsidP="004D1917">
      <w:pPr>
        <w:pStyle w:val="Ttulo2"/>
        <w:jc w:val="both"/>
        <w:rPr>
          <w:rFonts w:ascii="Garamond" w:hAnsi="Garamond" w:cs="Times New Roman"/>
          <w:b/>
          <w:color w:val="auto"/>
          <w:sz w:val="28"/>
          <w:szCs w:val="28"/>
          <w:lang w:val="pt-PT"/>
        </w:rPr>
      </w:pPr>
      <w:bookmarkStart w:id="12" w:name="_Toc32858121"/>
      <w:r w:rsidRPr="004D1917">
        <w:rPr>
          <w:rFonts w:ascii="Garamond" w:hAnsi="Garamond" w:cs="Times New Roman"/>
          <w:b/>
          <w:color w:val="auto"/>
          <w:sz w:val="28"/>
          <w:szCs w:val="28"/>
          <w:lang w:val="pt-PT"/>
        </w:rPr>
        <w:t>Contexto nacional de Cabo Verde e</w:t>
      </w:r>
      <w:r w:rsidR="004D1917">
        <w:rPr>
          <w:rFonts w:ascii="Garamond" w:hAnsi="Garamond" w:cs="Times New Roman"/>
          <w:b/>
          <w:color w:val="auto"/>
          <w:sz w:val="28"/>
          <w:szCs w:val="28"/>
          <w:lang w:val="pt-PT"/>
        </w:rPr>
        <w:t xml:space="preserve"> igualdade de género</w:t>
      </w:r>
      <w:bookmarkEnd w:id="12"/>
      <w:r w:rsidRPr="004D1917">
        <w:rPr>
          <w:rFonts w:ascii="Garamond" w:hAnsi="Garamond" w:cs="Times New Roman"/>
          <w:b/>
          <w:color w:val="auto"/>
          <w:sz w:val="28"/>
          <w:szCs w:val="28"/>
          <w:lang w:val="pt-PT"/>
        </w:rPr>
        <w:t xml:space="preserve"> </w:t>
      </w:r>
    </w:p>
    <w:p w14:paraId="7CCF2B98" w14:textId="375A800B" w:rsidR="00F1265A" w:rsidRDefault="00F1265A" w:rsidP="004D1917">
      <w:pPr>
        <w:spacing w:after="240"/>
        <w:jc w:val="both"/>
        <w:rPr>
          <w:rFonts w:ascii="Garamond" w:hAnsi="Garamond" w:cs="Times New Roman"/>
          <w:lang w:val="pt-PT"/>
        </w:rPr>
      </w:pPr>
      <w:r w:rsidRPr="006E2541">
        <w:rPr>
          <w:rFonts w:ascii="Garamond" w:hAnsi="Garamond" w:cs="Times New Roman"/>
          <w:lang w:val="pt-PT"/>
        </w:rPr>
        <w:t xml:space="preserve">Cabo Verde é um arquipélago </w:t>
      </w:r>
      <w:r>
        <w:rPr>
          <w:rFonts w:ascii="Garamond" w:hAnsi="Garamond" w:cs="Times New Roman"/>
          <w:lang w:val="pt-PT"/>
        </w:rPr>
        <w:t xml:space="preserve">formado por </w:t>
      </w:r>
      <w:r w:rsidRPr="006E2541">
        <w:rPr>
          <w:rFonts w:ascii="Garamond" w:hAnsi="Garamond" w:cs="Times New Roman"/>
          <w:lang w:val="pt-PT"/>
        </w:rPr>
        <w:t xml:space="preserve">10 ilhas </w:t>
      </w:r>
      <w:r>
        <w:rPr>
          <w:rFonts w:ascii="Garamond" w:hAnsi="Garamond" w:cs="Times New Roman"/>
          <w:lang w:val="pt-PT"/>
        </w:rPr>
        <w:t xml:space="preserve">espalhadas </w:t>
      </w:r>
      <w:r w:rsidRPr="006E2541">
        <w:rPr>
          <w:rFonts w:ascii="Garamond" w:hAnsi="Garamond" w:cs="Times New Roman"/>
          <w:lang w:val="pt-PT"/>
        </w:rPr>
        <w:t>no Oceano Atlântico, com fácil acesso a três continentes</w:t>
      </w:r>
      <w:r>
        <w:rPr>
          <w:rFonts w:ascii="Garamond" w:hAnsi="Garamond" w:cs="Times New Roman"/>
          <w:lang w:val="pt-PT"/>
        </w:rPr>
        <w:t>, Africa, Europa e América</w:t>
      </w:r>
      <w:r w:rsidRPr="006E2541">
        <w:rPr>
          <w:rFonts w:ascii="Garamond" w:hAnsi="Garamond" w:cs="Times New Roman"/>
          <w:lang w:val="pt-PT"/>
        </w:rPr>
        <w:t>. É um</w:t>
      </w:r>
      <w:r>
        <w:rPr>
          <w:rFonts w:ascii="Garamond" w:hAnsi="Garamond" w:cs="Times New Roman"/>
          <w:lang w:val="pt-PT"/>
        </w:rPr>
        <w:t xml:space="preserve"> </w:t>
      </w:r>
      <w:r w:rsidRPr="004D1917">
        <w:rPr>
          <w:rFonts w:ascii="Garamond" w:hAnsi="Garamond" w:cs="Times New Roman"/>
          <w:lang w:val="pt-PT"/>
        </w:rPr>
        <w:t>Pequeno Estado Insular em Desenvolvimento</w:t>
      </w:r>
      <w:r>
        <w:rPr>
          <w:rFonts w:ascii="Garamond" w:hAnsi="Garamond" w:cs="Times New Roman"/>
          <w:lang w:val="pt-PT"/>
        </w:rPr>
        <w:t xml:space="preserve"> </w:t>
      </w:r>
      <w:r w:rsidRPr="006E2541">
        <w:rPr>
          <w:rFonts w:ascii="Garamond" w:hAnsi="Garamond" w:cs="Times New Roman"/>
          <w:lang w:val="pt-PT"/>
        </w:rPr>
        <w:t>(</w:t>
      </w:r>
      <w:proofErr w:type="spellStart"/>
      <w:r w:rsidRPr="006E2541">
        <w:rPr>
          <w:rFonts w:ascii="Garamond" w:hAnsi="Garamond" w:cs="Times New Roman"/>
          <w:lang w:val="pt-PT"/>
        </w:rPr>
        <w:t>SIDS</w:t>
      </w:r>
      <w:proofErr w:type="spellEnd"/>
      <w:r w:rsidRPr="006E2541">
        <w:rPr>
          <w:rFonts w:ascii="Garamond" w:hAnsi="Garamond" w:cs="Times New Roman"/>
          <w:lang w:val="pt-PT"/>
        </w:rPr>
        <w:t>) e graduou-se da categoria de Países Menos Desenvolvidos (</w:t>
      </w:r>
      <w:proofErr w:type="spellStart"/>
      <w:r w:rsidRPr="006E2541">
        <w:rPr>
          <w:rFonts w:ascii="Garamond" w:hAnsi="Garamond" w:cs="Times New Roman"/>
          <w:lang w:val="pt-PT"/>
        </w:rPr>
        <w:t>PMD</w:t>
      </w:r>
      <w:proofErr w:type="spellEnd"/>
      <w:r w:rsidRPr="006E2541">
        <w:rPr>
          <w:rFonts w:ascii="Garamond" w:hAnsi="Garamond" w:cs="Times New Roman"/>
          <w:lang w:val="pt-PT"/>
        </w:rPr>
        <w:t xml:space="preserve">) </w:t>
      </w:r>
      <w:r>
        <w:rPr>
          <w:rFonts w:ascii="Garamond" w:hAnsi="Garamond" w:cs="Times New Roman"/>
          <w:lang w:val="pt-PT"/>
        </w:rPr>
        <w:t>em finais d</w:t>
      </w:r>
      <w:r w:rsidRPr="006E2541">
        <w:rPr>
          <w:rFonts w:ascii="Garamond" w:hAnsi="Garamond" w:cs="Times New Roman"/>
          <w:lang w:val="pt-PT"/>
        </w:rPr>
        <w:t xml:space="preserve">e 2007. É um país do Sahel, </w:t>
      </w:r>
      <w:r>
        <w:rPr>
          <w:rFonts w:ascii="Garamond" w:hAnsi="Garamond" w:cs="Times New Roman"/>
          <w:lang w:val="pt-PT"/>
        </w:rPr>
        <w:t>pobre em</w:t>
      </w:r>
      <w:r w:rsidRPr="006E2541">
        <w:rPr>
          <w:rFonts w:ascii="Garamond" w:hAnsi="Garamond" w:cs="Times New Roman"/>
          <w:lang w:val="pt-PT"/>
        </w:rPr>
        <w:t xml:space="preserve"> recursos naturais, com uma população de </w:t>
      </w:r>
      <w:r w:rsidRPr="004D1917">
        <w:rPr>
          <w:rFonts w:ascii="Garamond" w:hAnsi="Garamond" w:cs="Times New Roman"/>
          <w:color w:val="FF0000"/>
          <w:lang w:val="pt-PT"/>
        </w:rPr>
        <w:t>491.875</w:t>
      </w:r>
      <w:r>
        <w:rPr>
          <w:rFonts w:ascii="Garamond" w:hAnsi="Garamond" w:cs="Times New Roman"/>
          <w:lang w:val="pt-PT"/>
        </w:rPr>
        <w:t>, sendo 5</w:t>
      </w:r>
      <w:r w:rsidRPr="006E2541">
        <w:rPr>
          <w:rFonts w:ascii="Garamond" w:hAnsi="Garamond" w:cs="Times New Roman"/>
          <w:lang w:val="pt-PT"/>
        </w:rPr>
        <w:t>0,5%</w:t>
      </w:r>
      <w:r>
        <w:rPr>
          <w:rFonts w:ascii="Garamond" w:hAnsi="Garamond" w:cs="Times New Roman"/>
          <w:lang w:val="pt-PT"/>
        </w:rPr>
        <w:t xml:space="preserve"> </w:t>
      </w:r>
      <w:r w:rsidRPr="006E2541">
        <w:rPr>
          <w:rFonts w:ascii="Garamond" w:hAnsi="Garamond" w:cs="Times New Roman"/>
          <w:lang w:val="pt-PT"/>
        </w:rPr>
        <w:t xml:space="preserve">mulheres. A economia é pequena e pouco diversificada, com alta dependência da </w:t>
      </w:r>
      <w:r>
        <w:rPr>
          <w:rFonts w:ascii="Garamond" w:hAnsi="Garamond" w:cs="Times New Roman"/>
          <w:lang w:val="pt-PT"/>
        </w:rPr>
        <w:t>Ajuda Externa ao Desenvolvimento e</w:t>
      </w:r>
      <w:r w:rsidRPr="006E2541">
        <w:rPr>
          <w:rFonts w:ascii="Garamond" w:hAnsi="Garamond" w:cs="Times New Roman"/>
          <w:lang w:val="pt-PT"/>
        </w:rPr>
        <w:t xml:space="preserve"> das remessas de migrantes. O turismo é o motor do crescimento económico (</w:t>
      </w:r>
      <w:r>
        <w:rPr>
          <w:rFonts w:ascii="Garamond" w:hAnsi="Garamond" w:cs="Times New Roman"/>
          <w:lang w:val="pt-PT"/>
        </w:rPr>
        <w:t xml:space="preserve">especialmente </w:t>
      </w:r>
      <w:r w:rsidRPr="006E2541">
        <w:rPr>
          <w:rFonts w:ascii="Garamond" w:hAnsi="Garamond" w:cs="Times New Roman"/>
          <w:lang w:val="pt-PT"/>
        </w:rPr>
        <w:t xml:space="preserve">concentrado em duas ilhas, Sal e Boavista), e oferece oportunidades para iniciativas empresariais, produtivas e de serviços. </w:t>
      </w:r>
    </w:p>
    <w:p w14:paraId="56B86ABB" w14:textId="1C0667A3" w:rsidR="00105316" w:rsidRPr="00105316" w:rsidRDefault="00105316" w:rsidP="00105316">
      <w:pPr>
        <w:shd w:val="clear" w:color="auto" w:fill="E7E6E6" w:themeFill="background2"/>
        <w:jc w:val="both"/>
        <w:rPr>
          <w:rFonts w:ascii="Garamond" w:hAnsi="Garamond" w:cs="Times New Roman"/>
          <w:b/>
          <w:bCs/>
          <w:i/>
          <w:iCs/>
          <w:lang w:val="pt-PT"/>
        </w:rPr>
      </w:pPr>
      <w:r w:rsidRPr="00105316">
        <w:rPr>
          <w:rFonts w:ascii="Garamond" w:hAnsi="Garamond" w:cs="Times New Roman"/>
          <w:b/>
          <w:bCs/>
          <w:i/>
          <w:iCs/>
          <w:lang w:val="pt-PT"/>
        </w:rPr>
        <w:t>Tendências demográficas</w:t>
      </w:r>
      <w:r w:rsidR="00166C9D">
        <w:rPr>
          <w:rStyle w:val="Refdenotaderodap"/>
          <w:rFonts w:ascii="Garamond" w:hAnsi="Garamond" w:cs="Times New Roman"/>
          <w:b/>
          <w:bCs/>
          <w:i/>
          <w:iCs/>
          <w:lang w:val="pt-PT"/>
        </w:rPr>
        <w:footnoteReference w:id="3"/>
      </w:r>
    </w:p>
    <w:p w14:paraId="0FF014F4" w14:textId="3F3105CD" w:rsidR="00FE1548" w:rsidRDefault="00FE1548" w:rsidP="00105316">
      <w:pPr>
        <w:shd w:val="clear" w:color="auto" w:fill="E7E6E6" w:themeFill="background2"/>
        <w:jc w:val="both"/>
        <w:rPr>
          <w:rFonts w:ascii="Garamond" w:hAnsi="Garamond"/>
          <w:lang w:val="pt-PT"/>
        </w:rPr>
      </w:pPr>
      <w:r>
        <w:rPr>
          <w:rFonts w:ascii="Garamond" w:hAnsi="Garamond" w:cs="Times New Roman"/>
          <w:lang w:val="pt-PT"/>
        </w:rPr>
        <w:t xml:space="preserve">Os dados do </w:t>
      </w:r>
      <w:proofErr w:type="spellStart"/>
      <w:r>
        <w:rPr>
          <w:rFonts w:ascii="Garamond" w:hAnsi="Garamond" w:cs="Times New Roman"/>
          <w:lang w:val="pt-PT"/>
        </w:rPr>
        <w:t>RGPH</w:t>
      </w:r>
      <w:proofErr w:type="spellEnd"/>
      <w:r>
        <w:rPr>
          <w:rFonts w:ascii="Garamond" w:hAnsi="Garamond" w:cs="Times New Roman"/>
          <w:lang w:val="pt-PT"/>
        </w:rPr>
        <w:t xml:space="preserve"> (2010) apontam para as seguintes </w:t>
      </w:r>
      <w:r w:rsidR="006C3E4C">
        <w:rPr>
          <w:rFonts w:ascii="Garamond" w:hAnsi="Garamond" w:cs="Times New Roman"/>
          <w:lang w:val="pt-PT"/>
        </w:rPr>
        <w:t xml:space="preserve">tendências demográficas </w:t>
      </w:r>
      <w:r w:rsidR="00F6415D">
        <w:rPr>
          <w:rFonts w:ascii="Garamond" w:hAnsi="Garamond" w:cs="Times New Roman"/>
          <w:lang w:val="pt-PT"/>
        </w:rPr>
        <w:t>em Cabo Verde</w:t>
      </w:r>
      <w:r>
        <w:rPr>
          <w:rFonts w:ascii="Garamond" w:hAnsi="Garamond" w:cs="Times New Roman"/>
          <w:lang w:val="pt-PT"/>
        </w:rPr>
        <w:t>:</w:t>
      </w:r>
      <w:r w:rsidRPr="00FE1548">
        <w:rPr>
          <w:rFonts w:ascii="Garamond" w:hAnsi="Garamond"/>
          <w:lang w:val="pt-PT"/>
        </w:rPr>
        <w:t xml:space="preserve"> </w:t>
      </w:r>
    </w:p>
    <w:p w14:paraId="445DE1A4" w14:textId="37B9E775" w:rsidR="00FE1548" w:rsidRPr="00FE1548" w:rsidRDefault="00105316" w:rsidP="002A62A2">
      <w:pPr>
        <w:pStyle w:val="PargrafodaLista"/>
        <w:numPr>
          <w:ilvl w:val="0"/>
          <w:numId w:val="64"/>
        </w:numPr>
        <w:shd w:val="clear" w:color="auto" w:fill="E7E6E6" w:themeFill="background2"/>
        <w:jc w:val="both"/>
        <w:rPr>
          <w:rFonts w:ascii="Garamond" w:hAnsi="Garamond"/>
          <w:lang w:val="pt-PT"/>
        </w:rPr>
      </w:pPr>
      <w:r>
        <w:rPr>
          <w:rFonts w:ascii="Garamond" w:hAnsi="Garamond"/>
          <w:lang w:val="pt-PT"/>
        </w:rPr>
        <w:t xml:space="preserve">Um </w:t>
      </w:r>
      <w:r w:rsidR="00FE1548" w:rsidRPr="00FE1548">
        <w:rPr>
          <w:rFonts w:ascii="Garamond" w:hAnsi="Garamond"/>
          <w:lang w:val="pt-PT"/>
        </w:rPr>
        <w:t xml:space="preserve">maior equilíbrio entre a população feminina e masculina (relação de feminilidade de 1,11 em 1990, 1,08 em 2000, e 1,02 em 2010).  </w:t>
      </w:r>
    </w:p>
    <w:p w14:paraId="60A62DDD" w14:textId="5E1F6B7E" w:rsidR="00FE1548" w:rsidRPr="00FE1548" w:rsidRDefault="00105316" w:rsidP="002A62A2">
      <w:pPr>
        <w:pStyle w:val="PargrafodaLista"/>
        <w:numPr>
          <w:ilvl w:val="0"/>
          <w:numId w:val="64"/>
        </w:numPr>
        <w:shd w:val="clear" w:color="auto" w:fill="E7E6E6" w:themeFill="background2"/>
        <w:rPr>
          <w:rFonts w:ascii="Garamond" w:hAnsi="Garamond"/>
          <w:lang w:val="pt-PT"/>
        </w:rPr>
      </w:pPr>
      <w:r>
        <w:rPr>
          <w:rFonts w:ascii="Garamond" w:hAnsi="Garamond"/>
          <w:lang w:val="pt-PT"/>
        </w:rPr>
        <w:t>D</w:t>
      </w:r>
      <w:r w:rsidR="00FE1548" w:rsidRPr="00FE1548">
        <w:rPr>
          <w:rFonts w:ascii="Garamond" w:hAnsi="Garamond"/>
          <w:lang w:val="pt-PT"/>
        </w:rPr>
        <w:t>esequilíbrios demográficos em termos de género a partir da idade adulta:</w:t>
      </w:r>
    </w:p>
    <w:p w14:paraId="623A5698" w14:textId="44AE9061" w:rsidR="00FE1548" w:rsidRPr="00105316" w:rsidRDefault="00105316" w:rsidP="00105316">
      <w:pPr>
        <w:shd w:val="clear" w:color="auto" w:fill="E7E6E6" w:themeFill="background2"/>
        <w:rPr>
          <w:rFonts w:ascii="Garamond" w:hAnsi="Garamond"/>
          <w:lang w:val="pt-PT"/>
        </w:rPr>
      </w:pPr>
      <w:r>
        <w:rPr>
          <w:rFonts w:ascii="Garamond" w:hAnsi="Garamond"/>
          <w:lang w:val="pt-PT"/>
        </w:rPr>
        <w:t>*</w:t>
      </w:r>
      <w:r w:rsidR="00FE1548" w:rsidRPr="00105316">
        <w:rPr>
          <w:rFonts w:ascii="Garamond" w:hAnsi="Garamond"/>
          <w:lang w:val="pt-PT"/>
        </w:rPr>
        <w:t>As mulheres representam 48% da faixa etária 20-39 anos (provavelmente devido a um maior ingresso de imigrantes homens do que mulheres no país)</w:t>
      </w:r>
    </w:p>
    <w:p w14:paraId="7318E0DA" w14:textId="44A05A95" w:rsidR="00FE1548" w:rsidRPr="00105316" w:rsidRDefault="00105316" w:rsidP="00105316">
      <w:pPr>
        <w:shd w:val="clear" w:color="auto" w:fill="E7E6E6" w:themeFill="background2"/>
        <w:jc w:val="both"/>
        <w:rPr>
          <w:rFonts w:ascii="Garamond" w:hAnsi="Garamond"/>
          <w:lang w:val="pt-PT"/>
        </w:rPr>
      </w:pPr>
      <w:r>
        <w:rPr>
          <w:rFonts w:ascii="Garamond" w:hAnsi="Garamond"/>
          <w:lang w:val="pt-PT"/>
        </w:rPr>
        <w:t>*</w:t>
      </w:r>
      <w:r w:rsidR="00FE1548" w:rsidRPr="00105316">
        <w:rPr>
          <w:rFonts w:ascii="Garamond" w:hAnsi="Garamond"/>
          <w:lang w:val="pt-PT"/>
        </w:rPr>
        <w:t>A partir dos 40 anos a proporção de mulheres começa a ser superior à dos homens, tendência que se acentua nas faixas etárias seguintes</w:t>
      </w:r>
      <w:r>
        <w:rPr>
          <w:rFonts w:ascii="Garamond" w:hAnsi="Garamond"/>
          <w:lang w:val="pt-PT"/>
        </w:rPr>
        <w:t xml:space="preserve">, com </w:t>
      </w:r>
      <w:r w:rsidRPr="00105316">
        <w:rPr>
          <w:rFonts w:ascii="Garamond" w:hAnsi="Garamond"/>
          <w:lang w:val="pt-PT"/>
        </w:rPr>
        <w:t>proporções de 60% ou mais</w:t>
      </w:r>
      <w:r>
        <w:rPr>
          <w:rFonts w:ascii="Garamond" w:hAnsi="Garamond"/>
          <w:lang w:val="pt-PT"/>
        </w:rPr>
        <w:t xml:space="preserve"> a </w:t>
      </w:r>
      <w:r w:rsidR="00FE1548" w:rsidRPr="00105316">
        <w:rPr>
          <w:rFonts w:ascii="Garamond" w:hAnsi="Garamond"/>
          <w:lang w:val="pt-PT"/>
        </w:rPr>
        <w:t xml:space="preserve">partir dos 65 anos.  </w:t>
      </w:r>
    </w:p>
    <w:p w14:paraId="1C771105"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As ilhas que registaram maior decréscimo da população foram Santo Antão, Brava e São Nicolau, bem como vários municípios do interior da ilha de Santiago</w:t>
      </w:r>
    </w:p>
    <w:p w14:paraId="1ED4B02E"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As ilhas com maior crescimento populacional foram o Sal (7,8%) e Boa Vista (5,5%)</w:t>
      </w:r>
    </w:p>
    <w:p w14:paraId="60779380"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 xml:space="preserve">Várias ilhas têm uma maior proporção de homens, como evidenciado </w:t>
      </w:r>
      <w:proofErr w:type="spellStart"/>
      <w:r w:rsidRPr="00FE1548">
        <w:rPr>
          <w:rFonts w:ascii="Garamond" w:hAnsi="Garamond"/>
          <w:lang w:val="pt-PT"/>
        </w:rPr>
        <w:t>pela</w:t>
      </w:r>
      <w:proofErr w:type="spellEnd"/>
      <w:r w:rsidRPr="00FE1548">
        <w:rPr>
          <w:rFonts w:ascii="Garamond" w:hAnsi="Garamond"/>
          <w:lang w:val="pt-PT"/>
        </w:rPr>
        <w:t xml:space="preserve"> relação de feminilidade: a Boavista (0,69), Sal (0,86) e Santo Antão (0,9 – em particular no </w:t>
      </w:r>
      <w:proofErr w:type="spellStart"/>
      <w:r w:rsidRPr="00FE1548">
        <w:rPr>
          <w:rFonts w:ascii="Garamond" w:hAnsi="Garamond"/>
          <w:lang w:val="pt-PT"/>
        </w:rPr>
        <w:t>Paúl</w:t>
      </w:r>
      <w:proofErr w:type="spellEnd"/>
      <w:r w:rsidRPr="00FE1548">
        <w:rPr>
          <w:rFonts w:ascii="Garamond" w:hAnsi="Garamond"/>
          <w:lang w:val="pt-PT"/>
        </w:rPr>
        <w:t xml:space="preserve"> com 0,83), seguindo-se-lhe o município do Tarrafal (0,91) na ilha de São Nicolau.</w:t>
      </w:r>
    </w:p>
    <w:p w14:paraId="66627794" w14:textId="09B0090A" w:rsidR="00FE1548" w:rsidRPr="00FE1548" w:rsidRDefault="00105316" w:rsidP="002A62A2">
      <w:pPr>
        <w:pStyle w:val="PargrafodaLista"/>
        <w:numPr>
          <w:ilvl w:val="0"/>
          <w:numId w:val="64"/>
        </w:numPr>
        <w:shd w:val="clear" w:color="auto" w:fill="E7E6E6" w:themeFill="background2"/>
        <w:rPr>
          <w:rFonts w:ascii="Garamond" w:hAnsi="Garamond"/>
          <w:lang w:val="pt-PT"/>
        </w:rPr>
      </w:pPr>
      <w:r>
        <w:rPr>
          <w:rFonts w:ascii="Garamond" w:hAnsi="Garamond"/>
          <w:lang w:val="pt-PT"/>
        </w:rPr>
        <w:t>Ao invés</w:t>
      </w:r>
      <w:r w:rsidR="00FE1548" w:rsidRPr="00FE1548">
        <w:rPr>
          <w:rFonts w:ascii="Garamond" w:hAnsi="Garamond"/>
          <w:lang w:val="pt-PT"/>
        </w:rPr>
        <w:t>, a ilha com maior proporção de mulheres é Santiago (1,08) – com destaque para os municípios de São Miguel (1,23), Tarrafal (1,21), Santa Catarina (1,14), São Salvador do Mundo (1,13) e Ribeira Grande (1,11)</w:t>
      </w:r>
    </w:p>
    <w:p w14:paraId="6A92600D"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 xml:space="preserve">Em Santo Antão e São Nicolau, ilhas que perderam população, o desequilíbrio entre mulheres e homens é sobretudo marcado na faixa etária dos 25-44 anos: as mulheres em São Nicolau representam 44% desta faixa etária e em Santo Antão 43% </w:t>
      </w:r>
    </w:p>
    <w:p w14:paraId="0C7BB329"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O caso mais drástico é o Paul, em que apenas 41% das pessoas da faixa etária dos 25-44 anos são mulheres, e 43% da faixa etária dos 15-24 anos</w:t>
      </w:r>
    </w:p>
    <w:p w14:paraId="0094D69C" w14:textId="41578DB0"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 xml:space="preserve">É preocupante verificar esta fuga de mulheres, em particular do </w:t>
      </w:r>
      <w:proofErr w:type="spellStart"/>
      <w:r w:rsidRPr="00FE1548">
        <w:rPr>
          <w:rFonts w:ascii="Garamond" w:hAnsi="Garamond"/>
          <w:lang w:val="pt-PT"/>
        </w:rPr>
        <w:t>Paúl</w:t>
      </w:r>
      <w:proofErr w:type="spellEnd"/>
      <w:r w:rsidRPr="00FE1548">
        <w:rPr>
          <w:rFonts w:ascii="Garamond" w:hAnsi="Garamond"/>
          <w:lang w:val="pt-PT"/>
        </w:rPr>
        <w:t>, nesta(s) faixa(s) etária(s)</w:t>
      </w:r>
      <w:r w:rsidR="00105316">
        <w:rPr>
          <w:rFonts w:ascii="Garamond" w:hAnsi="Garamond"/>
          <w:lang w:val="pt-PT"/>
        </w:rPr>
        <w:t>,</w:t>
      </w:r>
      <w:r w:rsidRPr="00FE1548">
        <w:rPr>
          <w:rFonts w:ascii="Garamond" w:hAnsi="Garamond"/>
          <w:lang w:val="pt-PT"/>
        </w:rPr>
        <w:t xml:space="preserve"> por excelência a idade </w:t>
      </w:r>
      <w:proofErr w:type="spellStart"/>
      <w:r w:rsidRPr="00FE1548">
        <w:rPr>
          <w:rFonts w:ascii="Garamond" w:hAnsi="Garamond"/>
          <w:lang w:val="pt-PT"/>
        </w:rPr>
        <w:t>ativa</w:t>
      </w:r>
      <w:proofErr w:type="spellEnd"/>
      <w:r w:rsidRPr="00FE1548">
        <w:rPr>
          <w:rFonts w:ascii="Garamond" w:hAnsi="Garamond"/>
          <w:lang w:val="pt-PT"/>
        </w:rPr>
        <w:t xml:space="preserve"> e reprodutiva, com consequências </w:t>
      </w:r>
      <w:proofErr w:type="spellStart"/>
      <w:r w:rsidRPr="00FE1548">
        <w:rPr>
          <w:rFonts w:ascii="Garamond" w:hAnsi="Garamond"/>
          <w:lang w:val="pt-PT"/>
        </w:rPr>
        <w:t>atuais</w:t>
      </w:r>
      <w:proofErr w:type="spellEnd"/>
      <w:r w:rsidRPr="00FE1548">
        <w:rPr>
          <w:rFonts w:ascii="Garamond" w:hAnsi="Garamond"/>
          <w:lang w:val="pt-PT"/>
        </w:rPr>
        <w:t xml:space="preserve"> e futuras</w:t>
      </w:r>
    </w:p>
    <w:p w14:paraId="68F9C050" w14:textId="77777777"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Cabe notar que existem múltiplas dimensões de género vinculadas aos processos migratórios, entre as quais significar por vezes para as mulheres “</w:t>
      </w:r>
      <w:r w:rsidRPr="00FE1548">
        <w:rPr>
          <w:rFonts w:ascii="Garamond" w:hAnsi="Garamond"/>
          <w:i/>
          <w:iCs/>
          <w:lang w:val="pt-PT"/>
        </w:rPr>
        <w:t>a fuga de uma estrutura social patriarcal com rígidas noções em relação à mulher</w:t>
      </w:r>
      <w:r w:rsidRPr="00FE1548">
        <w:rPr>
          <w:rFonts w:ascii="Garamond" w:hAnsi="Garamond"/>
          <w:lang w:val="pt-PT"/>
        </w:rPr>
        <w:t>”</w:t>
      </w:r>
      <w:r>
        <w:rPr>
          <w:rStyle w:val="Refdenotaderodap"/>
          <w:rFonts w:ascii="Garamond" w:hAnsi="Garamond"/>
        </w:rPr>
        <w:footnoteReference w:id="4"/>
      </w:r>
    </w:p>
    <w:p w14:paraId="5053AC42" w14:textId="38F39119" w:rsidR="00FE1548" w:rsidRPr="00FE1548" w:rsidRDefault="00FE1548" w:rsidP="002A62A2">
      <w:pPr>
        <w:pStyle w:val="PargrafodaLista"/>
        <w:numPr>
          <w:ilvl w:val="0"/>
          <w:numId w:val="64"/>
        </w:numPr>
        <w:shd w:val="clear" w:color="auto" w:fill="E7E6E6" w:themeFill="background2"/>
        <w:rPr>
          <w:rFonts w:ascii="Garamond" w:hAnsi="Garamond"/>
          <w:lang w:val="pt-PT"/>
        </w:rPr>
      </w:pPr>
      <w:r w:rsidRPr="00FE1548">
        <w:rPr>
          <w:rFonts w:ascii="Garamond" w:hAnsi="Garamond"/>
          <w:lang w:val="pt-PT"/>
        </w:rPr>
        <w:t>Na Boavista e no Sal, também é a faixa etária dos 25-44 anos que tem menor proporção de mulheres (33% e 43% respectivamente), neste caso num contexto de crescimento da população</w:t>
      </w:r>
      <w:r w:rsidR="00105316">
        <w:rPr>
          <w:rFonts w:ascii="Garamond" w:hAnsi="Garamond"/>
          <w:lang w:val="pt-PT"/>
        </w:rPr>
        <w:t xml:space="preserve">: </w:t>
      </w:r>
      <w:r w:rsidRPr="00FE1548">
        <w:rPr>
          <w:rFonts w:ascii="Garamond" w:hAnsi="Garamond"/>
          <w:lang w:val="pt-PT"/>
        </w:rPr>
        <w:t xml:space="preserve">provavelmente a mão de obra à procura trabalho é essencialmente masculina  </w:t>
      </w:r>
    </w:p>
    <w:p w14:paraId="35043432" w14:textId="7DD9251E" w:rsidR="00FE1548" w:rsidRPr="00FE1548" w:rsidRDefault="00FE1548" w:rsidP="002A62A2">
      <w:pPr>
        <w:pStyle w:val="PargrafodaLista"/>
        <w:numPr>
          <w:ilvl w:val="0"/>
          <w:numId w:val="64"/>
        </w:numPr>
        <w:shd w:val="clear" w:color="auto" w:fill="E7E6E6" w:themeFill="background2"/>
        <w:rPr>
          <w:rFonts w:ascii="Garamond" w:hAnsi="Garamond"/>
          <w:lang w:val="pt-PT"/>
        </w:rPr>
      </w:pPr>
      <w:proofErr w:type="spellStart"/>
      <w:r w:rsidRPr="00FE1548">
        <w:rPr>
          <w:rFonts w:ascii="Garamond" w:hAnsi="Garamond"/>
          <w:lang w:val="pt-PT"/>
        </w:rPr>
        <w:t>Pelo</w:t>
      </w:r>
      <w:proofErr w:type="spellEnd"/>
      <w:r w:rsidRPr="00FE1548">
        <w:rPr>
          <w:rFonts w:ascii="Garamond" w:hAnsi="Garamond"/>
          <w:lang w:val="pt-PT"/>
        </w:rPr>
        <w:t xml:space="preserve"> contrário, nas ilhas/municípios com maior proporção de mulheres, as mulheres predominam sobretudo nas faixas etárias dos 45-64 anos: 70% desta faixa etária são mulheres em São Miguel, 69% em São Salvador do Mundo, 68% no Tarrafal e em Santa Catarina, e acima dos 60% na Ribeira Grande de Santiago</w:t>
      </w:r>
      <w:r w:rsidR="00105316">
        <w:rPr>
          <w:rFonts w:ascii="Garamond" w:hAnsi="Garamond"/>
          <w:lang w:val="pt-PT"/>
        </w:rPr>
        <w:t xml:space="preserve">, </w:t>
      </w:r>
      <w:r w:rsidRPr="00FE1548">
        <w:rPr>
          <w:rFonts w:ascii="Garamond" w:hAnsi="Garamond"/>
          <w:lang w:val="pt-PT"/>
        </w:rPr>
        <w:t>São Domingos e Santa Cruz</w:t>
      </w:r>
    </w:p>
    <w:p w14:paraId="7D53424B" w14:textId="77777777" w:rsidR="00FE1548" w:rsidRPr="00FE1548" w:rsidRDefault="00FE1548" w:rsidP="002A62A2">
      <w:pPr>
        <w:pStyle w:val="PargrafodaLista"/>
        <w:numPr>
          <w:ilvl w:val="0"/>
          <w:numId w:val="64"/>
        </w:numPr>
        <w:shd w:val="clear" w:color="auto" w:fill="E7E6E6" w:themeFill="background2"/>
        <w:jc w:val="both"/>
        <w:rPr>
          <w:rFonts w:ascii="Garamond" w:hAnsi="Garamond"/>
          <w:lang w:val="pt-PT"/>
        </w:rPr>
      </w:pPr>
      <w:r w:rsidRPr="00FE1548">
        <w:rPr>
          <w:rFonts w:ascii="Garamond" w:hAnsi="Garamond"/>
          <w:lang w:val="pt-PT"/>
        </w:rPr>
        <w:t xml:space="preserve">Tanto o Tarrafal como São Miguel já mostram esta tendência na faixa etária dos 25-44 anos (55% de mulheres)     </w:t>
      </w:r>
    </w:p>
    <w:p w14:paraId="37AF1872" w14:textId="7623D44F" w:rsidR="00F6415D" w:rsidRPr="00F6415D" w:rsidRDefault="00105316" w:rsidP="002A62A2">
      <w:pPr>
        <w:pStyle w:val="PargrafodaLista"/>
        <w:numPr>
          <w:ilvl w:val="0"/>
          <w:numId w:val="63"/>
        </w:numPr>
        <w:shd w:val="clear" w:color="auto" w:fill="E7E6E6" w:themeFill="background2"/>
        <w:spacing w:after="240"/>
        <w:ind w:left="357" w:hanging="357"/>
        <w:contextualSpacing w:val="0"/>
        <w:jc w:val="both"/>
        <w:rPr>
          <w:rFonts w:ascii="Garamond" w:hAnsi="Garamond" w:cs="Times New Roman"/>
          <w:lang w:val="pt-PT"/>
        </w:rPr>
      </w:pPr>
      <w:r>
        <w:rPr>
          <w:rFonts w:ascii="Garamond" w:hAnsi="Garamond"/>
          <w:lang w:val="pt-PT"/>
        </w:rPr>
        <w:t xml:space="preserve">Com </w:t>
      </w:r>
      <w:r w:rsidR="00FE1548" w:rsidRPr="00FE1548">
        <w:rPr>
          <w:rFonts w:ascii="Garamond" w:hAnsi="Garamond"/>
          <w:lang w:val="pt-PT"/>
        </w:rPr>
        <w:t>implicações em termos de perfil de empregabilidade no presente, e de dependência económica e de cuidados no futuro, em municípios com características rurais.</w:t>
      </w:r>
    </w:p>
    <w:p w14:paraId="32C871E3" w14:textId="07F4E330" w:rsidR="00F1265A" w:rsidRDefault="00F1265A" w:rsidP="00F1265A">
      <w:pPr>
        <w:pStyle w:val="PargrafodaLista"/>
        <w:ind w:left="0"/>
        <w:jc w:val="both"/>
        <w:rPr>
          <w:rFonts w:ascii="Garamond" w:hAnsi="Garamond" w:cs="Times New Roman"/>
          <w:lang w:val="pt-PT"/>
        </w:rPr>
      </w:pPr>
      <w:r w:rsidRPr="006E2541">
        <w:rPr>
          <w:rFonts w:ascii="Garamond" w:hAnsi="Garamond" w:cs="Times New Roman"/>
          <w:lang w:val="pt-PT"/>
        </w:rPr>
        <w:t xml:space="preserve">Apesar dos progressos notáveis </w:t>
      </w:r>
      <w:r w:rsidRPr="006E2541">
        <w:rPr>
          <w:rFonts w:ascii="Times New Roman" w:hAnsi="Times New Roman" w:cs="Times New Roman"/>
          <w:lang w:val="pt-PT"/>
        </w:rPr>
        <w:t>​​</w:t>
      </w:r>
      <w:r w:rsidRPr="006E2541">
        <w:rPr>
          <w:rFonts w:ascii="Garamond" w:hAnsi="Garamond" w:cs="Times New Roman"/>
          <w:lang w:val="pt-PT"/>
        </w:rPr>
        <w:t xml:space="preserve">na área da democracia, desenvolvimento humano e boa governação, </w:t>
      </w:r>
      <w:r>
        <w:rPr>
          <w:rFonts w:ascii="Garamond" w:hAnsi="Garamond" w:cs="Times New Roman"/>
          <w:lang w:val="pt-PT"/>
        </w:rPr>
        <w:t xml:space="preserve">registando avanços consideráveis na implementação dos </w:t>
      </w:r>
      <w:proofErr w:type="spellStart"/>
      <w:r>
        <w:rPr>
          <w:rFonts w:ascii="Garamond" w:hAnsi="Garamond" w:cs="Times New Roman"/>
          <w:lang w:val="pt-PT"/>
        </w:rPr>
        <w:t>ODS</w:t>
      </w:r>
      <w:proofErr w:type="spellEnd"/>
      <w:r>
        <w:rPr>
          <w:rFonts w:ascii="Garamond" w:hAnsi="Garamond" w:cs="Times New Roman"/>
          <w:lang w:val="pt-PT"/>
        </w:rPr>
        <w:t xml:space="preserve"> (Relatório Voluntario Nacional aos </w:t>
      </w:r>
      <w:proofErr w:type="spellStart"/>
      <w:r>
        <w:rPr>
          <w:rFonts w:ascii="Garamond" w:hAnsi="Garamond" w:cs="Times New Roman"/>
          <w:lang w:val="pt-PT"/>
        </w:rPr>
        <w:t>ODS</w:t>
      </w:r>
      <w:proofErr w:type="spellEnd"/>
      <w:r>
        <w:rPr>
          <w:rFonts w:ascii="Garamond" w:hAnsi="Garamond" w:cs="Times New Roman"/>
          <w:lang w:val="pt-PT"/>
        </w:rPr>
        <w:t xml:space="preserve">, </w:t>
      </w:r>
      <w:proofErr w:type="spellStart"/>
      <w:r>
        <w:rPr>
          <w:rFonts w:ascii="Garamond" w:hAnsi="Garamond" w:cs="Times New Roman"/>
          <w:lang w:val="pt-PT"/>
        </w:rPr>
        <w:t>VNR</w:t>
      </w:r>
      <w:proofErr w:type="spellEnd"/>
      <w:r>
        <w:rPr>
          <w:rFonts w:ascii="Garamond" w:hAnsi="Garamond" w:cs="Times New Roman"/>
          <w:lang w:val="pt-PT"/>
        </w:rPr>
        <w:t xml:space="preserve"> 2018)</w:t>
      </w:r>
      <w:r w:rsidRPr="006E2541">
        <w:rPr>
          <w:rFonts w:ascii="Garamond" w:hAnsi="Garamond" w:cs="Times New Roman"/>
          <w:lang w:val="pt-PT"/>
        </w:rPr>
        <w:t xml:space="preserve">, Cabo Verde enfrenta um conjunto multifacetado de vulnerabilidades, principalmente relacionadas com a sua posição geopolítica, </w:t>
      </w:r>
      <w:r>
        <w:rPr>
          <w:rFonts w:ascii="Garamond" w:hAnsi="Garamond" w:cs="Times New Roman"/>
          <w:lang w:val="pt-PT"/>
        </w:rPr>
        <w:t>a influencia d</w:t>
      </w:r>
      <w:r w:rsidRPr="006E2541">
        <w:rPr>
          <w:rFonts w:ascii="Garamond" w:hAnsi="Garamond" w:cs="Times New Roman"/>
          <w:lang w:val="pt-PT"/>
        </w:rPr>
        <w:t>o clima do Sahel, uma geração particularmente jove</w:t>
      </w:r>
      <w:r>
        <w:rPr>
          <w:rFonts w:ascii="Garamond" w:hAnsi="Garamond" w:cs="Times New Roman"/>
          <w:lang w:val="pt-PT"/>
        </w:rPr>
        <w:t>m</w:t>
      </w:r>
      <w:r w:rsidRPr="006E2541">
        <w:rPr>
          <w:rFonts w:ascii="Garamond" w:hAnsi="Garamond" w:cs="Times New Roman"/>
          <w:lang w:val="pt-PT"/>
        </w:rPr>
        <w:t xml:space="preserve"> e a elevada taxa de desemprego entre os jovens, </w:t>
      </w:r>
      <w:proofErr w:type="spellStart"/>
      <w:r w:rsidRPr="006E2541">
        <w:rPr>
          <w:rFonts w:ascii="Garamond" w:hAnsi="Garamond" w:cs="Times New Roman"/>
          <w:lang w:val="pt-PT"/>
        </w:rPr>
        <w:t>afetando</w:t>
      </w:r>
      <w:proofErr w:type="spellEnd"/>
      <w:r w:rsidRPr="006E2541">
        <w:rPr>
          <w:rFonts w:ascii="Garamond" w:hAnsi="Garamond" w:cs="Times New Roman"/>
          <w:lang w:val="pt-PT"/>
        </w:rPr>
        <w:t xml:space="preserve"> em particular as mulheres. </w:t>
      </w:r>
    </w:p>
    <w:p w14:paraId="58BC5505" w14:textId="77777777" w:rsidR="008000D8" w:rsidRDefault="008000D8" w:rsidP="00F1265A">
      <w:pPr>
        <w:pStyle w:val="PargrafodaLista"/>
        <w:ind w:left="0"/>
        <w:jc w:val="both"/>
        <w:rPr>
          <w:rFonts w:ascii="Garamond" w:hAnsi="Garamond" w:cs="Times New Roman"/>
          <w:lang w:val="pt-PT"/>
        </w:rPr>
      </w:pPr>
    </w:p>
    <w:p w14:paraId="4EC5DB1E" w14:textId="3C2087CA" w:rsidR="00F1265A" w:rsidRPr="006E2541" w:rsidRDefault="004D1917" w:rsidP="004D1917">
      <w:pPr>
        <w:pStyle w:val="PargrafodaLista"/>
        <w:spacing w:after="240"/>
        <w:ind w:left="0"/>
        <w:contextualSpacing w:val="0"/>
        <w:jc w:val="both"/>
        <w:rPr>
          <w:rFonts w:ascii="Garamond" w:hAnsi="Garamond" w:cs="Times New Roman"/>
          <w:lang w:val="pt-PT"/>
        </w:rPr>
      </w:pPr>
      <w:r>
        <w:rPr>
          <w:rFonts w:ascii="Garamond" w:hAnsi="Garamond" w:cs="Times New Roman"/>
          <w:lang w:val="pt-PT"/>
        </w:rPr>
        <w:t xml:space="preserve">A </w:t>
      </w:r>
      <w:r w:rsidR="00F1265A" w:rsidRPr="004D1917">
        <w:rPr>
          <w:rFonts w:ascii="Garamond" w:hAnsi="Garamond" w:cs="Times New Roman"/>
          <w:lang w:val="pt-PT"/>
        </w:rPr>
        <w:t xml:space="preserve">insegurança humana no país é também uma preocupação e </w:t>
      </w:r>
      <w:r>
        <w:rPr>
          <w:rFonts w:ascii="Garamond" w:hAnsi="Garamond" w:cs="Times New Roman"/>
          <w:lang w:val="pt-PT"/>
        </w:rPr>
        <w:t xml:space="preserve">está </w:t>
      </w:r>
      <w:r w:rsidR="00F1265A" w:rsidRPr="004D1917">
        <w:rPr>
          <w:rFonts w:ascii="Garamond" w:hAnsi="Garamond" w:cs="Times New Roman"/>
          <w:lang w:val="pt-PT"/>
        </w:rPr>
        <w:t>associad</w:t>
      </w:r>
      <w:r>
        <w:rPr>
          <w:rFonts w:ascii="Garamond" w:hAnsi="Garamond" w:cs="Times New Roman"/>
          <w:lang w:val="pt-PT"/>
        </w:rPr>
        <w:t>a</w:t>
      </w:r>
      <w:r w:rsidR="00F1265A" w:rsidRPr="004D1917">
        <w:rPr>
          <w:rFonts w:ascii="Garamond" w:hAnsi="Garamond" w:cs="Times New Roman"/>
          <w:lang w:val="pt-PT"/>
        </w:rPr>
        <w:t xml:space="preserve"> às taxas de abandono escolar, o aumento no desemprego juvenil, uso e tráfico de drogas, taxas de criminalidade, violência e aumento da vulnerabilidade do país a eventos climáticos e mudanças climáticas. Reforçando-se mutuamente, essas ameaças podem criar círculos viciosos de desemprego, pobreza, vulnerabilidade e insegurança que </w:t>
      </w:r>
      <w:proofErr w:type="spellStart"/>
      <w:r w:rsidR="00F1265A" w:rsidRPr="004D1917">
        <w:rPr>
          <w:rFonts w:ascii="Garamond" w:hAnsi="Garamond" w:cs="Times New Roman"/>
          <w:lang w:val="pt-PT"/>
        </w:rPr>
        <w:t>afetam</w:t>
      </w:r>
      <w:proofErr w:type="spellEnd"/>
      <w:r w:rsidR="00F1265A" w:rsidRPr="004D1917">
        <w:rPr>
          <w:rFonts w:ascii="Garamond" w:hAnsi="Garamond" w:cs="Times New Roman"/>
          <w:lang w:val="pt-PT"/>
        </w:rPr>
        <w:t xml:space="preserve"> especialmente os jovens e as mulheres e representam um risco para a consolidação das conquistas do desenvolvimento humano do país nas últimas décadas.</w:t>
      </w:r>
    </w:p>
    <w:p w14:paraId="1773FCF2" w14:textId="5EB6D71F" w:rsidR="00F1265A" w:rsidRDefault="00F1265A" w:rsidP="004D1917">
      <w:pPr>
        <w:pStyle w:val="PargrafodaLista"/>
        <w:spacing w:after="240"/>
        <w:ind w:left="0"/>
        <w:contextualSpacing w:val="0"/>
        <w:jc w:val="both"/>
        <w:rPr>
          <w:rFonts w:ascii="Garamond" w:hAnsi="Garamond" w:cs="Times New Roman"/>
          <w:lang w:val="pt-PT"/>
        </w:rPr>
      </w:pPr>
      <w:r w:rsidRPr="006E2541">
        <w:rPr>
          <w:rFonts w:ascii="Garamond" w:hAnsi="Garamond" w:cs="Times New Roman"/>
          <w:lang w:val="pt-PT"/>
        </w:rPr>
        <w:t xml:space="preserve">Para além disso, o contexto específico de Cabo Verde (sendo um </w:t>
      </w:r>
      <w:proofErr w:type="spellStart"/>
      <w:r w:rsidRPr="006E2541">
        <w:rPr>
          <w:rFonts w:ascii="Garamond" w:hAnsi="Garamond" w:cs="Times New Roman"/>
          <w:lang w:val="pt-PT"/>
        </w:rPr>
        <w:t>SIDS</w:t>
      </w:r>
      <w:proofErr w:type="spellEnd"/>
      <w:r w:rsidRPr="006E2541">
        <w:rPr>
          <w:rFonts w:ascii="Garamond" w:hAnsi="Garamond" w:cs="Times New Roman"/>
          <w:lang w:val="pt-PT"/>
        </w:rPr>
        <w:t xml:space="preserve"> e </w:t>
      </w:r>
      <w:proofErr w:type="spellStart"/>
      <w:r w:rsidRPr="006E2541">
        <w:rPr>
          <w:rFonts w:ascii="Garamond" w:hAnsi="Garamond" w:cs="Times New Roman"/>
          <w:lang w:val="pt-PT"/>
        </w:rPr>
        <w:t>MIC</w:t>
      </w:r>
      <w:r w:rsidR="004D1917">
        <w:rPr>
          <w:rFonts w:ascii="Garamond" w:hAnsi="Garamond" w:cs="Times New Roman"/>
          <w:lang w:val="pt-PT"/>
        </w:rPr>
        <w:t>s</w:t>
      </w:r>
      <w:proofErr w:type="spellEnd"/>
      <w:r w:rsidRPr="006E2541">
        <w:rPr>
          <w:rFonts w:ascii="Garamond" w:hAnsi="Garamond" w:cs="Times New Roman"/>
          <w:lang w:val="pt-PT"/>
        </w:rPr>
        <w:t>)</w:t>
      </w:r>
      <w:r w:rsidR="004D1917">
        <w:rPr>
          <w:rStyle w:val="Refdenotaderodap"/>
          <w:rFonts w:ascii="Garamond" w:hAnsi="Garamond" w:cs="Times New Roman"/>
          <w:lang w:val="pt-PT"/>
        </w:rPr>
        <w:footnoteReference w:id="5"/>
      </w:r>
      <w:r w:rsidRPr="006E2541">
        <w:rPr>
          <w:rFonts w:ascii="Garamond" w:hAnsi="Garamond" w:cs="Times New Roman"/>
          <w:lang w:val="pt-PT"/>
        </w:rPr>
        <w:t xml:space="preserve"> exige um quadro de cooperação diferenciado para os parceiros internacionais de desenvolvimento. Por um lado, apresenta um conjunto de oportunidades como: o dividendo demográfico, como oportunidade para mulheres e jovens; capacidades técnicas internas / locais desenvolvidas (fazer mais com menos); boa governação, instituições democráticas, processos eleitorais transparentes e participativos e meios de comunicação livres são, ao mesmo tempo, pontos fortes e oportunidades chave para alavancar o progresso nos direitos humanos das mulheres e na igualdade de género; maior potencial para a cooperação sul-sul, permitindo a exploração de outras formas de cooperação para o desenvolvimento e o pensamento estratégico político para financiar o desenvolvimento, inclusive recursos internos</w:t>
      </w:r>
      <w:r>
        <w:rPr>
          <w:rFonts w:ascii="Garamond" w:hAnsi="Garamond" w:cs="Times New Roman"/>
          <w:lang w:val="pt-PT"/>
        </w:rPr>
        <w:t>.</w:t>
      </w:r>
    </w:p>
    <w:p w14:paraId="57BB8ABB" w14:textId="2046E64D" w:rsidR="00F1265A" w:rsidRDefault="00D724B2" w:rsidP="004D1917">
      <w:pPr>
        <w:pStyle w:val="PargrafodaLista"/>
        <w:spacing w:after="240"/>
        <w:ind w:left="0"/>
        <w:contextualSpacing w:val="0"/>
        <w:jc w:val="both"/>
        <w:rPr>
          <w:rFonts w:ascii="Garamond" w:hAnsi="Garamond" w:cs="Times New Roman"/>
          <w:lang w:val="pt-PT"/>
        </w:rPr>
      </w:pPr>
      <w:r>
        <w:rPr>
          <w:rFonts w:ascii="Garamond" w:hAnsi="Garamond" w:cs="Times New Roman"/>
          <w:lang w:val="pt-PT"/>
        </w:rPr>
        <w:t>O alcance</w:t>
      </w:r>
      <w:r w:rsidR="00F1265A" w:rsidRPr="006E2541">
        <w:rPr>
          <w:rFonts w:ascii="Garamond" w:hAnsi="Garamond" w:cs="Times New Roman"/>
          <w:lang w:val="pt-PT"/>
        </w:rPr>
        <w:t xml:space="preserve"> dos </w:t>
      </w:r>
      <w:proofErr w:type="spellStart"/>
      <w:r w:rsidR="00F1265A" w:rsidRPr="006E2541">
        <w:rPr>
          <w:rFonts w:ascii="Garamond" w:hAnsi="Garamond" w:cs="Times New Roman"/>
          <w:lang w:val="pt-PT"/>
        </w:rPr>
        <w:t>O</w:t>
      </w:r>
      <w:r>
        <w:rPr>
          <w:rFonts w:ascii="Garamond" w:hAnsi="Garamond" w:cs="Times New Roman"/>
          <w:lang w:val="pt-PT"/>
        </w:rPr>
        <w:t>DS</w:t>
      </w:r>
      <w:proofErr w:type="spellEnd"/>
      <w:r w:rsidR="00F1265A">
        <w:rPr>
          <w:rFonts w:ascii="Garamond" w:hAnsi="Garamond" w:cs="Times New Roman"/>
          <w:lang w:val="pt-PT"/>
        </w:rPr>
        <w:t xml:space="preserve"> </w:t>
      </w:r>
      <w:r w:rsidR="00F1265A" w:rsidRPr="006E2541">
        <w:rPr>
          <w:rFonts w:ascii="Garamond" w:hAnsi="Garamond" w:cs="Times New Roman"/>
          <w:lang w:val="pt-PT"/>
        </w:rPr>
        <w:t xml:space="preserve">e as condições para o cumprimento dos direitos fundamentais dos cidadãos e reduzindo as desigualdades entre homens e mulheres é considerada uma questão central para a redução da pobreza e para o desenvolvimento sustentável. </w:t>
      </w:r>
    </w:p>
    <w:p w14:paraId="50C61853" w14:textId="0970825C" w:rsidR="00F1265A" w:rsidRDefault="00F1265A" w:rsidP="00F1265A">
      <w:pPr>
        <w:pStyle w:val="PargrafodaLista"/>
        <w:ind w:left="0"/>
        <w:jc w:val="both"/>
        <w:rPr>
          <w:rFonts w:ascii="Garamond" w:hAnsi="Garamond" w:cs="Times New Roman"/>
          <w:lang w:val="pt-PT"/>
        </w:rPr>
      </w:pPr>
      <w:r w:rsidRPr="006E2541">
        <w:rPr>
          <w:rFonts w:ascii="Garamond" w:hAnsi="Garamond" w:cs="Times New Roman"/>
          <w:lang w:val="pt-PT"/>
        </w:rPr>
        <w:t xml:space="preserve">Por outro lado, sendo </w:t>
      </w:r>
      <w:r w:rsidR="00DE52BB">
        <w:rPr>
          <w:rFonts w:ascii="Garamond" w:hAnsi="Garamond" w:cs="Times New Roman"/>
          <w:lang w:val="pt-PT"/>
        </w:rPr>
        <w:t xml:space="preserve">o país </w:t>
      </w:r>
      <w:r w:rsidRPr="006E2541">
        <w:rPr>
          <w:rFonts w:ascii="Garamond" w:hAnsi="Garamond" w:cs="Times New Roman"/>
          <w:lang w:val="pt-PT"/>
        </w:rPr>
        <w:t xml:space="preserve">parte dos </w:t>
      </w:r>
      <w:proofErr w:type="spellStart"/>
      <w:r w:rsidRPr="006E2541">
        <w:rPr>
          <w:rFonts w:ascii="Garamond" w:hAnsi="Garamond" w:cs="Times New Roman"/>
          <w:lang w:val="pt-PT"/>
        </w:rPr>
        <w:t>MIC</w:t>
      </w:r>
      <w:r>
        <w:rPr>
          <w:rFonts w:ascii="Garamond" w:hAnsi="Garamond" w:cs="Times New Roman"/>
          <w:lang w:val="pt-PT"/>
        </w:rPr>
        <w:t>S</w:t>
      </w:r>
      <w:proofErr w:type="spellEnd"/>
      <w:r w:rsidRPr="006E2541">
        <w:rPr>
          <w:rFonts w:ascii="Garamond" w:hAnsi="Garamond" w:cs="Times New Roman"/>
          <w:lang w:val="pt-PT"/>
        </w:rPr>
        <w:t xml:space="preserve"> e </w:t>
      </w:r>
      <w:proofErr w:type="spellStart"/>
      <w:r w:rsidRPr="006E2541">
        <w:rPr>
          <w:rFonts w:ascii="Garamond" w:hAnsi="Garamond" w:cs="Times New Roman"/>
          <w:lang w:val="pt-PT"/>
        </w:rPr>
        <w:t>SIDS</w:t>
      </w:r>
      <w:proofErr w:type="spellEnd"/>
      <w:r w:rsidRPr="006E2541">
        <w:rPr>
          <w:rFonts w:ascii="Garamond" w:hAnsi="Garamond" w:cs="Times New Roman"/>
          <w:lang w:val="pt-PT"/>
        </w:rPr>
        <w:t xml:space="preserve">, </w:t>
      </w:r>
      <w:r w:rsidR="00DE52BB">
        <w:rPr>
          <w:rFonts w:ascii="Garamond" w:hAnsi="Garamond" w:cs="Times New Roman"/>
          <w:lang w:val="pt-PT"/>
        </w:rPr>
        <w:t xml:space="preserve">há </w:t>
      </w:r>
      <w:r w:rsidRPr="006E2541">
        <w:rPr>
          <w:rFonts w:ascii="Garamond" w:hAnsi="Garamond" w:cs="Times New Roman"/>
          <w:lang w:val="pt-PT"/>
        </w:rPr>
        <w:t xml:space="preserve">desafios </w:t>
      </w:r>
      <w:r w:rsidR="00DE52BB">
        <w:rPr>
          <w:rFonts w:ascii="Garamond" w:hAnsi="Garamond" w:cs="Times New Roman"/>
          <w:lang w:val="pt-PT"/>
        </w:rPr>
        <w:t xml:space="preserve">de monta, </w:t>
      </w:r>
      <w:r w:rsidRPr="006E2541">
        <w:rPr>
          <w:rFonts w:ascii="Garamond" w:hAnsi="Garamond" w:cs="Times New Roman"/>
          <w:lang w:val="pt-PT"/>
        </w:rPr>
        <w:t xml:space="preserve">como a capacidade de sustentar o progresso no contexto de vulnerabilidades </w:t>
      </w:r>
      <w:r w:rsidR="004D1917" w:rsidRPr="006E2541">
        <w:rPr>
          <w:rFonts w:ascii="Garamond" w:hAnsi="Garamond" w:cs="Times New Roman"/>
          <w:lang w:val="pt-PT"/>
        </w:rPr>
        <w:t>económicas</w:t>
      </w:r>
      <w:r w:rsidRPr="006E2541">
        <w:rPr>
          <w:rFonts w:ascii="Garamond" w:hAnsi="Garamond" w:cs="Times New Roman"/>
          <w:lang w:val="pt-PT"/>
        </w:rPr>
        <w:t xml:space="preserve"> (a economia é pequena, não-diversificada e dependente de remessas de ajuda e de migrantes); as vulnerabilidades ambientais (país do Sahel carente </w:t>
      </w:r>
      <w:r w:rsidR="00DE52BB">
        <w:rPr>
          <w:rFonts w:ascii="Garamond" w:hAnsi="Garamond" w:cs="Times New Roman"/>
          <w:lang w:val="pt-PT"/>
        </w:rPr>
        <w:t>em</w:t>
      </w:r>
      <w:r w:rsidRPr="006E2541">
        <w:rPr>
          <w:rFonts w:ascii="Garamond" w:hAnsi="Garamond" w:cs="Times New Roman"/>
          <w:lang w:val="pt-PT"/>
        </w:rPr>
        <w:t xml:space="preserve"> recursos naturais</w:t>
      </w:r>
      <w:r w:rsidR="00DE52BB">
        <w:rPr>
          <w:rFonts w:ascii="Garamond" w:hAnsi="Garamond" w:cs="Times New Roman"/>
          <w:lang w:val="pt-PT"/>
        </w:rPr>
        <w:t xml:space="preserve">, </w:t>
      </w:r>
      <w:r w:rsidRPr="006E2541">
        <w:rPr>
          <w:rFonts w:ascii="Garamond" w:hAnsi="Garamond" w:cs="Times New Roman"/>
          <w:lang w:val="pt-PT"/>
        </w:rPr>
        <w:t>sujeito aos efeitos da</w:t>
      </w:r>
      <w:r w:rsidR="00DE52BB">
        <w:rPr>
          <w:rFonts w:ascii="Garamond" w:hAnsi="Garamond" w:cs="Times New Roman"/>
          <w:lang w:val="pt-PT"/>
        </w:rPr>
        <w:t>s</w:t>
      </w:r>
      <w:r w:rsidRPr="006E2541">
        <w:rPr>
          <w:rFonts w:ascii="Garamond" w:hAnsi="Garamond" w:cs="Times New Roman"/>
          <w:lang w:val="pt-PT"/>
        </w:rPr>
        <w:t xml:space="preserve"> mudança</w:t>
      </w:r>
      <w:r w:rsidR="00DE52BB">
        <w:rPr>
          <w:rFonts w:ascii="Garamond" w:hAnsi="Garamond" w:cs="Times New Roman"/>
          <w:lang w:val="pt-PT"/>
        </w:rPr>
        <w:t>s</w:t>
      </w:r>
      <w:r w:rsidRPr="006E2541">
        <w:rPr>
          <w:rFonts w:ascii="Garamond" w:hAnsi="Garamond" w:cs="Times New Roman"/>
          <w:lang w:val="pt-PT"/>
        </w:rPr>
        <w:t xml:space="preserve"> climática</w:t>
      </w:r>
      <w:r w:rsidR="00DE52BB">
        <w:rPr>
          <w:rFonts w:ascii="Garamond" w:hAnsi="Garamond" w:cs="Times New Roman"/>
          <w:lang w:val="pt-PT"/>
        </w:rPr>
        <w:t>s</w:t>
      </w:r>
      <w:r w:rsidRPr="006E2541">
        <w:rPr>
          <w:rFonts w:ascii="Garamond" w:hAnsi="Garamond" w:cs="Times New Roman"/>
          <w:lang w:val="pt-PT"/>
        </w:rPr>
        <w:t>) e vulnerabilidades geográficas</w:t>
      </w:r>
      <w:r w:rsidR="00DE52BB">
        <w:rPr>
          <w:rFonts w:ascii="Garamond" w:hAnsi="Garamond" w:cs="Times New Roman"/>
          <w:lang w:val="pt-PT"/>
        </w:rPr>
        <w:t>; reduç</w:t>
      </w:r>
      <w:r w:rsidRPr="006E2541">
        <w:rPr>
          <w:rFonts w:ascii="Garamond" w:hAnsi="Garamond" w:cs="Times New Roman"/>
          <w:lang w:val="pt-PT"/>
        </w:rPr>
        <w:t>ão contínua do financiamento para o desenvolvimento.</w:t>
      </w:r>
    </w:p>
    <w:p w14:paraId="4A1FA06D" w14:textId="77777777" w:rsidR="00F1265A" w:rsidRPr="00EF0716" w:rsidRDefault="00F1265A" w:rsidP="00F1265A">
      <w:pPr>
        <w:pStyle w:val="PargrafodaLista"/>
        <w:spacing w:line="276" w:lineRule="auto"/>
        <w:jc w:val="both"/>
        <w:rPr>
          <w:rFonts w:ascii="Garamond" w:hAnsi="Garamond" w:cs="Times New Roman"/>
          <w:lang w:val="pt-PT"/>
        </w:rPr>
      </w:pPr>
    </w:p>
    <w:p w14:paraId="3A5A4180" w14:textId="7DDE79B0" w:rsidR="00F1265A" w:rsidRPr="00337F9F" w:rsidRDefault="00F1265A" w:rsidP="00337F9F">
      <w:pPr>
        <w:pStyle w:val="Ttulo2"/>
        <w:jc w:val="both"/>
        <w:rPr>
          <w:rFonts w:ascii="Garamond" w:hAnsi="Garamond" w:cs="Times New Roman"/>
          <w:b/>
          <w:color w:val="auto"/>
          <w:sz w:val="28"/>
          <w:szCs w:val="28"/>
          <w:lang w:val="pt-PT"/>
        </w:rPr>
      </w:pPr>
      <w:bookmarkStart w:id="13" w:name="_Hlk21358562"/>
      <w:bookmarkStart w:id="14" w:name="_Toc32858122"/>
      <w:r w:rsidRPr="00337F9F">
        <w:rPr>
          <w:rFonts w:ascii="Garamond" w:hAnsi="Garamond" w:cs="Times New Roman"/>
          <w:b/>
          <w:color w:val="auto"/>
          <w:sz w:val="28"/>
          <w:szCs w:val="28"/>
          <w:lang w:val="pt-PT"/>
        </w:rPr>
        <w:t>Principais avanços e desafios de igualdade de género</w:t>
      </w:r>
      <w:bookmarkEnd w:id="14"/>
      <w:r w:rsidRPr="00337F9F">
        <w:rPr>
          <w:rFonts w:ascii="Garamond" w:hAnsi="Garamond" w:cs="Times New Roman"/>
          <w:b/>
          <w:color w:val="auto"/>
          <w:sz w:val="28"/>
          <w:szCs w:val="28"/>
          <w:lang w:val="pt-PT"/>
        </w:rPr>
        <w:t xml:space="preserve"> </w:t>
      </w:r>
    </w:p>
    <w:p w14:paraId="28C9AC26" w14:textId="70F20E33" w:rsidR="00F1265A" w:rsidRDefault="00F1265A" w:rsidP="00213C8D">
      <w:pPr>
        <w:pStyle w:val="PargrafodaLista"/>
        <w:spacing w:after="240"/>
        <w:ind w:left="0"/>
        <w:contextualSpacing w:val="0"/>
        <w:jc w:val="both"/>
        <w:rPr>
          <w:rFonts w:ascii="Garamond" w:hAnsi="Garamond" w:cs="Times New Roman"/>
          <w:lang w:val="pt-PT"/>
        </w:rPr>
      </w:pPr>
      <w:r w:rsidRPr="008F7360">
        <w:rPr>
          <w:rFonts w:ascii="Garamond" w:hAnsi="Garamond" w:cs="Times New Roman"/>
          <w:lang w:val="pt-PT"/>
        </w:rPr>
        <w:t xml:space="preserve">Cabo Verde tem registado progressos significativos na promoção da igualdade de género, </w:t>
      </w:r>
      <w:r w:rsidR="00CC0CEF">
        <w:rPr>
          <w:rFonts w:ascii="Garamond" w:hAnsi="Garamond" w:cs="Times New Roman"/>
          <w:lang w:val="pt-PT"/>
        </w:rPr>
        <w:t xml:space="preserve">tanto </w:t>
      </w:r>
      <w:r w:rsidRPr="008F7360">
        <w:rPr>
          <w:rFonts w:ascii="Garamond" w:hAnsi="Garamond" w:cs="Times New Roman"/>
          <w:lang w:val="pt-PT"/>
        </w:rPr>
        <w:t>na criação de um ambiente legal e político favorável à promoção da igualdade de género</w:t>
      </w:r>
      <w:r w:rsidR="00CC0CEF">
        <w:rPr>
          <w:rFonts w:ascii="Garamond" w:hAnsi="Garamond" w:cs="Times New Roman"/>
          <w:lang w:val="pt-PT"/>
        </w:rPr>
        <w:t xml:space="preserve">; como </w:t>
      </w:r>
      <w:r w:rsidRPr="008F7360">
        <w:rPr>
          <w:rFonts w:ascii="Garamond" w:hAnsi="Garamond" w:cs="Times New Roman"/>
          <w:lang w:val="pt-PT"/>
        </w:rPr>
        <w:t>na produção e disseminação de estatísticas desagregadas e sensíveis ao género para apoiar a formulação de políticas baseadas em evidências e monitoramento e avaliação de compromissos internacionais e nacionais</w:t>
      </w:r>
      <w:r w:rsidR="00CC0CEF">
        <w:rPr>
          <w:rFonts w:ascii="Garamond" w:hAnsi="Garamond" w:cs="Times New Roman"/>
          <w:lang w:val="pt-PT"/>
        </w:rPr>
        <w:t>;</w:t>
      </w:r>
      <w:r w:rsidRPr="008F7360">
        <w:rPr>
          <w:rFonts w:ascii="Garamond" w:hAnsi="Garamond" w:cs="Times New Roman"/>
          <w:lang w:val="pt-PT"/>
        </w:rPr>
        <w:t xml:space="preserve"> </w:t>
      </w:r>
      <w:r w:rsidR="00CC0CEF">
        <w:rPr>
          <w:rFonts w:ascii="Garamond" w:hAnsi="Garamond" w:cs="Times New Roman"/>
          <w:lang w:val="pt-PT"/>
        </w:rPr>
        <w:t xml:space="preserve">como ainda </w:t>
      </w:r>
      <w:r w:rsidRPr="008F7360">
        <w:rPr>
          <w:rFonts w:ascii="Garamond" w:hAnsi="Garamond" w:cs="Times New Roman"/>
          <w:lang w:val="pt-PT"/>
        </w:rPr>
        <w:t xml:space="preserve">na implementação de uma abordagem sistemática para a mobilização social e no estabelecimento de alianças </w:t>
      </w:r>
      <w:r>
        <w:rPr>
          <w:rFonts w:ascii="Garamond" w:hAnsi="Garamond" w:cs="Times New Roman"/>
          <w:lang w:val="pt-PT"/>
        </w:rPr>
        <w:t xml:space="preserve">estratégicas </w:t>
      </w:r>
      <w:r w:rsidRPr="008F7360">
        <w:rPr>
          <w:rFonts w:ascii="Garamond" w:hAnsi="Garamond" w:cs="Times New Roman"/>
          <w:lang w:val="pt-PT"/>
        </w:rPr>
        <w:t>na luta contra a discriminação e a violência contra a</w:t>
      </w:r>
      <w:r>
        <w:rPr>
          <w:rFonts w:ascii="Garamond" w:hAnsi="Garamond" w:cs="Times New Roman"/>
          <w:lang w:val="pt-PT"/>
        </w:rPr>
        <w:t xml:space="preserve">s </w:t>
      </w:r>
      <w:r w:rsidRPr="008F7360">
        <w:rPr>
          <w:rFonts w:ascii="Garamond" w:hAnsi="Garamond" w:cs="Times New Roman"/>
          <w:lang w:val="pt-PT"/>
        </w:rPr>
        <w:t>mulher</w:t>
      </w:r>
      <w:r>
        <w:rPr>
          <w:rFonts w:ascii="Garamond" w:hAnsi="Garamond" w:cs="Times New Roman"/>
          <w:lang w:val="pt-PT"/>
        </w:rPr>
        <w:t>es e meninas</w:t>
      </w:r>
      <w:r w:rsidR="00CC0CEF">
        <w:rPr>
          <w:rFonts w:ascii="Garamond" w:hAnsi="Garamond" w:cs="Times New Roman"/>
          <w:lang w:val="pt-PT"/>
        </w:rPr>
        <w:t xml:space="preserve">, com impacto na mudança de comportamento das pessoas e instituições. </w:t>
      </w:r>
    </w:p>
    <w:p w14:paraId="6F28BE80" w14:textId="20D690C4" w:rsidR="00F1265A" w:rsidRDefault="00F1265A" w:rsidP="00213C8D">
      <w:pPr>
        <w:pStyle w:val="PargrafodaLista"/>
        <w:spacing w:after="240"/>
        <w:ind w:left="0"/>
        <w:contextualSpacing w:val="0"/>
        <w:jc w:val="both"/>
        <w:rPr>
          <w:rFonts w:ascii="Garamond" w:hAnsi="Garamond" w:cs="Times New Roman"/>
          <w:lang w:val="pt-PT"/>
        </w:rPr>
      </w:pPr>
      <w:r>
        <w:rPr>
          <w:rFonts w:ascii="Garamond" w:hAnsi="Garamond" w:cs="Times New Roman"/>
          <w:lang w:val="pt-PT"/>
        </w:rPr>
        <w:t xml:space="preserve">Apesar de desafios próprios </w:t>
      </w:r>
      <w:r w:rsidR="00337F9F">
        <w:rPr>
          <w:rFonts w:ascii="Garamond" w:hAnsi="Garamond" w:cs="Times New Roman"/>
          <w:lang w:val="pt-PT"/>
        </w:rPr>
        <w:t>d</w:t>
      </w:r>
      <w:r>
        <w:rPr>
          <w:rFonts w:ascii="Garamond" w:hAnsi="Garamond" w:cs="Times New Roman"/>
          <w:lang w:val="pt-PT"/>
        </w:rPr>
        <w:t xml:space="preserve">a pequena dimensão do país e suas vulnerabilidades especificas enquanto </w:t>
      </w:r>
      <w:proofErr w:type="spellStart"/>
      <w:r w:rsidR="00337F9F">
        <w:rPr>
          <w:rFonts w:ascii="Garamond" w:hAnsi="Garamond" w:cs="Times New Roman"/>
          <w:lang w:val="pt-PT"/>
        </w:rPr>
        <w:t>SIDS</w:t>
      </w:r>
      <w:proofErr w:type="spellEnd"/>
      <w:r w:rsidR="00337F9F">
        <w:rPr>
          <w:rFonts w:ascii="Garamond" w:hAnsi="Garamond" w:cs="Times New Roman"/>
          <w:lang w:val="pt-PT"/>
        </w:rPr>
        <w:t xml:space="preserve"> e MIC</w:t>
      </w:r>
      <w:r>
        <w:rPr>
          <w:rFonts w:ascii="Garamond" w:hAnsi="Garamond" w:cs="Times New Roman"/>
          <w:lang w:val="pt-PT"/>
        </w:rPr>
        <w:t xml:space="preserve">, escasso em recursos e riquezas naturais, Cabo Verde tem sido exemplo e piloto em </w:t>
      </w:r>
      <w:r w:rsidR="00160915">
        <w:rPr>
          <w:rFonts w:ascii="Garamond" w:hAnsi="Garamond" w:cs="Times New Roman"/>
          <w:lang w:val="pt-PT"/>
        </w:rPr>
        <w:t>Á</w:t>
      </w:r>
      <w:r>
        <w:rPr>
          <w:rFonts w:ascii="Garamond" w:hAnsi="Garamond" w:cs="Times New Roman"/>
          <w:lang w:val="pt-PT"/>
        </w:rPr>
        <w:t>frica em v</w:t>
      </w:r>
      <w:r w:rsidR="00337F9F">
        <w:rPr>
          <w:rFonts w:ascii="Garamond" w:hAnsi="Garamond" w:cs="Times New Roman"/>
          <w:lang w:val="pt-PT"/>
        </w:rPr>
        <w:t>á</w:t>
      </w:r>
      <w:r>
        <w:rPr>
          <w:rFonts w:ascii="Garamond" w:hAnsi="Garamond" w:cs="Times New Roman"/>
          <w:lang w:val="pt-PT"/>
        </w:rPr>
        <w:t xml:space="preserve">rias iniciativas que vem implementando em matéria de progressos para a igualdade de género, com destaque para a </w:t>
      </w:r>
      <w:proofErr w:type="spellStart"/>
      <w:r>
        <w:rPr>
          <w:rFonts w:ascii="Garamond" w:hAnsi="Garamond" w:cs="Times New Roman"/>
          <w:lang w:val="pt-PT"/>
        </w:rPr>
        <w:t>adoção</w:t>
      </w:r>
      <w:proofErr w:type="spellEnd"/>
      <w:r>
        <w:rPr>
          <w:rFonts w:ascii="Garamond" w:hAnsi="Garamond" w:cs="Times New Roman"/>
          <w:lang w:val="pt-PT"/>
        </w:rPr>
        <w:t xml:space="preserve"> e implementação do Sistema Nacional de Cuidados, a dinamização de campanhas de sensibilização e mobilização social para a promoção dos direitos humanos das pessoas </w:t>
      </w:r>
      <w:proofErr w:type="spellStart"/>
      <w:r>
        <w:rPr>
          <w:rFonts w:ascii="Garamond" w:hAnsi="Garamond" w:cs="Times New Roman"/>
          <w:lang w:val="pt-PT"/>
        </w:rPr>
        <w:t>LGBTI</w:t>
      </w:r>
      <w:proofErr w:type="spellEnd"/>
      <w:r>
        <w:rPr>
          <w:rFonts w:ascii="Garamond" w:hAnsi="Garamond" w:cs="Times New Roman"/>
          <w:lang w:val="pt-PT"/>
        </w:rPr>
        <w:t>,</w:t>
      </w:r>
      <w:r w:rsidR="00C960B4">
        <w:rPr>
          <w:rStyle w:val="Refdenotaderodap"/>
          <w:rFonts w:ascii="Garamond" w:hAnsi="Garamond" w:cs="Times New Roman"/>
          <w:lang w:val="pt-PT"/>
        </w:rPr>
        <w:footnoteReference w:id="6"/>
      </w:r>
      <w:r>
        <w:rPr>
          <w:rFonts w:ascii="Garamond" w:hAnsi="Garamond" w:cs="Times New Roman"/>
          <w:lang w:val="pt-PT"/>
        </w:rPr>
        <w:t xml:space="preserve"> bem como também a criação e operacionalização do Observatório de Género e a implementação e institucionalização de um Programa de Reabilitação de Arguidos de </w:t>
      </w:r>
      <w:proofErr w:type="spellStart"/>
      <w:r>
        <w:rPr>
          <w:rFonts w:ascii="Garamond" w:hAnsi="Garamond" w:cs="Times New Roman"/>
          <w:lang w:val="pt-PT"/>
        </w:rPr>
        <w:t>VBG</w:t>
      </w:r>
      <w:proofErr w:type="spellEnd"/>
      <w:r>
        <w:rPr>
          <w:rFonts w:ascii="Garamond" w:hAnsi="Garamond" w:cs="Times New Roman"/>
          <w:lang w:val="pt-PT"/>
        </w:rPr>
        <w:t xml:space="preserve">, entre outros. O país também já esteve posicionado durante vários anos como a segunda nação global com melhores indicadores de paridade de género a nível do Governo e </w:t>
      </w:r>
      <w:r w:rsidRPr="008F7360">
        <w:rPr>
          <w:rFonts w:ascii="Garamond" w:hAnsi="Garamond" w:cs="Times New Roman"/>
          <w:lang w:val="pt-PT"/>
        </w:rPr>
        <w:t xml:space="preserve">tem vindo a destacar-se tanto a nível global como regional, em resultado dos seus indicadores no domínio da educação das raparigas e do acesso aos serviços de saúde, entre outras coisas. Cabo Verde é considerado o primeiro país em África na educação de </w:t>
      </w:r>
      <w:r>
        <w:rPr>
          <w:rFonts w:ascii="Garamond" w:hAnsi="Garamond" w:cs="Times New Roman"/>
          <w:lang w:val="pt-PT"/>
        </w:rPr>
        <w:t>meninas</w:t>
      </w:r>
      <w:r w:rsidRPr="008F7360">
        <w:rPr>
          <w:rFonts w:ascii="Garamond" w:hAnsi="Garamond" w:cs="Times New Roman"/>
          <w:lang w:val="pt-PT"/>
        </w:rPr>
        <w:t>.</w:t>
      </w:r>
    </w:p>
    <w:p w14:paraId="574C2D74" w14:textId="3CA0067E" w:rsidR="00F1265A" w:rsidRPr="000858DA" w:rsidRDefault="00F1265A" w:rsidP="00213C8D">
      <w:pPr>
        <w:pStyle w:val="PargrafodaLista"/>
        <w:spacing w:after="240"/>
        <w:ind w:left="0"/>
        <w:contextualSpacing w:val="0"/>
        <w:jc w:val="both"/>
        <w:rPr>
          <w:rFonts w:ascii="Garamond" w:hAnsi="Garamond" w:cs="Times New Roman"/>
          <w:lang w:val="pt-PT"/>
        </w:rPr>
      </w:pPr>
      <w:r>
        <w:rPr>
          <w:rFonts w:ascii="Garamond" w:hAnsi="Garamond" w:cs="Times New Roman"/>
          <w:lang w:val="pt-PT"/>
        </w:rPr>
        <w:t xml:space="preserve">O quadro legislativo tem melhorado </w:t>
      </w:r>
      <w:r w:rsidR="00337F9F">
        <w:rPr>
          <w:rFonts w:ascii="Garamond" w:hAnsi="Garamond" w:cs="Times New Roman"/>
          <w:lang w:val="pt-PT"/>
        </w:rPr>
        <w:t xml:space="preserve">significativamente </w:t>
      </w:r>
      <w:r>
        <w:rPr>
          <w:rFonts w:ascii="Garamond" w:hAnsi="Garamond" w:cs="Times New Roman"/>
          <w:lang w:val="pt-PT"/>
        </w:rPr>
        <w:t xml:space="preserve">nas últimas décadas, no sentido de integração consistente da abordagem de género, em vários diplomas nacionais e </w:t>
      </w:r>
      <w:proofErr w:type="spellStart"/>
      <w:r>
        <w:rPr>
          <w:rFonts w:ascii="Garamond" w:hAnsi="Garamond" w:cs="Times New Roman"/>
          <w:lang w:val="pt-PT"/>
        </w:rPr>
        <w:t>adoção</w:t>
      </w:r>
      <w:proofErr w:type="spellEnd"/>
      <w:r>
        <w:rPr>
          <w:rFonts w:ascii="Garamond" w:hAnsi="Garamond" w:cs="Times New Roman"/>
          <w:lang w:val="pt-PT"/>
        </w:rPr>
        <w:t xml:space="preserve"> de leis e regulamentações especificas para o avanço das mulheres e meninas em Cabo Verde. </w:t>
      </w:r>
      <w:r w:rsidRPr="008F7360">
        <w:rPr>
          <w:rFonts w:ascii="Garamond" w:hAnsi="Garamond" w:cs="Times New Roman"/>
          <w:lang w:val="pt-PT"/>
        </w:rPr>
        <w:t xml:space="preserve">O país </w:t>
      </w:r>
      <w:proofErr w:type="spellStart"/>
      <w:r w:rsidRPr="008F7360">
        <w:rPr>
          <w:rFonts w:ascii="Garamond" w:hAnsi="Garamond" w:cs="Times New Roman"/>
          <w:lang w:val="pt-PT"/>
        </w:rPr>
        <w:t>adotou</w:t>
      </w:r>
      <w:proofErr w:type="spellEnd"/>
      <w:r w:rsidRPr="008F7360">
        <w:rPr>
          <w:rFonts w:ascii="Garamond" w:hAnsi="Garamond" w:cs="Times New Roman"/>
          <w:lang w:val="pt-PT"/>
        </w:rPr>
        <w:t xml:space="preserve"> um marco legal e institucional que promove a igualdade de g</w:t>
      </w:r>
      <w:r>
        <w:rPr>
          <w:rFonts w:ascii="Garamond" w:hAnsi="Garamond" w:cs="Times New Roman"/>
          <w:lang w:val="pt-PT"/>
        </w:rPr>
        <w:t>é</w:t>
      </w:r>
      <w:r w:rsidRPr="008F7360">
        <w:rPr>
          <w:rFonts w:ascii="Garamond" w:hAnsi="Garamond" w:cs="Times New Roman"/>
          <w:lang w:val="pt-PT"/>
        </w:rPr>
        <w:t xml:space="preserve">nero e garante a igualdade de homens e mulheres perante a lei. </w:t>
      </w:r>
      <w:r w:rsidR="00C21709">
        <w:rPr>
          <w:rFonts w:ascii="Garamond" w:hAnsi="Garamond" w:cs="Times New Roman"/>
          <w:lang w:val="pt-PT"/>
        </w:rPr>
        <w:t xml:space="preserve">Em finais de 2019 foi aprovada a Lei da Paridade: entrou imediatamente em efectividade, com impacto esperado nas eleições </w:t>
      </w:r>
      <w:r w:rsidR="002F18DC">
        <w:rPr>
          <w:rFonts w:ascii="Garamond" w:hAnsi="Garamond" w:cs="Times New Roman"/>
          <w:lang w:val="pt-PT"/>
        </w:rPr>
        <w:t>que se avizinham - A</w:t>
      </w:r>
      <w:r w:rsidR="00C21709">
        <w:rPr>
          <w:rFonts w:ascii="Garamond" w:hAnsi="Garamond" w:cs="Times New Roman"/>
          <w:lang w:val="pt-PT"/>
        </w:rPr>
        <w:t>utárquicas</w:t>
      </w:r>
      <w:r w:rsidR="002F18DC">
        <w:rPr>
          <w:rFonts w:ascii="Garamond" w:hAnsi="Garamond" w:cs="Times New Roman"/>
          <w:lang w:val="pt-PT"/>
        </w:rPr>
        <w:t xml:space="preserve"> em 2020</w:t>
      </w:r>
      <w:r w:rsidR="00C21709">
        <w:rPr>
          <w:rFonts w:ascii="Garamond" w:hAnsi="Garamond" w:cs="Times New Roman"/>
          <w:lang w:val="pt-PT"/>
        </w:rPr>
        <w:t xml:space="preserve"> </w:t>
      </w:r>
      <w:proofErr w:type="gramStart"/>
      <w:r w:rsidR="00C21709">
        <w:rPr>
          <w:rFonts w:ascii="Garamond" w:hAnsi="Garamond" w:cs="Times New Roman"/>
          <w:lang w:val="pt-PT"/>
        </w:rPr>
        <w:t xml:space="preserve">e </w:t>
      </w:r>
      <w:r w:rsidR="002F18DC">
        <w:rPr>
          <w:rFonts w:ascii="Garamond" w:hAnsi="Garamond" w:cs="Times New Roman"/>
          <w:lang w:val="pt-PT"/>
        </w:rPr>
        <w:t>L</w:t>
      </w:r>
      <w:r w:rsidR="00C21709">
        <w:rPr>
          <w:rFonts w:ascii="Garamond" w:hAnsi="Garamond" w:cs="Times New Roman"/>
          <w:lang w:val="pt-PT"/>
        </w:rPr>
        <w:t>egislativas</w:t>
      </w:r>
      <w:proofErr w:type="gramEnd"/>
      <w:r w:rsidR="002F18DC">
        <w:rPr>
          <w:rFonts w:ascii="Garamond" w:hAnsi="Garamond" w:cs="Times New Roman"/>
          <w:lang w:val="pt-PT"/>
        </w:rPr>
        <w:t xml:space="preserve"> em 2021</w:t>
      </w:r>
      <w:r w:rsidR="00C21709">
        <w:rPr>
          <w:rFonts w:ascii="Garamond" w:hAnsi="Garamond" w:cs="Times New Roman"/>
          <w:lang w:val="pt-PT"/>
        </w:rPr>
        <w:t>. E</w:t>
      </w:r>
      <w:r w:rsidRPr="008F7360">
        <w:rPr>
          <w:rFonts w:ascii="Garamond" w:hAnsi="Garamond" w:cs="Times New Roman"/>
          <w:lang w:val="pt-PT"/>
        </w:rPr>
        <w:t>m 2011</w:t>
      </w:r>
      <w:r w:rsidR="00C21709">
        <w:rPr>
          <w:rFonts w:ascii="Garamond" w:hAnsi="Garamond" w:cs="Times New Roman"/>
          <w:lang w:val="pt-PT"/>
        </w:rPr>
        <w:t>,</w:t>
      </w:r>
      <w:r w:rsidRPr="008F7360">
        <w:rPr>
          <w:rFonts w:ascii="Garamond" w:hAnsi="Garamond" w:cs="Times New Roman"/>
          <w:lang w:val="pt-PT"/>
        </w:rPr>
        <w:t xml:space="preserve"> </w:t>
      </w:r>
      <w:r w:rsidR="00C21709">
        <w:rPr>
          <w:rFonts w:ascii="Garamond" w:hAnsi="Garamond" w:cs="Times New Roman"/>
          <w:lang w:val="pt-PT"/>
        </w:rPr>
        <w:t xml:space="preserve">foi aprovada </w:t>
      </w:r>
      <w:r w:rsidRPr="008F7360">
        <w:rPr>
          <w:rFonts w:ascii="Garamond" w:hAnsi="Garamond" w:cs="Times New Roman"/>
          <w:lang w:val="pt-PT"/>
        </w:rPr>
        <w:t>a Lei Especial sobre Violência Baseada no Género (</w:t>
      </w:r>
      <w:proofErr w:type="spellStart"/>
      <w:r w:rsidRPr="008F7360">
        <w:rPr>
          <w:rFonts w:ascii="Garamond" w:hAnsi="Garamond" w:cs="Times New Roman"/>
          <w:lang w:val="pt-PT"/>
        </w:rPr>
        <w:t>VBG</w:t>
      </w:r>
      <w:proofErr w:type="spellEnd"/>
      <w:r w:rsidRPr="008F7360">
        <w:rPr>
          <w:rFonts w:ascii="Garamond" w:hAnsi="Garamond" w:cs="Times New Roman"/>
          <w:lang w:val="pt-PT"/>
        </w:rPr>
        <w:t xml:space="preserve">), que define a </w:t>
      </w:r>
      <w:proofErr w:type="spellStart"/>
      <w:r w:rsidRPr="008F7360">
        <w:rPr>
          <w:rFonts w:ascii="Garamond" w:hAnsi="Garamond" w:cs="Times New Roman"/>
          <w:lang w:val="pt-PT"/>
        </w:rPr>
        <w:t>VBG</w:t>
      </w:r>
      <w:proofErr w:type="spellEnd"/>
      <w:r w:rsidRPr="008F7360">
        <w:rPr>
          <w:rFonts w:ascii="Garamond" w:hAnsi="Garamond" w:cs="Times New Roman"/>
          <w:lang w:val="pt-PT"/>
        </w:rPr>
        <w:t xml:space="preserve"> como crime público (</w:t>
      </w:r>
      <w:proofErr w:type="spellStart"/>
      <w:r w:rsidRPr="00337F9F">
        <w:rPr>
          <w:rFonts w:ascii="Garamond" w:hAnsi="Garamond" w:cs="Times New Roman"/>
          <w:i/>
          <w:iCs/>
          <w:lang w:val="pt-PT"/>
        </w:rPr>
        <w:t>ex-officio</w:t>
      </w:r>
      <w:proofErr w:type="spellEnd"/>
      <w:r w:rsidRPr="008F7360">
        <w:rPr>
          <w:rFonts w:ascii="Garamond" w:hAnsi="Garamond" w:cs="Times New Roman"/>
          <w:lang w:val="pt-PT"/>
        </w:rPr>
        <w:t>)</w:t>
      </w:r>
      <w:r>
        <w:rPr>
          <w:rFonts w:ascii="Garamond" w:hAnsi="Garamond" w:cs="Times New Roman"/>
          <w:lang w:val="pt-PT"/>
        </w:rPr>
        <w:t xml:space="preserve"> e em 2015 aprovou a sua Regulamentação. Paralelamente, vários outros diplomas foram revisados e </w:t>
      </w:r>
      <w:proofErr w:type="spellStart"/>
      <w:r>
        <w:rPr>
          <w:rFonts w:ascii="Garamond" w:hAnsi="Garamond" w:cs="Times New Roman"/>
          <w:lang w:val="pt-PT"/>
        </w:rPr>
        <w:t>adotados</w:t>
      </w:r>
      <w:proofErr w:type="spellEnd"/>
      <w:r>
        <w:rPr>
          <w:rFonts w:ascii="Garamond" w:hAnsi="Garamond" w:cs="Times New Roman"/>
          <w:lang w:val="pt-PT"/>
        </w:rPr>
        <w:t xml:space="preserve"> contendo importantes disposições que </w:t>
      </w:r>
      <w:proofErr w:type="spellStart"/>
      <w:r>
        <w:rPr>
          <w:rFonts w:ascii="Garamond" w:hAnsi="Garamond" w:cs="Times New Roman"/>
          <w:lang w:val="pt-PT"/>
        </w:rPr>
        <w:t>afetam</w:t>
      </w:r>
      <w:proofErr w:type="spellEnd"/>
      <w:r>
        <w:rPr>
          <w:rFonts w:ascii="Garamond" w:hAnsi="Garamond" w:cs="Times New Roman"/>
          <w:lang w:val="pt-PT"/>
        </w:rPr>
        <w:t xml:space="preserve"> </w:t>
      </w:r>
      <w:proofErr w:type="spellStart"/>
      <w:r>
        <w:rPr>
          <w:rFonts w:ascii="Garamond" w:hAnsi="Garamond" w:cs="Times New Roman"/>
          <w:lang w:val="pt-PT"/>
        </w:rPr>
        <w:t>diretamente</w:t>
      </w:r>
      <w:proofErr w:type="spellEnd"/>
      <w:r>
        <w:rPr>
          <w:rFonts w:ascii="Garamond" w:hAnsi="Garamond" w:cs="Times New Roman"/>
          <w:lang w:val="pt-PT"/>
        </w:rPr>
        <w:t xml:space="preserve"> a vida das mulheres e meninas no sentido da promoção e </w:t>
      </w:r>
      <w:proofErr w:type="spellStart"/>
      <w:r>
        <w:rPr>
          <w:rFonts w:ascii="Garamond" w:hAnsi="Garamond" w:cs="Times New Roman"/>
          <w:lang w:val="pt-PT"/>
        </w:rPr>
        <w:t>proteção</w:t>
      </w:r>
      <w:proofErr w:type="spellEnd"/>
      <w:r>
        <w:rPr>
          <w:rFonts w:ascii="Garamond" w:hAnsi="Garamond" w:cs="Times New Roman"/>
          <w:lang w:val="pt-PT"/>
        </w:rPr>
        <w:t xml:space="preserve"> de seus direitos, nomeadamente: a revisão em 2015 do Código Penal, a </w:t>
      </w:r>
      <w:r w:rsidRPr="000858DA">
        <w:rPr>
          <w:rFonts w:ascii="Garamond" w:hAnsi="Garamond" w:cs="Times New Roman"/>
          <w:lang w:val="pt-PT"/>
        </w:rPr>
        <w:t>Regime da execução da política</w:t>
      </w:r>
      <w:r>
        <w:rPr>
          <w:rFonts w:ascii="Garamond" w:hAnsi="Garamond" w:cs="Times New Roman"/>
          <w:lang w:val="pt-PT"/>
        </w:rPr>
        <w:t xml:space="preserve"> </w:t>
      </w:r>
      <w:r w:rsidRPr="000858DA">
        <w:rPr>
          <w:rFonts w:ascii="Garamond" w:hAnsi="Garamond" w:cs="Times New Roman"/>
          <w:lang w:val="pt-PT"/>
        </w:rPr>
        <w:t xml:space="preserve">criminal; a aprovação, </w:t>
      </w:r>
      <w:r>
        <w:rPr>
          <w:rFonts w:ascii="Garamond" w:hAnsi="Garamond" w:cs="Times New Roman"/>
          <w:lang w:val="pt-PT"/>
        </w:rPr>
        <w:t>o</w:t>
      </w:r>
      <w:r w:rsidRPr="000858DA">
        <w:rPr>
          <w:rFonts w:ascii="Garamond" w:hAnsi="Garamond" w:cs="Times New Roman"/>
          <w:lang w:val="pt-PT"/>
        </w:rPr>
        <w:t xml:space="preserve"> Decreto-Lei que estabelece as medidas de apoio</w:t>
      </w:r>
      <w:r>
        <w:rPr>
          <w:rFonts w:ascii="Garamond" w:hAnsi="Garamond" w:cs="Times New Roman"/>
          <w:lang w:val="pt-PT"/>
        </w:rPr>
        <w:t xml:space="preserve"> </w:t>
      </w:r>
      <w:r w:rsidRPr="000858DA">
        <w:rPr>
          <w:rFonts w:ascii="Garamond" w:hAnsi="Garamond" w:cs="Times New Roman"/>
          <w:lang w:val="pt-PT"/>
        </w:rPr>
        <w:t>social e escolar dirigidas a alunas grávidas, puérperas e lactantes</w:t>
      </w:r>
      <w:r>
        <w:rPr>
          <w:rFonts w:ascii="Garamond" w:hAnsi="Garamond" w:cs="Times New Roman"/>
          <w:lang w:val="pt-PT"/>
        </w:rPr>
        <w:t xml:space="preserve"> (2017), a nova </w:t>
      </w:r>
      <w:r w:rsidRPr="000858DA">
        <w:rPr>
          <w:rFonts w:ascii="Garamond" w:hAnsi="Garamond" w:cs="Times New Roman"/>
          <w:lang w:val="pt-PT"/>
        </w:rPr>
        <w:t>lei que regula as condições de</w:t>
      </w:r>
      <w:r>
        <w:rPr>
          <w:rFonts w:ascii="Garamond" w:hAnsi="Garamond" w:cs="Times New Roman"/>
          <w:lang w:val="pt-PT"/>
        </w:rPr>
        <w:t xml:space="preserve"> </w:t>
      </w:r>
      <w:r w:rsidRPr="000858DA">
        <w:rPr>
          <w:rFonts w:ascii="Garamond" w:hAnsi="Garamond" w:cs="Times New Roman"/>
          <w:lang w:val="pt-PT"/>
        </w:rPr>
        <w:t>entrada, permanência, saída e expulsão de estrangeiros</w:t>
      </w:r>
      <w:r>
        <w:rPr>
          <w:rFonts w:ascii="Garamond" w:hAnsi="Garamond" w:cs="Times New Roman"/>
          <w:lang w:val="pt-PT"/>
        </w:rPr>
        <w:t xml:space="preserve"> e mais recentemente a Regulamentação da Lei de Pessoas com Deficiência.</w:t>
      </w:r>
      <w:r w:rsidRPr="000858DA">
        <w:rPr>
          <w:rFonts w:ascii="Garamond" w:hAnsi="Garamond" w:cs="Times New Roman"/>
          <w:lang w:val="pt-PT"/>
        </w:rPr>
        <w:t xml:space="preserve"> </w:t>
      </w:r>
    </w:p>
    <w:p w14:paraId="4E4E4377" w14:textId="09D54198" w:rsidR="00F1265A" w:rsidRDefault="00F1265A" w:rsidP="00213C8D">
      <w:pPr>
        <w:pStyle w:val="PargrafodaLista"/>
        <w:spacing w:after="240"/>
        <w:ind w:left="0"/>
        <w:contextualSpacing w:val="0"/>
        <w:jc w:val="both"/>
        <w:rPr>
          <w:rFonts w:ascii="Garamond" w:hAnsi="Garamond" w:cs="Times New Roman"/>
          <w:lang w:val="pt-PT"/>
        </w:rPr>
      </w:pPr>
      <w:r w:rsidRPr="008F7360">
        <w:rPr>
          <w:rFonts w:ascii="Garamond" w:hAnsi="Garamond" w:cs="Times New Roman"/>
          <w:lang w:val="pt-PT"/>
        </w:rPr>
        <w:t xml:space="preserve">Além disso, importantes instrumentos de </w:t>
      </w:r>
      <w:r>
        <w:rPr>
          <w:rFonts w:ascii="Garamond" w:hAnsi="Garamond" w:cs="Times New Roman"/>
          <w:lang w:val="pt-PT"/>
        </w:rPr>
        <w:t xml:space="preserve">planificação </w:t>
      </w:r>
      <w:r w:rsidRPr="008F7360">
        <w:rPr>
          <w:rFonts w:ascii="Garamond" w:hAnsi="Garamond" w:cs="Times New Roman"/>
          <w:lang w:val="pt-PT"/>
        </w:rPr>
        <w:t xml:space="preserve">e avaliação </w:t>
      </w:r>
      <w:r>
        <w:rPr>
          <w:rFonts w:ascii="Garamond" w:hAnsi="Garamond" w:cs="Times New Roman"/>
          <w:lang w:val="pt-PT"/>
        </w:rPr>
        <w:t xml:space="preserve">foram desenvolvidos para apoiar </w:t>
      </w:r>
      <w:r w:rsidRPr="008F7360">
        <w:rPr>
          <w:rFonts w:ascii="Garamond" w:hAnsi="Garamond" w:cs="Times New Roman"/>
          <w:lang w:val="pt-PT"/>
        </w:rPr>
        <w:t xml:space="preserve">as instituições públicas, a sociedade civil e os parceiros na </w:t>
      </w:r>
      <w:proofErr w:type="spellStart"/>
      <w:r w:rsidRPr="008F7360">
        <w:rPr>
          <w:rFonts w:ascii="Garamond" w:hAnsi="Garamond" w:cs="Times New Roman"/>
          <w:lang w:val="pt-PT"/>
        </w:rPr>
        <w:t>ação</w:t>
      </w:r>
      <w:proofErr w:type="spellEnd"/>
      <w:r w:rsidRPr="008F7360">
        <w:rPr>
          <w:rFonts w:ascii="Garamond" w:hAnsi="Garamond" w:cs="Times New Roman"/>
          <w:lang w:val="pt-PT"/>
        </w:rPr>
        <w:t xml:space="preserve"> no </w:t>
      </w:r>
      <w:r>
        <w:rPr>
          <w:rFonts w:ascii="Garamond" w:hAnsi="Garamond" w:cs="Times New Roman"/>
          <w:lang w:val="pt-PT"/>
        </w:rPr>
        <w:t xml:space="preserve">domínio </w:t>
      </w:r>
      <w:r w:rsidRPr="008F7360">
        <w:rPr>
          <w:rFonts w:ascii="Garamond" w:hAnsi="Garamond" w:cs="Times New Roman"/>
          <w:lang w:val="pt-PT"/>
        </w:rPr>
        <w:t>da igualdade de g</w:t>
      </w:r>
      <w:r>
        <w:rPr>
          <w:rFonts w:ascii="Garamond" w:hAnsi="Garamond" w:cs="Times New Roman"/>
          <w:lang w:val="pt-PT"/>
        </w:rPr>
        <w:t>é</w:t>
      </w:r>
      <w:r w:rsidRPr="008F7360">
        <w:rPr>
          <w:rFonts w:ascii="Garamond" w:hAnsi="Garamond" w:cs="Times New Roman"/>
          <w:lang w:val="pt-PT"/>
        </w:rPr>
        <w:t>nero e no combate a violência contra as mulheres</w:t>
      </w:r>
      <w:r>
        <w:rPr>
          <w:rFonts w:ascii="Garamond" w:hAnsi="Garamond" w:cs="Times New Roman"/>
          <w:lang w:val="pt-PT"/>
        </w:rPr>
        <w:t xml:space="preserve">, com destaque para o </w:t>
      </w:r>
      <w:proofErr w:type="spellStart"/>
      <w:r>
        <w:rPr>
          <w:rFonts w:ascii="Garamond" w:hAnsi="Garamond" w:cs="Times New Roman"/>
          <w:lang w:val="pt-PT"/>
        </w:rPr>
        <w:t>PNIG</w:t>
      </w:r>
      <w:proofErr w:type="spellEnd"/>
      <w:r>
        <w:rPr>
          <w:rFonts w:ascii="Garamond" w:hAnsi="Garamond" w:cs="Times New Roman"/>
          <w:lang w:val="pt-PT"/>
        </w:rPr>
        <w:t xml:space="preserve"> 2015-201</w:t>
      </w:r>
      <w:r w:rsidR="00160915">
        <w:rPr>
          <w:rFonts w:ascii="Garamond" w:hAnsi="Garamond" w:cs="Times New Roman"/>
          <w:lang w:val="pt-PT"/>
        </w:rPr>
        <w:t>9</w:t>
      </w:r>
      <w:r>
        <w:rPr>
          <w:rFonts w:ascii="Garamond" w:hAnsi="Garamond" w:cs="Times New Roman"/>
          <w:lang w:val="pt-PT"/>
        </w:rPr>
        <w:t xml:space="preserve">, o II Plano Nacional de Combate a </w:t>
      </w:r>
      <w:proofErr w:type="spellStart"/>
      <w:r>
        <w:rPr>
          <w:rFonts w:ascii="Garamond" w:hAnsi="Garamond" w:cs="Times New Roman"/>
          <w:lang w:val="pt-PT"/>
        </w:rPr>
        <w:t>VBG</w:t>
      </w:r>
      <w:proofErr w:type="spellEnd"/>
      <w:r>
        <w:rPr>
          <w:rFonts w:ascii="Garamond" w:hAnsi="Garamond" w:cs="Times New Roman"/>
          <w:lang w:val="pt-PT"/>
        </w:rPr>
        <w:t xml:space="preserve"> (2015-201</w:t>
      </w:r>
      <w:r w:rsidR="00160915">
        <w:rPr>
          <w:rFonts w:ascii="Garamond" w:hAnsi="Garamond" w:cs="Times New Roman"/>
          <w:lang w:val="pt-PT"/>
        </w:rPr>
        <w:t>9</w:t>
      </w:r>
      <w:r>
        <w:rPr>
          <w:rFonts w:ascii="Garamond" w:hAnsi="Garamond" w:cs="Times New Roman"/>
          <w:lang w:val="pt-PT"/>
        </w:rPr>
        <w:t xml:space="preserve">), o Plano Nacional de Combate a Violência Sexual contra Crianças e Adolescentes (2017-2019), o Plano Nacional de Cuidados (2018-2021), o Plano Nacional contra o Trafico de Pessoas (2018-2021), a </w:t>
      </w:r>
      <w:r w:rsidRPr="00722F27">
        <w:rPr>
          <w:rFonts w:ascii="Garamond" w:hAnsi="Garamond" w:cs="Times New Roman"/>
          <w:lang w:val="pt-PT"/>
        </w:rPr>
        <w:t>Estratégia de Igualdade de</w:t>
      </w:r>
      <w:r>
        <w:rPr>
          <w:rFonts w:ascii="Garamond" w:hAnsi="Garamond" w:cs="Times New Roman"/>
          <w:lang w:val="pt-PT"/>
        </w:rPr>
        <w:t xml:space="preserve"> </w:t>
      </w:r>
      <w:r w:rsidRPr="00722F27">
        <w:rPr>
          <w:rFonts w:ascii="Garamond" w:hAnsi="Garamond" w:cs="Times New Roman"/>
          <w:lang w:val="pt-PT"/>
        </w:rPr>
        <w:t xml:space="preserve">Género no </w:t>
      </w:r>
      <w:proofErr w:type="spellStart"/>
      <w:r w:rsidRPr="00722F27">
        <w:rPr>
          <w:rFonts w:ascii="Garamond" w:hAnsi="Garamond" w:cs="Times New Roman"/>
          <w:lang w:val="pt-PT"/>
        </w:rPr>
        <w:t>setor</w:t>
      </w:r>
      <w:proofErr w:type="spellEnd"/>
      <w:r w:rsidRPr="00722F27">
        <w:rPr>
          <w:rFonts w:ascii="Garamond" w:hAnsi="Garamond" w:cs="Times New Roman"/>
          <w:lang w:val="pt-PT"/>
        </w:rPr>
        <w:t xml:space="preserve"> da Educação-Formação-Emprego</w:t>
      </w:r>
      <w:r>
        <w:rPr>
          <w:rFonts w:ascii="Garamond" w:hAnsi="Garamond" w:cs="Times New Roman"/>
          <w:lang w:val="pt-PT"/>
        </w:rPr>
        <w:t xml:space="preserve"> (2017), o Plano de Género no Turismo (2016-2018), a Estratégia Nacional de Transição da Economia Informal para a Formal (2017-2020), entre outros. </w:t>
      </w:r>
    </w:p>
    <w:p w14:paraId="1F894F3F" w14:textId="11F872CD" w:rsidR="00F1265A" w:rsidRPr="002411E6" w:rsidRDefault="00F1265A" w:rsidP="00213C8D">
      <w:pPr>
        <w:pStyle w:val="PargrafodaLista"/>
        <w:spacing w:after="240"/>
        <w:ind w:left="0"/>
        <w:contextualSpacing w:val="0"/>
        <w:jc w:val="both"/>
        <w:rPr>
          <w:rFonts w:ascii="Garamond" w:hAnsi="Garamond" w:cs="Times New Roman"/>
          <w:lang w:val="pt-PT"/>
        </w:rPr>
      </w:pPr>
      <w:bookmarkStart w:id="15" w:name="_Hlk21074578"/>
      <w:r w:rsidRPr="008F7360">
        <w:rPr>
          <w:rFonts w:ascii="Garamond" w:hAnsi="Garamond" w:cs="Times New Roman"/>
          <w:lang w:val="pt-PT"/>
        </w:rPr>
        <w:t>A promoção da produção de dados sensíveis ao g</w:t>
      </w:r>
      <w:r>
        <w:rPr>
          <w:rFonts w:ascii="Garamond" w:hAnsi="Garamond" w:cs="Times New Roman"/>
          <w:lang w:val="pt-PT"/>
        </w:rPr>
        <w:t>é</w:t>
      </w:r>
      <w:r w:rsidRPr="008F7360">
        <w:rPr>
          <w:rFonts w:ascii="Garamond" w:hAnsi="Garamond" w:cs="Times New Roman"/>
          <w:lang w:val="pt-PT"/>
        </w:rPr>
        <w:t xml:space="preserve">nero </w:t>
      </w:r>
      <w:r>
        <w:rPr>
          <w:rFonts w:ascii="Garamond" w:hAnsi="Garamond" w:cs="Times New Roman"/>
          <w:lang w:val="pt-PT"/>
        </w:rPr>
        <w:t>e de an</w:t>
      </w:r>
      <w:r w:rsidR="00160915">
        <w:rPr>
          <w:rFonts w:ascii="Garamond" w:hAnsi="Garamond" w:cs="Times New Roman"/>
          <w:lang w:val="pt-PT"/>
        </w:rPr>
        <w:t>á</w:t>
      </w:r>
      <w:r>
        <w:rPr>
          <w:rFonts w:ascii="Garamond" w:hAnsi="Garamond" w:cs="Times New Roman"/>
          <w:lang w:val="pt-PT"/>
        </w:rPr>
        <w:t xml:space="preserve">lises complementares tem-se revelado numa grande aposta do </w:t>
      </w:r>
      <w:r w:rsidR="00213C8D">
        <w:rPr>
          <w:rFonts w:ascii="Garamond" w:hAnsi="Garamond" w:cs="Times New Roman"/>
          <w:lang w:val="pt-PT"/>
        </w:rPr>
        <w:t>país</w:t>
      </w:r>
      <w:r>
        <w:rPr>
          <w:rFonts w:ascii="Garamond" w:hAnsi="Garamond" w:cs="Times New Roman"/>
          <w:lang w:val="pt-PT"/>
        </w:rPr>
        <w:t xml:space="preserve">, em apoiou a identificação de </w:t>
      </w:r>
      <w:r w:rsidRPr="008F7360">
        <w:rPr>
          <w:rFonts w:ascii="Garamond" w:hAnsi="Garamond" w:cs="Times New Roman"/>
          <w:lang w:val="pt-PT"/>
        </w:rPr>
        <w:t>injustiças sociais ligadas às relações desiguais de poder entre homens e mulheres</w:t>
      </w:r>
      <w:r>
        <w:rPr>
          <w:rFonts w:ascii="Garamond" w:hAnsi="Garamond" w:cs="Times New Roman"/>
          <w:lang w:val="pt-PT"/>
        </w:rPr>
        <w:t xml:space="preserve">, </w:t>
      </w:r>
      <w:r w:rsidR="00160915">
        <w:rPr>
          <w:rFonts w:ascii="Garamond" w:hAnsi="Garamond" w:cs="Times New Roman"/>
          <w:lang w:val="pt-PT"/>
        </w:rPr>
        <w:t xml:space="preserve">e servindo </w:t>
      </w:r>
      <w:r>
        <w:rPr>
          <w:rFonts w:ascii="Garamond" w:hAnsi="Garamond" w:cs="Times New Roman"/>
          <w:lang w:val="pt-PT"/>
        </w:rPr>
        <w:t>como evid</w:t>
      </w:r>
      <w:r w:rsidR="00160915">
        <w:rPr>
          <w:rFonts w:ascii="Garamond" w:hAnsi="Garamond" w:cs="Times New Roman"/>
          <w:lang w:val="pt-PT"/>
        </w:rPr>
        <w:t>ê</w:t>
      </w:r>
      <w:r>
        <w:rPr>
          <w:rFonts w:ascii="Garamond" w:hAnsi="Garamond" w:cs="Times New Roman"/>
          <w:lang w:val="pt-PT"/>
        </w:rPr>
        <w:t xml:space="preserve">ncias para formulação de políticas e </w:t>
      </w:r>
      <w:proofErr w:type="spellStart"/>
      <w:r>
        <w:rPr>
          <w:rFonts w:ascii="Garamond" w:hAnsi="Garamond" w:cs="Times New Roman"/>
          <w:lang w:val="pt-PT"/>
        </w:rPr>
        <w:t>projetos</w:t>
      </w:r>
      <w:proofErr w:type="spellEnd"/>
      <w:r>
        <w:rPr>
          <w:rFonts w:ascii="Garamond" w:hAnsi="Garamond" w:cs="Times New Roman"/>
          <w:lang w:val="pt-PT"/>
        </w:rPr>
        <w:t xml:space="preserve"> que respondam aos desafios identificados. </w:t>
      </w:r>
      <w:bookmarkEnd w:id="15"/>
      <w:r>
        <w:rPr>
          <w:rFonts w:ascii="Garamond" w:hAnsi="Garamond" w:cs="Times New Roman"/>
          <w:lang w:val="pt-PT"/>
        </w:rPr>
        <w:t xml:space="preserve">Outros importantes progressos foram registados em matéria de </w:t>
      </w:r>
      <w:proofErr w:type="spellStart"/>
      <w:r>
        <w:rPr>
          <w:rFonts w:ascii="Garamond" w:hAnsi="Garamond" w:cs="Times New Roman"/>
          <w:lang w:val="pt-PT"/>
        </w:rPr>
        <w:t>transversaliza</w:t>
      </w:r>
      <w:r w:rsidR="00213C8D">
        <w:rPr>
          <w:rFonts w:ascii="Garamond" w:hAnsi="Garamond" w:cs="Times New Roman"/>
          <w:lang w:val="pt-PT"/>
        </w:rPr>
        <w:t>ção</w:t>
      </w:r>
      <w:proofErr w:type="spellEnd"/>
      <w:r>
        <w:rPr>
          <w:rFonts w:ascii="Garamond" w:hAnsi="Garamond" w:cs="Times New Roman"/>
          <w:lang w:val="pt-PT"/>
        </w:rPr>
        <w:t xml:space="preserve"> da abordagem de género: a orçamentação sensível ao género já foi lan</w:t>
      </w:r>
      <w:r w:rsidR="00DE4B83">
        <w:rPr>
          <w:rFonts w:ascii="Garamond" w:hAnsi="Garamond" w:cs="Times New Roman"/>
          <w:lang w:val="pt-PT"/>
        </w:rPr>
        <w:t>ç</w:t>
      </w:r>
      <w:r>
        <w:rPr>
          <w:rFonts w:ascii="Garamond" w:hAnsi="Garamond" w:cs="Times New Roman"/>
          <w:lang w:val="pt-PT"/>
        </w:rPr>
        <w:t xml:space="preserve">ada, com a criação de um marcador de género para o Orçamento do Estado e capacitações iniciais de diferentes </w:t>
      </w:r>
      <w:proofErr w:type="spellStart"/>
      <w:r>
        <w:rPr>
          <w:rFonts w:ascii="Garamond" w:hAnsi="Garamond" w:cs="Times New Roman"/>
          <w:lang w:val="pt-PT"/>
        </w:rPr>
        <w:t>atores</w:t>
      </w:r>
      <w:proofErr w:type="spellEnd"/>
      <w:r>
        <w:rPr>
          <w:rFonts w:ascii="Garamond" w:hAnsi="Garamond" w:cs="Times New Roman"/>
          <w:lang w:val="pt-PT"/>
        </w:rPr>
        <w:t xml:space="preserve"> para a sua </w:t>
      </w:r>
      <w:proofErr w:type="spellStart"/>
      <w:r>
        <w:rPr>
          <w:rFonts w:ascii="Garamond" w:hAnsi="Garamond" w:cs="Times New Roman"/>
          <w:lang w:val="pt-PT"/>
        </w:rPr>
        <w:t>efetiva</w:t>
      </w:r>
      <w:proofErr w:type="spellEnd"/>
      <w:r>
        <w:rPr>
          <w:rFonts w:ascii="Garamond" w:hAnsi="Garamond" w:cs="Times New Roman"/>
          <w:lang w:val="pt-PT"/>
        </w:rPr>
        <w:t xml:space="preserve"> implementação; a integração de conteúdos de género nos curricula escolares e a </w:t>
      </w:r>
      <w:proofErr w:type="spellStart"/>
      <w:r>
        <w:rPr>
          <w:rFonts w:ascii="Garamond" w:hAnsi="Garamond" w:cs="Times New Roman"/>
          <w:lang w:val="pt-PT"/>
        </w:rPr>
        <w:t>transversaliza</w:t>
      </w:r>
      <w:r w:rsidR="00213C8D">
        <w:rPr>
          <w:rFonts w:ascii="Garamond" w:hAnsi="Garamond" w:cs="Times New Roman"/>
          <w:lang w:val="pt-PT"/>
        </w:rPr>
        <w:t>ção</w:t>
      </w:r>
      <w:proofErr w:type="spellEnd"/>
      <w:r>
        <w:rPr>
          <w:rFonts w:ascii="Garamond" w:hAnsi="Garamond" w:cs="Times New Roman"/>
          <w:lang w:val="pt-PT"/>
        </w:rPr>
        <w:t xml:space="preserve"> do género na própria estratégia nacional da Educação; a </w:t>
      </w:r>
      <w:proofErr w:type="spellStart"/>
      <w:r>
        <w:rPr>
          <w:rFonts w:ascii="Garamond" w:hAnsi="Garamond" w:cs="Times New Roman"/>
          <w:lang w:val="pt-PT"/>
        </w:rPr>
        <w:t>transversaliza</w:t>
      </w:r>
      <w:r w:rsidR="00213C8D">
        <w:rPr>
          <w:rFonts w:ascii="Garamond" w:hAnsi="Garamond" w:cs="Times New Roman"/>
          <w:lang w:val="pt-PT"/>
        </w:rPr>
        <w:t>ção</w:t>
      </w:r>
      <w:proofErr w:type="spellEnd"/>
      <w:r>
        <w:rPr>
          <w:rFonts w:ascii="Garamond" w:hAnsi="Garamond" w:cs="Times New Roman"/>
          <w:lang w:val="pt-PT"/>
        </w:rPr>
        <w:t xml:space="preserve"> da igualdade de género na planificação municipal, sendo que nesta data 9 dos 22 municípios já tem uma Plano Municipal de Igualdade de Género e 18 municípios já tem um ponto focal de género;  </w:t>
      </w:r>
      <w:r w:rsidRPr="002411E6">
        <w:rPr>
          <w:rFonts w:ascii="Garamond" w:hAnsi="Garamond" w:cs="Times New Roman"/>
          <w:lang w:val="pt-PT"/>
        </w:rPr>
        <w:t xml:space="preserve">a implementação de um Marcador de Género no Orçamento de Estado, </w:t>
      </w:r>
      <w:r>
        <w:rPr>
          <w:rFonts w:ascii="Garamond" w:hAnsi="Garamond" w:cs="Times New Roman"/>
          <w:lang w:val="pt-PT"/>
        </w:rPr>
        <w:t>entre outros importantes ganhos a nível de diversos sectores, como ind</w:t>
      </w:r>
      <w:r w:rsidR="00213C8D">
        <w:rPr>
          <w:rFonts w:ascii="Garamond" w:hAnsi="Garamond" w:cs="Times New Roman"/>
          <w:lang w:val="pt-PT"/>
        </w:rPr>
        <w:t>ú</w:t>
      </w:r>
      <w:r>
        <w:rPr>
          <w:rFonts w:ascii="Garamond" w:hAnsi="Garamond" w:cs="Times New Roman"/>
          <w:lang w:val="pt-PT"/>
        </w:rPr>
        <w:t xml:space="preserve">stria, comercio e energia, , </w:t>
      </w:r>
      <w:r w:rsidR="00213C8D">
        <w:rPr>
          <w:rFonts w:ascii="Garamond" w:hAnsi="Garamond" w:cs="Times New Roman"/>
          <w:lang w:val="pt-PT"/>
        </w:rPr>
        <w:t>infra-estruturas</w:t>
      </w:r>
      <w:r>
        <w:rPr>
          <w:rFonts w:ascii="Garamond" w:hAnsi="Garamond" w:cs="Times New Roman"/>
          <w:lang w:val="pt-PT"/>
        </w:rPr>
        <w:t xml:space="preserve">, agua e saneamento, saúde, entre outros. </w:t>
      </w:r>
    </w:p>
    <w:p w14:paraId="1B06104D" w14:textId="35C6F6E1" w:rsidR="00F1265A" w:rsidRPr="005D5D93" w:rsidRDefault="00F1265A" w:rsidP="00213C8D">
      <w:pPr>
        <w:pStyle w:val="PargrafodaLista"/>
        <w:spacing w:after="240"/>
        <w:ind w:left="0"/>
        <w:jc w:val="both"/>
        <w:rPr>
          <w:rFonts w:ascii="Times New Roman" w:eastAsia="Times New Roman" w:hAnsi="Times New Roman" w:cs="Times New Roman"/>
          <w:lang w:val="pt-PT"/>
        </w:rPr>
      </w:pPr>
      <w:r>
        <w:rPr>
          <w:rFonts w:ascii="Garamond" w:hAnsi="Garamond" w:cs="Times New Roman"/>
          <w:lang w:val="pt-PT"/>
        </w:rPr>
        <w:t>Porem, a</w:t>
      </w:r>
      <w:r w:rsidRPr="00CE0371">
        <w:rPr>
          <w:rFonts w:ascii="Garamond" w:hAnsi="Garamond" w:cs="Times New Roman"/>
          <w:lang w:val="pt-PT"/>
        </w:rPr>
        <w:t>pesar dos progressos registados</w:t>
      </w:r>
      <w:r w:rsidR="00213C8D">
        <w:rPr>
          <w:rFonts w:ascii="Garamond" w:hAnsi="Garamond" w:cs="Times New Roman"/>
          <w:lang w:val="pt-PT"/>
        </w:rPr>
        <w:t>,</w:t>
      </w:r>
      <w:r>
        <w:rPr>
          <w:rStyle w:val="Refdenotaderodap"/>
          <w:rFonts w:ascii="Garamond" w:hAnsi="Garamond" w:cs="Times New Roman"/>
          <w:lang w:val="pt-PT"/>
        </w:rPr>
        <w:footnoteReference w:id="7"/>
      </w:r>
      <w:r>
        <w:rPr>
          <w:rFonts w:ascii="Garamond" w:hAnsi="Garamond" w:cs="Times New Roman"/>
          <w:lang w:val="pt-PT"/>
        </w:rPr>
        <w:t xml:space="preserve"> alguns listados acima</w:t>
      </w:r>
      <w:r w:rsidRPr="00CE0371">
        <w:rPr>
          <w:rFonts w:ascii="Garamond" w:hAnsi="Garamond" w:cs="Times New Roman"/>
          <w:lang w:val="pt-PT"/>
        </w:rPr>
        <w:t>, os papéis</w:t>
      </w:r>
      <w:r w:rsidR="00213C8D">
        <w:rPr>
          <w:rFonts w:ascii="Garamond" w:hAnsi="Garamond" w:cs="Times New Roman"/>
          <w:lang w:val="pt-PT"/>
        </w:rPr>
        <w:t xml:space="preserve"> e estereótipos </w:t>
      </w:r>
      <w:r w:rsidRPr="00CE0371">
        <w:rPr>
          <w:rFonts w:ascii="Garamond" w:hAnsi="Garamond" w:cs="Times New Roman"/>
          <w:lang w:val="pt-PT"/>
        </w:rPr>
        <w:t xml:space="preserve">de género </w:t>
      </w:r>
      <w:r w:rsidR="00DE4B83">
        <w:rPr>
          <w:rFonts w:ascii="Garamond" w:hAnsi="Garamond" w:cs="Times New Roman"/>
          <w:lang w:val="pt-PT"/>
        </w:rPr>
        <w:t>marcam as relações sociais</w:t>
      </w:r>
      <w:r w:rsidRPr="00CE0371">
        <w:rPr>
          <w:rFonts w:ascii="Garamond" w:hAnsi="Garamond" w:cs="Times New Roman"/>
          <w:lang w:val="pt-PT"/>
        </w:rPr>
        <w:t xml:space="preserve">, </w:t>
      </w:r>
      <w:r w:rsidR="00DE4B83">
        <w:rPr>
          <w:rFonts w:ascii="Garamond" w:hAnsi="Garamond" w:cs="Times New Roman"/>
          <w:lang w:val="pt-PT"/>
        </w:rPr>
        <w:t xml:space="preserve">e limitam o </w:t>
      </w:r>
      <w:r w:rsidRPr="00CE0371">
        <w:rPr>
          <w:rFonts w:ascii="Garamond" w:hAnsi="Garamond" w:cs="Times New Roman"/>
          <w:lang w:val="pt-PT"/>
        </w:rPr>
        <w:t xml:space="preserve">acesso e os benefícios </w:t>
      </w:r>
      <w:r w:rsidR="00DE4B83">
        <w:rPr>
          <w:rFonts w:ascii="Garamond" w:hAnsi="Garamond" w:cs="Times New Roman"/>
          <w:lang w:val="pt-PT"/>
        </w:rPr>
        <w:t xml:space="preserve">que as mulheres têm a </w:t>
      </w:r>
      <w:r w:rsidRPr="00CE0371">
        <w:rPr>
          <w:rFonts w:ascii="Garamond" w:hAnsi="Garamond" w:cs="Times New Roman"/>
          <w:lang w:val="pt-PT"/>
        </w:rPr>
        <w:t>recursos</w:t>
      </w:r>
      <w:r w:rsidR="00DE4B83">
        <w:rPr>
          <w:rFonts w:ascii="Garamond" w:hAnsi="Garamond" w:cs="Times New Roman"/>
          <w:lang w:val="pt-PT"/>
        </w:rPr>
        <w:t xml:space="preserve">, </w:t>
      </w:r>
      <w:r w:rsidRPr="00CE0371">
        <w:rPr>
          <w:rFonts w:ascii="Garamond" w:hAnsi="Garamond" w:cs="Times New Roman"/>
          <w:lang w:val="pt-PT"/>
        </w:rPr>
        <w:t>e restringem a</w:t>
      </w:r>
      <w:r w:rsidR="00213C8D">
        <w:rPr>
          <w:rFonts w:ascii="Garamond" w:hAnsi="Garamond" w:cs="Times New Roman"/>
          <w:lang w:val="pt-PT"/>
        </w:rPr>
        <w:t>s</w:t>
      </w:r>
      <w:r w:rsidRPr="00CE0371">
        <w:rPr>
          <w:rFonts w:ascii="Garamond" w:hAnsi="Garamond" w:cs="Times New Roman"/>
          <w:lang w:val="pt-PT"/>
        </w:rPr>
        <w:t xml:space="preserve"> sua</w:t>
      </w:r>
      <w:r w:rsidR="00213C8D">
        <w:rPr>
          <w:rFonts w:ascii="Garamond" w:hAnsi="Garamond" w:cs="Times New Roman"/>
          <w:lang w:val="pt-PT"/>
        </w:rPr>
        <w:t>s</w:t>
      </w:r>
      <w:r w:rsidRPr="00CE0371">
        <w:rPr>
          <w:rFonts w:ascii="Garamond" w:hAnsi="Garamond" w:cs="Times New Roman"/>
          <w:lang w:val="pt-PT"/>
        </w:rPr>
        <w:t xml:space="preserve"> capacidade</w:t>
      </w:r>
      <w:r w:rsidR="00213C8D">
        <w:rPr>
          <w:rFonts w:ascii="Garamond" w:hAnsi="Garamond" w:cs="Times New Roman"/>
          <w:lang w:val="pt-PT"/>
        </w:rPr>
        <w:t>s</w:t>
      </w:r>
      <w:r w:rsidRPr="00CE0371">
        <w:rPr>
          <w:rFonts w:ascii="Garamond" w:hAnsi="Garamond" w:cs="Times New Roman"/>
          <w:lang w:val="pt-PT"/>
        </w:rPr>
        <w:t xml:space="preserve"> de contribuir e participar plenamente no desenvolvimento e crescimento equitativo do país. Muitos desafios permanecem, </w:t>
      </w:r>
      <w:r w:rsidR="00DE4B83">
        <w:rPr>
          <w:rFonts w:ascii="Garamond" w:hAnsi="Garamond" w:cs="Times New Roman"/>
          <w:lang w:val="pt-PT"/>
        </w:rPr>
        <w:t xml:space="preserve">muito em particular </w:t>
      </w:r>
      <w:r w:rsidRPr="00CE0371">
        <w:rPr>
          <w:rFonts w:ascii="Garamond" w:hAnsi="Garamond" w:cs="Times New Roman"/>
          <w:lang w:val="pt-PT"/>
        </w:rPr>
        <w:t xml:space="preserve">ara as mulheres que enfrentam múltiplas barreiras, nomeadamente mulheres com deficiência, mulheres jovens e raparigas, mulheres rurais e mulheres vítimas de violência sexual e de género. </w:t>
      </w:r>
    </w:p>
    <w:p w14:paraId="52AC07AE" w14:textId="169C9C1A" w:rsidR="00F1265A" w:rsidRPr="00875DE1" w:rsidRDefault="00F1265A" w:rsidP="00213C8D">
      <w:pPr>
        <w:spacing w:after="240"/>
        <w:jc w:val="both"/>
        <w:rPr>
          <w:rFonts w:ascii="Garamond" w:eastAsia="Times New Roman" w:hAnsi="Garamond" w:cs="Times New Roman"/>
          <w:lang w:val="pt-PT"/>
        </w:rPr>
      </w:pPr>
      <w:r w:rsidRPr="008F7360">
        <w:rPr>
          <w:rFonts w:ascii="Garamond" w:hAnsi="Garamond" w:cs="Times New Roman"/>
          <w:lang w:val="pt-PT"/>
        </w:rPr>
        <w:t xml:space="preserve">De acordo com </w:t>
      </w:r>
      <w:r>
        <w:rPr>
          <w:rFonts w:ascii="Garamond" w:hAnsi="Garamond" w:cs="Times New Roman"/>
          <w:lang w:val="pt-PT"/>
        </w:rPr>
        <w:t>os dados d</w:t>
      </w:r>
      <w:r w:rsidR="00F97FF8">
        <w:rPr>
          <w:rFonts w:ascii="Garamond" w:hAnsi="Garamond" w:cs="Times New Roman"/>
          <w:lang w:val="pt-PT"/>
        </w:rPr>
        <w:t>o</w:t>
      </w:r>
      <w:r>
        <w:rPr>
          <w:rFonts w:ascii="Garamond" w:hAnsi="Garamond" w:cs="Times New Roman"/>
          <w:lang w:val="pt-PT"/>
        </w:rPr>
        <w:t xml:space="preserve"> último relatório</w:t>
      </w:r>
      <w:r w:rsidR="00F97FF8" w:rsidRPr="00F97FF8">
        <w:rPr>
          <w:rFonts w:ascii="Garamond" w:eastAsia="Times New Roman" w:hAnsi="Garamond" w:cs="Times New Roman"/>
          <w:lang w:val="pt-PT"/>
        </w:rPr>
        <w:t xml:space="preserve"> </w:t>
      </w:r>
      <w:proofErr w:type="spellStart"/>
      <w:r w:rsidR="00F97FF8" w:rsidRPr="00875DE1">
        <w:rPr>
          <w:rFonts w:ascii="Garamond" w:eastAsia="Times New Roman" w:hAnsi="Garamond" w:cs="Times New Roman"/>
          <w:i/>
          <w:lang w:val="pt-PT"/>
        </w:rPr>
        <w:t>Gender</w:t>
      </w:r>
      <w:proofErr w:type="spellEnd"/>
      <w:r w:rsidR="00F97FF8" w:rsidRPr="00875DE1">
        <w:rPr>
          <w:rFonts w:ascii="Garamond" w:eastAsia="Times New Roman" w:hAnsi="Garamond" w:cs="Times New Roman"/>
          <w:i/>
          <w:lang w:val="pt-PT"/>
        </w:rPr>
        <w:t xml:space="preserve"> Index Gap</w:t>
      </w:r>
      <w:r w:rsidR="00F97FF8">
        <w:rPr>
          <w:rFonts w:ascii="Garamond" w:eastAsia="Times New Roman" w:hAnsi="Garamond" w:cs="Times New Roman"/>
          <w:lang w:val="pt-PT"/>
        </w:rPr>
        <w:t xml:space="preserve">, do </w:t>
      </w:r>
      <w:r w:rsidR="00F97FF8" w:rsidRPr="00373A31">
        <w:rPr>
          <w:rFonts w:ascii="Garamond" w:eastAsia="Times New Roman" w:hAnsi="Garamond" w:cs="Times New Roman"/>
          <w:lang w:val="pt-PT"/>
        </w:rPr>
        <w:t>Fórum Eco</w:t>
      </w:r>
      <w:r w:rsidR="00F97FF8" w:rsidRPr="005D5D93">
        <w:rPr>
          <w:rFonts w:ascii="Garamond" w:eastAsia="Times New Roman" w:hAnsi="Garamond" w:cs="Times New Roman"/>
          <w:lang w:val="pt-PT"/>
        </w:rPr>
        <w:t>no</w:t>
      </w:r>
      <w:r w:rsidR="00F97FF8" w:rsidRPr="00373A31">
        <w:rPr>
          <w:rFonts w:ascii="Garamond" w:eastAsia="Times New Roman" w:hAnsi="Garamond" w:cs="Times New Roman"/>
          <w:lang w:val="pt-PT"/>
        </w:rPr>
        <w:t>mico Mundial</w:t>
      </w:r>
      <w:r>
        <w:rPr>
          <w:rFonts w:ascii="Garamond" w:hAnsi="Garamond" w:cs="Times New Roman"/>
          <w:lang w:val="pt-PT"/>
        </w:rPr>
        <w:t xml:space="preserve">, em 2018 Cabo Verde ocupava a posição </w:t>
      </w:r>
      <w:r w:rsidRPr="00875DE1">
        <w:rPr>
          <w:rFonts w:ascii="Garamond" w:hAnsi="Garamond" w:cs="Times New Roman"/>
          <w:lang w:val="pt-PT"/>
        </w:rPr>
        <w:t>72º lugar de 149 países avaliados e um índice de 0,702</w:t>
      </w:r>
      <w:r w:rsidR="00941622">
        <w:rPr>
          <w:rFonts w:ascii="Garamond" w:hAnsi="Garamond" w:cs="Times New Roman"/>
          <w:lang w:val="pt-PT"/>
        </w:rPr>
        <w:t xml:space="preserve">, um progresso significativo em relação à posição do </w:t>
      </w:r>
      <w:r w:rsidRPr="00875DE1">
        <w:rPr>
          <w:rFonts w:ascii="Garamond" w:hAnsi="Garamond" w:cs="Times New Roman"/>
          <w:lang w:val="pt-PT"/>
        </w:rPr>
        <w:t xml:space="preserve">anterior </w:t>
      </w:r>
      <w:r w:rsidR="00941622">
        <w:rPr>
          <w:rFonts w:ascii="Garamond" w:hAnsi="Garamond" w:cs="Times New Roman"/>
          <w:lang w:val="pt-PT"/>
        </w:rPr>
        <w:t>(</w:t>
      </w:r>
      <w:r w:rsidRPr="00875DE1">
        <w:rPr>
          <w:rFonts w:ascii="Garamond" w:hAnsi="Garamond" w:cs="Times New Roman"/>
          <w:lang w:val="pt-PT"/>
        </w:rPr>
        <w:t>89</w:t>
      </w:r>
      <w:r w:rsidR="00941622">
        <w:rPr>
          <w:rFonts w:ascii="Garamond" w:hAnsi="Garamond" w:cs="Times New Roman"/>
          <w:lang w:val="pt-PT"/>
        </w:rPr>
        <w:t>º</w:t>
      </w:r>
      <w:r w:rsidRPr="00875DE1">
        <w:rPr>
          <w:rFonts w:ascii="Garamond" w:hAnsi="Garamond" w:cs="Times New Roman"/>
          <w:lang w:val="pt-PT"/>
        </w:rPr>
        <w:t xml:space="preserve"> </w:t>
      </w:r>
      <w:r w:rsidR="00941622">
        <w:rPr>
          <w:rFonts w:ascii="Garamond" w:hAnsi="Garamond" w:cs="Times New Roman"/>
          <w:lang w:val="pt-PT"/>
        </w:rPr>
        <w:t xml:space="preserve">de </w:t>
      </w:r>
      <w:r w:rsidRPr="00875DE1">
        <w:rPr>
          <w:rFonts w:ascii="Garamond" w:hAnsi="Garamond" w:cs="Times New Roman"/>
          <w:lang w:val="pt-PT"/>
        </w:rPr>
        <w:t xml:space="preserve">144 países e índice de 0,686). Importa, contudo, realçar que o comportamento do índice tem oscilado ao longo dos anos para Cabo Verde, sendo que em 2016, ocupava a posição 36 e um índice de género de 0,729.  </w:t>
      </w:r>
      <w:r w:rsidR="00213C8D">
        <w:rPr>
          <w:rFonts w:ascii="Garamond" w:hAnsi="Garamond" w:cs="Times New Roman"/>
          <w:lang w:val="pt-PT"/>
        </w:rPr>
        <w:t>O</w:t>
      </w:r>
      <w:r w:rsidRPr="008F7360">
        <w:rPr>
          <w:rFonts w:ascii="Garamond" w:hAnsi="Garamond" w:cs="Times New Roman"/>
          <w:lang w:val="pt-PT"/>
        </w:rPr>
        <w:t xml:space="preserve"> índice</w:t>
      </w:r>
      <w:r w:rsidR="00F97FF8">
        <w:rPr>
          <w:rFonts w:ascii="Garamond" w:hAnsi="Garamond" w:cs="Times New Roman"/>
          <w:lang w:val="pt-PT"/>
        </w:rPr>
        <w:t xml:space="preserve"> de 2018</w:t>
      </w:r>
      <w:r w:rsidRPr="008F7360">
        <w:rPr>
          <w:rFonts w:ascii="Garamond" w:hAnsi="Garamond" w:cs="Times New Roman"/>
          <w:lang w:val="pt-PT"/>
        </w:rPr>
        <w:t xml:space="preserve"> indica que, Cabo Verde </w:t>
      </w:r>
      <w:r>
        <w:rPr>
          <w:rFonts w:ascii="Garamond" w:hAnsi="Garamond" w:cs="Times New Roman"/>
          <w:lang w:val="pt-PT"/>
        </w:rPr>
        <w:t xml:space="preserve">está prestes a </w:t>
      </w:r>
      <w:r w:rsidRPr="008F7360">
        <w:rPr>
          <w:rFonts w:ascii="Garamond" w:hAnsi="Garamond" w:cs="Times New Roman"/>
          <w:lang w:val="pt-PT"/>
        </w:rPr>
        <w:t>elimin</w:t>
      </w:r>
      <w:r>
        <w:rPr>
          <w:rFonts w:ascii="Garamond" w:hAnsi="Garamond" w:cs="Times New Roman"/>
          <w:lang w:val="pt-PT"/>
        </w:rPr>
        <w:t xml:space="preserve">ar </w:t>
      </w:r>
      <w:r w:rsidRPr="008F7360">
        <w:rPr>
          <w:rFonts w:ascii="Garamond" w:hAnsi="Garamond" w:cs="Times New Roman"/>
          <w:lang w:val="pt-PT"/>
        </w:rPr>
        <w:t>a</w:t>
      </w:r>
      <w:r>
        <w:rPr>
          <w:rFonts w:ascii="Garamond" w:hAnsi="Garamond" w:cs="Times New Roman"/>
          <w:lang w:val="pt-PT"/>
        </w:rPr>
        <w:t>s</w:t>
      </w:r>
      <w:r w:rsidRPr="008F7360">
        <w:rPr>
          <w:rFonts w:ascii="Garamond" w:hAnsi="Garamond" w:cs="Times New Roman"/>
          <w:lang w:val="pt-PT"/>
        </w:rPr>
        <w:t xml:space="preserve"> disparidade</w:t>
      </w:r>
      <w:r>
        <w:rPr>
          <w:rFonts w:ascii="Garamond" w:hAnsi="Garamond" w:cs="Times New Roman"/>
          <w:lang w:val="pt-PT"/>
        </w:rPr>
        <w:t>s</w:t>
      </w:r>
      <w:r w:rsidRPr="008F7360">
        <w:rPr>
          <w:rFonts w:ascii="Garamond" w:hAnsi="Garamond" w:cs="Times New Roman"/>
          <w:lang w:val="pt-PT"/>
        </w:rPr>
        <w:t xml:space="preserve"> de género na área da </w:t>
      </w:r>
      <w:r>
        <w:rPr>
          <w:rFonts w:ascii="Garamond" w:hAnsi="Garamond" w:cs="Times New Roman"/>
          <w:lang w:val="pt-PT"/>
        </w:rPr>
        <w:t xml:space="preserve">educação e </w:t>
      </w:r>
      <w:r w:rsidRPr="008F7360">
        <w:rPr>
          <w:rFonts w:ascii="Garamond" w:hAnsi="Garamond" w:cs="Times New Roman"/>
          <w:lang w:val="pt-PT"/>
        </w:rPr>
        <w:t xml:space="preserve">saúde </w:t>
      </w:r>
      <w:r>
        <w:rPr>
          <w:rFonts w:ascii="Garamond" w:hAnsi="Garamond" w:cs="Times New Roman"/>
          <w:lang w:val="pt-PT"/>
        </w:rPr>
        <w:t xml:space="preserve">(0,971 e 0,974 </w:t>
      </w:r>
      <w:proofErr w:type="spellStart"/>
      <w:r>
        <w:rPr>
          <w:rFonts w:ascii="Garamond" w:hAnsi="Garamond" w:cs="Times New Roman"/>
          <w:lang w:val="pt-PT"/>
        </w:rPr>
        <w:t>respetivamente</w:t>
      </w:r>
      <w:proofErr w:type="spellEnd"/>
      <w:r>
        <w:rPr>
          <w:rFonts w:ascii="Garamond" w:hAnsi="Garamond" w:cs="Times New Roman"/>
          <w:lang w:val="pt-PT"/>
        </w:rPr>
        <w:t>)</w:t>
      </w:r>
      <w:r w:rsidRPr="008F7360">
        <w:rPr>
          <w:rFonts w:ascii="Garamond" w:hAnsi="Garamond" w:cs="Times New Roman"/>
          <w:lang w:val="pt-PT"/>
        </w:rPr>
        <w:t xml:space="preserve">, mas </w:t>
      </w:r>
      <w:r>
        <w:rPr>
          <w:rFonts w:ascii="Garamond" w:hAnsi="Garamond" w:cs="Times New Roman"/>
          <w:lang w:val="pt-PT"/>
        </w:rPr>
        <w:t xml:space="preserve">que ainda há uma longa distancia a percorrer no tocante as </w:t>
      </w:r>
      <w:r w:rsidRPr="008F7360">
        <w:rPr>
          <w:rFonts w:ascii="Garamond" w:hAnsi="Garamond" w:cs="Times New Roman"/>
          <w:lang w:val="pt-PT"/>
        </w:rPr>
        <w:t>oportunidades econ</w:t>
      </w:r>
      <w:r>
        <w:rPr>
          <w:rFonts w:ascii="Garamond" w:hAnsi="Garamond" w:cs="Times New Roman"/>
          <w:lang w:val="pt-PT"/>
        </w:rPr>
        <w:t>ó</w:t>
      </w:r>
      <w:r w:rsidRPr="008F7360">
        <w:rPr>
          <w:rFonts w:ascii="Garamond" w:hAnsi="Garamond" w:cs="Times New Roman"/>
          <w:lang w:val="pt-PT"/>
        </w:rPr>
        <w:t xml:space="preserve">micas </w:t>
      </w:r>
      <w:r>
        <w:rPr>
          <w:rFonts w:ascii="Garamond" w:hAnsi="Garamond" w:cs="Times New Roman"/>
          <w:lang w:val="pt-PT"/>
        </w:rPr>
        <w:t xml:space="preserve">para as mulheres </w:t>
      </w:r>
      <w:r w:rsidR="00815F75">
        <w:rPr>
          <w:rFonts w:ascii="Garamond" w:hAnsi="Garamond" w:cs="Times New Roman"/>
          <w:lang w:val="pt-PT"/>
        </w:rPr>
        <w:t>(</w:t>
      </w:r>
      <w:r w:rsidR="009E2CCC" w:rsidRPr="009E2CCC">
        <w:rPr>
          <w:rFonts w:ascii="Garamond" w:hAnsi="Garamond" w:cs="Times New Roman"/>
          <w:lang w:val="pt-PT"/>
        </w:rPr>
        <w:t>0</w:t>
      </w:r>
      <w:r w:rsidR="009E2CCC">
        <w:rPr>
          <w:rFonts w:ascii="Garamond" w:hAnsi="Garamond" w:cs="Times New Roman"/>
          <w:lang w:val="pt-PT"/>
        </w:rPr>
        <w:t>,</w:t>
      </w:r>
      <w:r w:rsidR="009E2CCC" w:rsidRPr="009E2CCC">
        <w:rPr>
          <w:rFonts w:ascii="Garamond" w:hAnsi="Garamond" w:cs="Times New Roman"/>
          <w:lang w:val="pt-PT"/>
        </w:rPr>
        <w:t>684</w:t>
      </w:r>
      <w:r w:rsidR="00815F75">
        <w:rPr>
          <w:rFonts w:ascii="Garamond" w:hAnsi="Garamond" w:cs="Times New Roman"/>
          <w:lang w:val="pt-PT"/>
        </w:rPr>
        <w:t xml:space="preserve">) </w:t>
      </w:r>
      <w:r>
        <w:rPr>
          <w:rFonts w:ascii="Garamond" w:hAnsi="Garamond" w:cs="Times New Roman"/>
          <w:lang w:val="pt-PT"/>
        </w:rPr>
        <w:t xml:space="preserve">e a </w:t>
      </w:r>
      <w:r w:rsidRPr="008F7360">
        <w:rPr>
          <w:rFonts w:ascii="Garamond" w:hAnsi="Garamond" w:cs="Times New Roman"/>
          <w:lang w:val="pt-PT"/>
        </w:rPr>
        <w:t>empoderamento político</w:t>
      </w:r>
      <w:r>
        <w:rPr>
          <w:rFonts w:ascii="Garamond" w:hAnsi="Garamond" w:cs="Times New Roman"/>
          <w:lang w:val="pt-PT"/>
        </w:rPr>
        <w:t xml:space="preserve"> das mulheres</w:t>
      </w:r>
      <w:r w:rsidR="00815F75">
        <w:rPr>
          <w:rFonts w:ascii="Garamond" w:hAnsi="Garamond" w:cs="Times New Roman"/>
          <w:lang w:val="pt-PT"/>
        </w:rPr>
        <w:t xml:space="preserve"> (</w:t>
      </w:r>
      <w:r w:rsidR="009E2CCC" w:rsidRPr="009E2CCC">
        <w:rPr>
          <w:rFonts w:ascii="Garamond" w:hAnsi="Garamond" w:cs="Times New Roman"/>
          <w:lang w:val="pt-PT"/>
        </w:rPr>
        <w:t>0</w:t>
      </w:r>
      <w:r w:rsidR="009E2CCC">
        <w:rPr>
          <w:rFonts w:ascii="Garamond" w:hAnsi="Garamond" w:cs="Times New Roman"/>
          <w:lang w:val="pt-PT"/>
        </w:rPr>
        <w:t>,</w:t>
      </w:r>
      <w:r w:rsidR="009E2CCC" w:rsidRPr="009E2CCC">
        <w:rPr>
          <w:rFonts w:ascii="Garamond" w:hAnsi="Garamond" w:cs="Times New Roman"/>
          <w:lang w:val="pt-PT"/>
        </w:rPr>
        <w:t>178</w:t>
      </w:r>
      <w:r w:rsidR="00815F75">
        <w:rPr>
          <w:rFonts w:ascii="Garamond" w:hAnsi="Garamond" w:cs="Times New Roman"/>
          <w:lang w:val="pt-PT"/>
        </w:rPr>
        <w:t>)</w:t>
      </w:r>
      <w:r>
        <w:rPr>
          <w:rFonts w:ascii="Garamond" w:hAnsi="Garamond" w:cs="Times New Roman"/>
          <w:lang w:val="pt-PT"/>
        </w:rPr>
        <w:t xml:space="preserve">. </w:t>
      </w:r>
      <w:r w:rsidR="009E2CCC">
        <w:rPr>
          <w:rFonts w:ascii="Garamond" w:hAnsi="Garamond" w:cs="Times New Roman"/>
          <w:lang w:val="pt-PT"/>
        </w:rPr>
        <w:t>A nível de empoderamento económico, o</w:t>
      </w:r>
      <w:r>
        <w:rPr>
          <w:rFonts w:ascii="Garamond" w:hAnsi="Garamond" w:cs="Times New Roman"/>
          <w:lang w:val="pt-PT"/>
        </w:rPr>
        <w:t xml:space="preserve">s dados apontam que </w:t>
      </w:r>
      <w:r w:rsidR="009E2CCC">
        <w:rPr>
          <w:rFonts w:ascii="Garamond" w:hAnsi="Garamond" w:cs="Times New Roman"/>
          <w:lang w:val="pt-PT"/>
        </w:rPr>
        <w:t>é</w:t>
      </w:r>
      <w:r>
        <w:rPr>
          <w:rFonts w:ascii="Garamond" w:hAnsi="Garamond" w:cs="Times New Roman"/>
          <w:lang w:val="pt-PT"/>
        </w:rPr>
        <w:t xml:space="preserve"> preciso trabalhar para fechar as brechas de género na participação das mulheres na for</w:t>
      </w:r>
      <w:r w:rsidR="009E2CCC">
        <w:rPr>
          <w:rFonts w:ascii="Garamond" w:hAnsi="Garamond" w:cs="Times New Roman"/>
          <w:lang w:val="pt-PT"/>
        </w:rPr>
        <w:t>ç</w:t>
      </w:r>
      <w:r>
        <w:rPr>
          <w:rFonts w:ascii="Garamond" w:hAnsi="Garamond" w:cs="Times New Roman"/>
          <w:lang w:val="pt-PT"/>
        </w:rPr>
        <w:t>a laboral, na promoção de remuneração igualitária e na melhoria de rendimento económico para as mulheres</w:t>
      </w:r>
      <w:r w:rsidR="00F97FF8">
        <w:rPr>
          <w:rFonts w:ascii="Garamond" w:hAnsi="Garamond" w:cs="Times New Roman"/>
          <w:lang w:val="pt-PT"/>
        </w:rPr>
        <w:t>; c</w:t>
      </w:r>
      <w:r>
        <w:rPr>
          <w:rFonts w:ascii="Garamond" w:hAnsi="Garamond" w:cs="Times New Roman"/>
          <w:lang w:val="pt-PT"/>
        </w:rPr>
        <w:t xml:space="preserve">om relação ao empoderamento político, </w:t>
      </w:r>
      <w:r w:rsidR="00F97FF8">
        <w:rPr>
          <w:rFonts w:ascii="Garamond" w:hAnsi="Garamond" w:cs="Times New Roman"/>
          <w:lang w:val="pt-PT"/>
        </w:rPr>
        <w:t xml:space="preserve">uma </w:t>
      </w:r>
      <w:r>
        <w:rPr>
          <w:rFonts w:ascii="Garamond" w:hAnsi="Garamond" w:cs="Times New Roman"/>
          <w:lang w:val="pt-PT"/>
        </w:rPr>
        <w:t xml:space="preserve">maior participação e representação das mulheres no parlamento e em posições ministeriais e na chefia do Estado. </w:t>
      </w:r>
    </w:p>
    <w:p w14:paraId="61782996" w14:textId="34BC6D39" w:rsidR="00F1265A" w:rsidRDefault="00F1265A" w:rsidP="00F97FF8">
      <w:pPr>
        <w:pStyle w:val="PargrafodaLista"/>
        <w:spacing w:after="240"/>
        <w:ind w:left="0"/>
        <w:contextualSpacing w:val="0"/>
        <w:jc w:val="both"/>
        <w:rPr>
          <w:rFonts w:ascii="Garamond" w:hAnsi="Garamond" w:cs="Times New Roman"/>
          <w:lang w:val="pt-PT"/>
        </w:rPr>
      </w:pPr>
      <w:r>
        <w:rPr>
          <w:rFonts w:ascii="Garamond" w:hAnsi="Garamond" w:cs="Times New Roman"/>
          <w:lang w:val="pt-PT"/>
        </w:rPr>
        <w:t>Por outro lado, o</w:t>
      </w:r>
      <w:r w:rsidRPr="008F7360">
        <w:rPr>
          <w:rFonts w:ascii="Garamond" w:hAnsi="Garamond" w:cs="Times New Roman"/>
          <w:lang w:val="pt-PT"/>
        </w:rPr>
        <w:t>s sucessivos relatórios que acompanham o</w:t>
      </w:r>
      <w:r>
        <w:rPr>
          <w:rFonts w:ascii="Garamond" w:hAnsi="Garamond" w:cs="Times New Roman"/>
          <w:lang w:val="pt-PT"/>
        </w:rPr>
        <w:t>s</w:t>
      </w:r>
      <w:r w:rsidRPr="008F7360">
        <w:rPr>
          <w:rFonts w:ascii="Garamond" w:hAnsi="Garamond" w:cs="Times New Roman"/>
          <w:lang w:val="pt-PT"/>
        </w:rPr>
        <w:t xml:space="preserve"> progresso</w:t>
      </w:r>
      <w:r>
        <w:rPr>
          <w:rFonts w:ascii="Garamond" w:hAnsi="Garamond" w:cs="Times New Roman"/>
          <w:lang w:val="pt-PT"/>
        </w:rPr>
        <w:t>s</w:t>
      </w:r>
      <w:r w:rsidRPr="008F7360">
        <w:rPr>
          <w:rFonts w:ascii="Garamond" w:hAnsi="Garamond" w:cs="Times New Roman"/>
          <w:lang w:val="pt-PT"/>
        </w:rPr>
        <w:t xml:space="preserve"> d</w:t>
      </w:r>
      <w:r>
        <w:rPr>
          <w:rFonts w:ascii="Garamond" w:hAnsi="Garamond" w:cs="Times New Roman"/>
          <w:lang w:val="pt-PT"/>
        </w:rPr>
        <w:t>e igualdade de</w:t>
      </w:r>
      <w:r w:rsidRPr="008F7360">
        <w:rPr>
          <w:rFonts w:ascii="Garamond" w:hAnsi="Garamond" w:cs="Times New Roman"/>
          <w:lang w:val="pt-PT"/>
        </w:rPr>
        <w:t xml:space="preserve"> género </w:t>
      </w:r>
      <w:r>
        <w:rPr>
          <w:rFonts w:ascii="Garamond" w:hAnsi="Garamond" w:cs="Times New Roman"/>
          <w:lang w:val="pt-PT"/>
        </w:rPr>
        <w:t xml:space="preserve">e direitos das mulheres </w:t>
      </w:r>
      <w:r w:rsidRPr="008F7360">
        <w:rPr>
          <w:rFonts w:ascii="Garamond" w:hAnsi="Garamond" w:cs="Times New Roman"/>
          <w:lang w:val="pt-PT"/>
        </w:rPr>
        <w:t xml:space="preserve">no país e os esforços para a concretização dos compromissos internacionais de Cabo Verde, nomeadamente com a </w:t>
      </w:r>
      <w:proofErr w:type="spellStart"/>
      <w:r w:rsidRPr="008F7360">
        <w:rPr>
          <w:rFonts w:ascii="Garamond" w:hAnsi="Garamond" w:cs="Times New Roman"/>
          <w:lang w:val="pt-PT"/>
        </w:rPr>
        <w:t>CED</w:t>
      </w:r>
      <w:r>
        <w:rPr>
          <w:rFonts w:ascii="Garamond" w:hAnsi="Garamond" w:cs="Times New Roman"/>
          <w:lang w:val="pt-PT"/>
        </w:rPr>
        <w:t>AW</w:t>
      </w:r>
      <w:proofErr w:type="spellEnd"/>
      <w:r>
        <w:rPr>
          <w:rFonts w:ascii="Garamond" w:hAnsi="Garamond" w:cs="Times New Roman"/>
          <w:lang w:val="pt-PT"/>
        </w:rPr>
        <w:t xml:space="preserve">, a Plataforma e Plano de </w:t>
      </w:r>
      <w:proofErr w:type="spellStart"/>
      <w:r>
        <w:rPr>
          <w:rFonts w:ascii="Garamond" w:hAnsi="Garamond" w:cs="Times New Roman"/>
          <w:lang w:val="pt-PT"/>
        </w:rPr>
        <w:t>Ação</w:t>
      </w:r>
      <w:proofErr w:type="spellEnd"/>
      <w:r>
        <w:rPr>
          <w:rFonts w:ascii="Garamond" w:hAnsi="Garamond" w:cs="Times New Roman"/>
          <w:lang w:val="pt-PT"/>
        </w:rPr>
        <w:t xml:space="preserve"> de </w:t>
      </w:r>
      <w:proofErr w:type="spellStart"/>
      <w:r>
        <w:rPr>
          <w:rFonts w:ascii="Garamond" w:hAnsi="Garamond" w:cs="Times New Roman"/>
          <w:lang w:val="pt-PT"/>
        </w:rPr>
        <w:t>Beijing</w:t>
      </w:r>
      <w:proofErr w:type="spellEnd"/>
      <w:r>
        <w:rPr>
          <w:rFonts w:ascii="Garamond" w:hAnsi="Garamond" w:cs="Times New Roman"/>
          <w:lang w:val="pt-PT"/>
        </w:rPr>
        <w:t xml:space="preserve">, </w:t>
      </w:r>
      <w:r w:rsidRPr="008F7360">
        <w:rPr>
          <w:rFonts w:ascii="Garamond" w:hAnsi="Garamond" w:cs="Times New Roman"/>
          <w:lang w:val="pt-PT"/>
        </w:rPr>
        <w:t xml:space="preserve">os </w:t>
      </w:r>
      <w:proofErr w:type="spellStart"/>
      <w:r w:rsidRPr="008F7360">
        <w:rPr>
          <w:rFonts w:ascii="Garamond" w:hAnsi="Garamond" w:cs="Times New Roman"/>
          <w:lang w:val="pt-PT"/>
        </w:rPr>
        <w:t>OD</w:t>
      </w:r>
      <w:r>
        <w:rPr>
          <w:rFonts w:ascii="Garamond" w:hAnsi="Garamond" w:cs="Times New Roman"/>
          <w:lang w:val="pt-PT"/>
        </w:rPr>
        <w:t>S</w:t>
      </w:r>
      <w:proofErr w:type="spellEnd"/>
      <w:r w:rsidRPr="008F7360">
        <w:rPr>
          <w:rFonts w:ascii="Garamond" w:hAnsi="Garamond" w:cs="Times New Roman"/>
          <w:lang w:val="pt-PT"/>
        </w:rPr>
        <w:t xml:space="preserve"> e avaliações a vários níveis, indicam que apesar dos investimentos realizados e dos resultados alcançados até a</w:t>
      </w:r>
      <w:r>
        <w:rPr>
          <w:rFonts w:ascii="Garamond" w:hAnsi="Garamond" w:cs="Times New Roman"/>
          <w:lang w:val="pt-PT"/>
        </w:rPr>
        <w:t xml:space="preserve"> data</w:t>
      </w:r>
      <w:r w:rsidRPr="008F7360">
        <w:rPr>
          <w:rFonts w:ascii="Garamond" w:hAnsi="Garamond" w:cs="Times New Roman"/>
          <w:lang w:val="pt-PT"/>
        </w:rPr>
        <w:t xml:space="preserve">, </w:t>
      </w:r>
      <w:r>
        <w:rPr>
          <w:rFonts w:ascii="Garamond" w:hAnsi="Garamond" w:cs="Times New Roman"/>
          <w:lang w:val="pt-PT"/>
        </w:rPr>
        <w:t>a</w:t>
      </w:r>
      <w:r w:rsidRPr="008F7360">
        <w:rPr>
          <w:rFonts w:ascii="Garamond" w:hAnsi="Garamond" w:cs="Times New Roman"/>
          <w:lang w:val="pt-PT"/>
        </w:rPr>
        <w:t xml:space="preserve">s mulheres em Cabo Verde ainda experimentam uma situação de extrema desigualdade em termos de carga horária global e invisibilidade do trabalho não remunerado, </w:t>
      </w:r>
      <w:proofErr w:type="spellStart"/>
      <w:r w:rsidR="00F97FF8">
        <w:rPr>
          <w:rFonts w:ascii="Garamond" w:hAnsi="Garamond" w:cs="Times New Roman"/>
          <w:lang w:val="pt-PT"/>
        </w:rPr>
        <w:t>proteção</w:t>
      </w:r>
      <w:proofErr w:type="spellEnd"/>
      <w:r w:rsidR="00F97FF8">
        <w:rPr>
          <w:rFonts w:ascii="Garamond" w:hAnsi="Garamond" w:cs="Times New Roman"/>
          <w:lang w:val="pt-PT"/>
        </w:rPr>
        <w:t xml:space="preserve"> </w:t>
      </w:r>
      <w:r w:rsidRPr="008F7360">
        <w:rPr>
          <w:rFonts w:ascii="Garamond" w:hAnsi="Garamond" w:cs="Times New Roman"/>
          <w:lang w:val="pt-PT"/>
        </w:rPr>
        <w:t xml:space="preserve">social, </w:t>
      </w:r>
      <w:r>
        <w:rPr>
          <w:rFonts w:ascii="Garamond" w:hAnsi="Garamond" w:cs="Times New Roman"/>
          <w:lang w:val="pt-PT"/>
        </w:rPr>
        <w:t xml:space="preserve">pobreza, </w:t>
      </w:r>
      <w:r w:rsidRPr="008F7360">
        <w:rPr>
          <w:rFonts w:ascii="Garamond" w:hAnsi="Garamond" w:cs="Times New Roman"/>
          <w:lang w:val="pt-PT"/>
        </w:rPr>
        <w:t xml:space="preserve">emprego decente e </w:t>
      </w:r>
      <w:r>
        <w:rPr>
          <w:rFonts w:ascii="Garamond" w:hAnsi="Garamond" w:cs="Times New Roman"/>
          <w:lang w:val="pt-PT"/>
        </w:rPr>
        <w:t>rendimento condigno</w:t>
      </w:r>
      <w:r w:rsidRPr="008F7360">
        <w:rPr>
          <w:rFonts w:ascii="Garamond" w:hAnsi="Garamond" w:cs="Times New Roman"/>
          <w:lang w:val="pt-PT"/>
        </w:rPr>
        <w:t xml:space="preserve">, participação </w:t>
      </w:r>
      <w:r>
        <w:rPr>
          <w:rFonts w:ascii="Garamond" w:hAnsi="Garamond" w:cs="Times New Roman"/>
          <w:lang w:val="pt-PT"/>
        </w:rPr>
        <w:t xml:space="preserve">nas esferas de poder e de </w:t>
      </w:r>
      <w:r w:rsidRPr="008F7360">
        <w:rPr>
          <w:rFonts w:ascii="Garamond" w:hAnsi="Garamond" w:cs="Times New Roman"/>
          <w:lang w:val="pt-PT"/>
        </w:rPr>
        <w:t xml:space="preserve">tomada de </w:t>
      </w:r>
      <w:r>
        <w:rPr>
          <w:rFonts w:ascii="Garamond" w:hAnsi="Garamond" w:cs="Times New Roman"/>
          <w:lang w:val="pt-PT"/>
        </w:rPr>
        <w:t xml:space="preserve">decisão </w:t>
      </w:r>
      <w:r w:rsidRPr="008F7360">
        <w:rPr>
          <w:rFonts w:ascii="Garamond" w:hAnsi="Garamond" w:cs="Times New Roman"/>
          <w:lang w:val="pt-PT"/>
        </w:rPr>
        <w:t xml:space="preserve">e vulnerabilidade diante da </w:t>
      </w:r>
      <w:r>
        <w:rPr>
          <w:rFonts w:ascii="Garamond" w:hAnsi="Garamond" w:cs="Times New Roman"/>
          <w:lang w:val="pt-PT"/>
        </w:rPr>
        <w:t>v</w:t>
      </w:r>
      <w:r w:rsidRPr="008F7360">
        <w:rPr>
          <w:rFonts w:ascii="Garamond" w:hAnsi="Garamond" w:cs="Times New Roman"/>
          <w:lang w:val="pt-PT"/>
        </w:rPr>
        <w:t xml:space="preserve">iolência </w:t>
      </w:r>
      <w:r>
        <w:rPr>
          <w:rFonts w:ascii="Garamond" w:hAnsi="Garamond" w:cs="Times New Roman"/>
          <w:lang w:val="pt-PT"/>
        </w:rPr>
        <w:t>b</w:t>
      </w:r>
      <w:r w:rsidRPr="008F7360">
        <w:rPr>
          <w:rFonts w:ascii="Garamond" w:hAnsi="Garamond" w:cs="Times New Roman"/>
          <w:lang w:val="pt-PT"/>
        </w:rPr>
        <w:t xml:space="preserve">aseada no </w:t>
      </w:r>
      <w:r>
        <w:rPr>
          <w:rFonts w:ascii="Garamond" w:hAnsi="Garamond" w:cs="Times New Roman"/>
          <w:lang w:val="pt-PT"/>
        </w:rPr>
        <w:t>gé</w:t>
      </w:r>
      <w:r w:rsidRPr="008F7360">
        <w:rPr>
          <w:rFonts w:ascii="Garamond" w:hAnsi="Garamond" w:cs="Times New Roman"/>
          <w:lang w:val="pt-PT"/>
        </w:rPr>
        <w:t>nero.</w:t>
      </w:r>
    </w:p>
    <w:p w14:paraId="09B3C72D" w14:textId="6361BABF" w:rsidR="00F1265A" w:rsidRDefault="00F1265A" w:rsidP="00F97FF8">
      <w:pPr>
        <w:pStyle w:val="PargrafodaLista"/>
        <w:spacing w:after="240"/>
        <w:ind w:left="0"/>
        <w:contextualSpacing w:val="0"/>
        <w:jc w:val="both"/>
        <w:rPr>
          <w:rFonts w:ascii="Garamond" w:hAnsi="Garamond" w:cs="Times New Roman"/>
          <w:lang w:val="pt-PT"/>
        </w:rPr>
      </w:pPr>
      <w:r>
        <w:rPr>
          <w:rFonts w:ascii="Garamond" w:hAnsi="Garamond" w:cs="Times New Roman"/>
          <w:lang w:val="pt-PT"/>
        </w:rPr>
        <w:t xml:space="preserve">Os dados e as avaliações dos progressos também indicam </w:t>
      </w:r>
      <w:r w:rsidR="00503661">
        <w:rPr>
          <w:rFonts w:ascii="Garamond" w:hAnsi="Garamond" w:cs="Times New Roman"/>
          <w:lang w:val="pt-PT"/>
        </w:rPr>
        <w:t xml:space="preserve">a necessidade de </w:t>
      </w:r>
      <w:r w:rsidR="009E57E2">
        <w:rPr>
          <w:rFonts w:ascii="Garamond" w:hAnsi="Garamond" w:cs="Times New Roman"/>
          <w:lang w:val="pt-PT"/>
        </w:rPr>
        <w:t>analisar</w:t>
      </w:r>
      <w:r>
        <w:rPr>
          <w:rFonts w:ascii="Garamond" w:hAnsi="Garamond" w:cs="Times New Roman"/>
          <w:lang w:val="pt-PT"/>
        </w:rPr>
        <w:t xml:space="preserve"> as múltiplas vulnerabilidades de grupos específicos de mulheres e meninas, tendo em conta as suas necessidades e expectativas, sejam as mulheres do meio rural, particularmente </w:t>
      </w:r>
      <w:proofErr w:type="spellStart"/>
      <w:r>
        <w:rPr>
          <w:rFonts w:ascii="Garamond" w:hAnsi="Garamond" w:cs="Times New Roman"/>
          <w:lang w:val="pt-PT"/>
        </w:rPr>
        <w:t>afetadas</w:t>
      </w:r>
      <w:proofErr w:type="spellEnd"/>
      <w:r>
        <w:rPr>
          <w:rFonts w:ascii="Garamond" w:hAnsi="Garamond" w:cs="Times New Roman"/>
          <w:lang w:val="pt-PT"/>
        </w:rPr>
        <w:t xml:space="preserve"> </w:t>
      </w:r>
      <w:proofErr w:type="spellStart"/>
      <w:r>
        <w:rPr>
          <w:rFonts w:ascii="Garamond" w:hAnsi="Garamond" w:cs="Times New Roman"/>
          <w:lang w:val="pt-PT"/>
        </w:rPr>
        <w:t>pela</w:t>
      </w:r>
      <w:proofErr w:type="spellEnd"/>
      <w:r>
        <w:rPr>
          <w:rFonts w:ascii="Garamond" w:hAnsi="Garamond" w:cs="Times New Roman"/>
          <w:lang w:val="pt-PT"/>
        </w:rPr>
        <w:t xml:space="preserve"> pobreza, </w:t>
      </w:r>
      <w:proofErr w:type="spellStart"/>
      <w:r>
        <w:rPr>
          <w:rFonts w:ascii="Garamond" w:hAnsi="Garamond" w:cs="Times New Roman"/>
          <w:lang w:val="pt-PT"/>
        </w:rPr>
        <w:t>pelo</w:t>
      </w:r>
      <w:proofErr w:type="spellEnd"/>
      <w:r>
        <w:rPr>
          <w:rFonts w:ascii="Garamond" w:hAnsi="Garamond" w:cs="Times New Roman"/>
          <w:lang w:val="pt-PT"/>
        </w:rPr>
        <w:t xml:space="preserve"> impacto dos fenómenos migratórios ou ainda </w:t>
      </w:r>
      <w:proofErr w:type="spellStart"/>
      <w:r>
        <w:rPr>
          <w:rFonts w:ascii="Garamond" w:hAnsi="Garamond" w:cs="Times New Roman"/>
          <w:lang w:val="pt-PT"/>
        </w:rPr>
        <w:t>pelo</w:t>
      </w:r>
      <w:proofErr w:type="spellEnd"/>
      <w:r>
        <w:rPr>
          <w:rFonts w:ascii="Garamond" w:hAnsi="Garamond" w:cs="Times New Roman"/>
          <w:lang w:val="pt-PT"/>
        </w:rPr>
        <w:t xml:space="preserve"> impacto da seca e das alterações climáticas, sejam as  mulheres com deficiência, com relação ao acesso a educação, a saúde, ao trabalho e a participação politica, as mulheres portadoras de V</w:t>
      </w:r>
      <w:r w:rsidR="009E57E2">
        <w:rPr>
          <w:rFonts w:ascii="Garamond" w:hAnsi="Garamond" w:cs="Times New Roman"/>
          <w:lang w:val="pt-PT"/>
        </w:rPr>
        <w:t>IH</w:t>
      </w:r>
      <w:r>
        <w:rPr>
          <w:rFonts w:ascii="Garamond" w:hAnsi="Garamond" w:cs="Times New Roman"/>
          <w:lang w:val="pt-PT"/>
        </w:rPr>
        <w:t>-SIDA</w:t>
      </w:r>
      <w:r w:rsidR="00503661">
        <w:rPr>
          <w:rFonts w:ascii="Garamond" w:hAnsi="Garamond" w:cs="Times New Roman"/>
          <w:lang w:val="pt-PT"/>
        </w:rPr>
        <w:t xml:space="preserve">, </w:t>
      </w:r>
      <w:proofErr w:type="spellStart"/>
      <w:r>
        <w:rPr>
          <w:rFonts w:ascii="Garamond" w:hAnsi="Garamond" w:cs="Times New Roman"/>
          <w:lang w:val="pt-PT"/>
        </w:rPr>
        <w:t>pelas</w:t>
      </w:r>
      <w:proofErr w:type="spellEnd"/>
      <w:r>
        <w:rPr>
          <w:rFonts w:ascii="Garamond" w:hAnsi="Garamond" w:cs="Times New Roman"/>
          <w:lang w:val="pt-PT"/>
        </w:rPr>
        <w:t xml:space="preserve"> questões associadas a violência e discriminação em varias dimensões da vida social, económica e politica. </w:t>
      </w:r>
    </w:p>
    <w:p w14:paraId="250EFC96" w14:textId="4317E48F" w:rsidR="00F1265A" w:rsidRPr="00D87587" w:rsidRDefault="00F1265A" w:rsidP="00F97FF8">
      <w:pPr>
        <w:pStyle w:val="PargrafodaLista"/>
        <w:spacing w:after="240"/>
        <w:ind w:left="0"/>
        <w:contextualSpacing w:val="0"/>
        <w:jc w:val="both"/>
        <w:rPr>
          <w:rFonts w:ascii="Garamond" w:hAnsi="Garamond" w:cs="Times New Roman"/>
          <w:color w:val="000000" w:themeColor="text1"/>
          <w:lang w:val="pt-PT"/>
        </w:rPr>
      </w:pPr>
      <w:r w:rsidRPr="00D87587">
        <w:rPr>
          <w:rFonts w:ascii="Garamond" w:hAnsi="Garamond" w:cs="Times New Roman"/>
          <w:color w:val="000000" w:themeColor="text1"/>
          <w:lang w:val="pt-PT"/>
        </w:rPr>
        <w:t xml:space="preserve">O relatório de Cabo Verde </w:t>
      </w:r>
      <w:proofErr w:type="spellStart"/>
      <w:r w:rsidRPr="00D87587">
        <w:rPr>
          <w:rFonts w:ascii="Garamond" w:hAnsi="Garamond" w:cs="Times New Roman"/>
          <w:color w:val="000000" w:themeColor="text1"/>
          <w:lang w:val="pt-PT"/>
        </w:rPr>
        <w:t>Beijing</w:t>
      </w:r>
      <w:proofErr w:type="spellEnd"/>
      <w:r w:rsidRPr="00D87587">
        <w:rPr>
          <w:rFonts w:ascii="Garamond" w:hAnsi="Garamond" w:cs="Times New Roman"/>
          <w:color w:val="000000" w:themeColor="text1"/>
          <w:lang w:val="pt-PT"/>
        </w:rPr>
        <w:t xml:space="preserve"> +25 (2019) sobre os progressos na implementação das prioridades de </w:t>
      </w:r>
      <w:proofErr w:type="spellStart"/>
      <w:r w:rsidRPr="00D87587">
        <w:rPr>
          <w:rFonts w:ascii="Garamond" w:hAnsi="Garamond" w:cs="Times New Roman"/>
          <w:color w:val="000000" w:themeColor="text1"/>
          <w:lang w:val="pt-PT"/>
        </w:rPr>
        <w:t>ação</w:t>
      </w:r>
      <w:proofErr w:type="spellEnd"/>
      <w:r w:rsidRPr="00D87587">
        <w:rPr>
          <w:rFonts w:ascii="Garamond" w:hAnsi="Garamond" w:cs="Times New Roman"/>
          <w:color w:val="000000" w:themeColor="text1"/>
          <w:lang w:val="pt-PT"/>
        </w:rPr>
        <w:t xml:space="preserve"> definidas </w:t>
      </w:r>
      <w:proofErr w:type="spellStart"/>
      <w:r w:rsidRPr="00D87587">
        <w:rPr>
          <w:rFonts w:ascii="Garamond" w:hAnsi="Garamond" w:cs="Times New Roman"/>
          <w:color w:val="000000" w:themeColor="text1"/>
          <w:lang w:val="pt-PT"/>
        </w:rPr>
        <w:t>pela</w:t>
      </w:r>
      <w:proofErr w:type="spellEnd"/>
      <w:r w:rsidRPr="00D87587">
        <w:rPr>
          <w:rFonts w:ascii="Garamond" w:hAnsi="Garamond" w:cs="Times New Roman"/>
          <w:color w:val="000000" w:themeColor="text1"/>
          <w:lang w:val="pt-PT"/>
        </w:rPr>
        <w:t xml:space="preserve"> Plataforma e Plano de </w:t>
      </w:r>
      <w:proofErr w:type="spellStart"/>
      <w:r w:rsidRPr="00D87587">
        <w:rPr>
          <w:rFonts w:ascii="Garamond" w:hAnsi="Garamond" w:cs="Times New Roman"/>
          <w:color w:val="000000" w:themeColor="text1"/>
          <w:lang w:val="pt-PT"/>
        </w:rPr>
        <w:t>Ação</w:t>
      </w:r>
      <w:proofErr w:type="spellEnd"/>
      <w:r w:rsidRPr="00D87587">
        <w:rPr>
          <w:rFonts w:ascii="Garamond" w:hAnsi="Garamond" w:cs="Times New Roman"/>
          <w:color w:val="000000" w:themeColor="text1"/>
          <w:lang w:val="pt-PT"/>
        </w:rPr>
        <w:t xml:space="preserve"> de </w:t>
      </w:r>
      <w:proofErr w:type="spellStart"/>
      <w:r w:rsidRPr="00D87587">
        <w:rPr>
          <w:rFonts w:ascii="Garamond" w:hAnsi="Garamond" w:cs="Times New Roman"/>
          <w:color w:val="000000" w:themeColor="text1"/>
          <w:lang w:val="pt-PT"/>
        </w:rPr>
        <w:t>Beijing</w:t>
      </w:r>
      <w:proofErr w:type="spellEnd"/>
      <w:r w:rsidRPr="00D87587">
        <w:rPr>
          <w:rFonts w:ascii="Garamond" w:hAnsi="Garamond" w:cs="Times New Roman"/>
          <w:color w:val="000000" w:themeColor="text1"/>
          <w:lang w:val="pt-PT"/>
        </w:rPr>
        <w:t>, indica que os progressos de mulheres e meninas através de legislação, pol</w:t>
      </w:r>
      <w:r w:rsidR="009E57E2">
        <w:rPr>
          <w:rFonts w:ascii="Garamond" w:hAnsi="Garamond" w:cs="Times New Roman"/>
          <w:color w:val="000000" w:themeColor="text1"/>
          <w:lang w:val="pt-PT"/>
        </w:rPr>
        <w:t>í</w:t>
      </w:r>
      <w:r w:rsidRPr="00D87587">
        <w:rPr>
          <w:rFonts w:ascii="Garamond" w:hAnsi="Garamond" w:cs="Times New Roman"/>
          <w:color w:val="000000" w:themeColor="text1"/>
          <w:lang w:val="pt-PT"/>
        </w:rPr>
        <w:t>ticas e programas foram consideráveis durante os últimos 5 anos, mas que precisam ser reforçados e sobretudo, investidos mais recursos para acelerar os progressos em 5 principais áreas: educação de qualidade e formação de mulheres e meninas, eliminação da violência contra as mulheres e meninas, participação politica e representação de mulheres, direito ao trabalho e direitos no trabalho e ainda uma atenção continuada a questão da economia de cuidados e trabalho dom</w:t>
      </w:r>
      <w:r w:rsidR="009E57E2">
        <w:rPr>
          <w:rFonts w:ascii="Garamond" w:hAnsi="Garamond" w:cs="Times New Roman"/>
          <w:color w:val="000000" w:themeColor="text1"/>
          <w:lang w:val="pt-PT"/>
        </w:rPr>
        <w:t>é</w:t>
      </w:r>
      <w:r w:rsidRPr="00D87587">
        <w:rPr>
          <w:rFonts w:ascii="Garamond" w:hAnsi="Garamond" w:cs="Times New Roman"/>
          <w:color w:val="000000" w:themeColor="text1"/>
          <w:lang w:val="pt-PT"/>
        </w:rPr>
        <w:t xml:space="preserve">stico. </w:t>
      </w:r>
    </w:p>
    <w:p w14:paraId="5DA22350" w14:textId="046C0F99" w:rsidR="00F1265A" w:rsidRPr="00D87587" w:rsidRDefault="00F1265A" w:rsidP="00F1265A">
      <w:pPr>
        <w:jc w:val="both"/>
        <w:rPr>
          <w:rFonts w:ascii="Garamond" w:hAnsi="Garamond" w:cs="Times New Roman"/>
          <w:color w:val="000000" w:themeColor="text1"/>
          <w:lang w:val="pt-PT"/>
        </w:rPr>
      </w:pPr>
      <w:r w:rsidRPr="00D87587">
        <w:rPr>
          <w:rFonts w:ascii="Garamond" w:hAnsi="Garamond" w:cs="Times New Roman"/>
          <w:color w:val="000000" w:themeColor="text1"/>
          <w:lang w:val="pt-PT"/>
        </w:rPr>
        <w:t xml:space="preserve">Mais recentemente, o Comité da </w:t>
      </w:r>
      <w:proofErr w:type="spellStart"/>
      <w:r w:rsidRPr="00D87587">
        <w:rPr>
          <w:rFonts w:ascii="Garamond" w:hAnsi="Garamond" w:cs="Times New Roman"/>
          <w:color w:val="000000" w:themeColor="text1"/>
          <w:lang w:val="pt-PT"/>
        </w:rPr>
        <w:t>CEDAW</w:t>
      </w:r>
      <w:proofErr w:type="spellEnd"/>
      <w:r w:rsidRPr="00D87587">
        <w:rPr>
          <w:rFonts w:ascii="Garamond" w:hAnsi="Garamond" w:cs="Times New Roman"/>
          <w:color w:val="000000" w:themeColor="text1"/>
          <w:lang w:val="pt-PT"/>
        </w:rPr>
        <w:t xml:space="preserve"> elogiou o Estado de Cabo Verde </w:t>
      </w:r>
      <w:proofErr w:type="spellStart"/>
      <w:r w:rsidRPr="00D87587">
        <w:rPr>
          <w:rFonts w:ascii="Garamond" w:hAnsi="Garamond" w:cs="Times New Roman"/>
          <w:color w:val="000000" w:themeColor="text1"/>
          <w:lang w:val="pt-PT"/>
        </w:rPr>
        <w:t>pelos</w:t>
      </w:r>
      <w:proofErr w:type="spellEnd"/>
      <w:r w:rsidRPr="00D87587">
        <w:rPr>
          <w:rFonts w:ascii="Garamond" w:hAnsi="Garamond" w:cs="Times New Roman"/>
          <w:color w:val="000000" w:themeColor="text1"/>
          <w:lang w:val="pt-PT"/>
        </w:rPr>
        <w:t xml:space="preserve"> progressos recentes a vários níveis, legal, institucional e </w:t>
      </w:r>
      <w:r w:rsidR="009E57E2" w:rsidRPr="00D87587">
        <w:rPr>
          <w:rFonts w:ascii="Garamond" w:hAnsi="Garamond" w:cs="Times New Roman"/>
          <w:color w:val="000000" w:themeColor="text1"/>
          <w:lang w:val="pt-PT"/>
        </w:rPr>
        <w:t>político</w:t>
      </w:r>
      <w:r w:rsidRPr="00D87587">
        <w:rPr>
          <w:rFonts w:ascii="Garamond" w:hAnsi="Garamond" w:cs="Times New Roman"/>
          <w:color w:val="000000" w:themeColor="text1"/>
          <w:lang w:val="pt-PT"/>
        </w:rPr>
        <w:t xml:space="preserve">, e tece um conjunto de considerações e recomendações </w:t>
      </w:r>
      <w:r w:rsidR="009E57E2">
        <w:rPr>
          <w:rFonts w:ascii="Garamond" w:hAnsi="Garamond" w:cs="Times New Roman"/>
          <w:color w:val="000000" w:themeColor="text1"/>
          <w:lang w:val="pt-PT"/>
        </w:rPr>
        <w:t>ao</w:t>
      </w:r>
      <w:r w:rsidRPr="00D87587">
        <w:rPr>
          <w:rFonts w:ascii="Garamond" w:hAnsi="Garamond" w:cs="Times New Roman"/>
          <w:color w:val="000000" w:themeColor="text1"/>
          <w:lang w:val="pt-PT"/>
        </w:rPr>
        <w:t xml:space="preserve"> pa</w:t>
      </w:r>
      <w:r w:rsidR="009E57E2">
        <w:rPr>
          <w:rFonts w:ascii="Garamond" w:hAnsi="Garamond" w:cs="Times New Roman"/>
          <w:color w:val="000000" w:themeColor="text1"/>
          <w:lang w:val="pt-PT"/>
        </w:rPr>
        <w:t>í</w:t>
      </w:r>
      <w:r w:rsidRPr="00D87587">
        <w:rPr>
          <w:rFonts w:ascii="Garamond" w:hAnsi="Garamond" w:cs="Times New Roman"/>
          <w:color w:val="000000" w:themeColor="text1"/>
          <w:lang w:val="pt-PT"/>
        </w:rPr>
        <w:t xml:space="preserve">s, no sentido de acelerar os progressos na </w:t>
      </w:r>
      <w:proofErr w:type="spellStart"/>
      <w:r w:rsidRPr="00D87587">
        <w:rPr>
          <w:rFonts w:ascii="Garamond" w:hAnsi="Garamond" w:cs="Times New Roman"/>
          <w:color w:val="000000" w:themeColor="text1"/>
          <w:lang w:val="pt-PT"/>
        </w:rPr>
        <w:t>efetivação</w:t>
      </w:r>
      <w:proofErr w:type="spellEnd"/>
      <w:r w:rsidRPr="00D87587">
        <w:rPr>
          <w:rFonts w:ascii="Garamond" w:hAnsi="Garamond" w:cs="Times New Roman"/>
          <w:color w:val="000000" w:themeColor="text1"/>
          <w:lang w:val="pt-PT"/>
        </w:rPr>
        <w:t xml:space="preserve"> dos direitos humanos das mulheres e das meninas, nas v</w:t>
      </w:r>
      <w:r w:rsidR="00076E06">
        <w:rPr>
          <w:rFonts w:ascii="Garamond" w:hAnsi="Garamond" w:cs="Times New Roman"/>
          <w:color w:val="000000" w:themeColor="text1"/>
          <w:lang w:val="pt-PT"/>
        </w:rPr>
        <w:t>á</w:t>
      </w:r>
      <w:r w:rsidRPr="00D87587">
        <w:rPr>
          <w:rFonts w:ascii="Garamond" w:hAnsi="Garamond" w:cs="Times New Roman"/>
          <w:color w:val="000000" w:themeColor="text1"/>
          <w:lang w:val="pt-PT"/>
        </w:rPr>
        <w:t xml:space="preserve">rias áreas cobertas </w:t>
      </w:r>
      <w:proofErr w:type="spellStart"/>
      <w:r w:rsidRPr="00D87587">
        <w:rPr>
          <w:rFonts w:ascii="Garamond" w:hAnsi="Garamond" w:cs="Times New Roman"/>
          <w:color w:val="000000" w:themeColor="text1"/>
          <w:lang w:val="pt-PT"/>
        </w:rPr>
        <w:t>pela</w:t>
      </w:r>
      <w:proofErr w:type="spellEnd"/>
      <w:r w:rsidRPr="00D87587">
        <w:rPr>
          <w:rFonts w:ascii="Garamond" w:hAnsi="Garamond" w:cs="Times New Roman"/>
          <w:color w:val="000000" w:themeColor="text1"/>
          <w:lang w:val="pt-PT"/>
        </w:rPr>
        <w:t xml:space="preserve"> Convenção. O comité vem reconfirmar as áreas de preocupação e </w:t>
      </w:r>
      <w:proofErr w:type="spellStart"/>
      <w:r w:rsidRPr="00D87587">
        <w:rPr>
          <w:rFonts w:ascii="Garamond" w:hAnsi="Garamond" w:cs="Times New Roman"/>
          <w:color w:val="000000" w:themeColor="text1"/>
          <w:lang w:val="pt-PT"/>
        </w:rPr>
        <w:t>objeto</w:t>
      </w:r>
      <w:proofErr w:type="spellEnd"/>
      <w:r w:rsidRPr="00D87587">
        <w:rPr>
          <w:rFonts w:ascii="Garamond" w:hAnsi="Garamond" w:cs="Times New Roman"/>
          <w:color w:val="000000" w:themeColor="text1"/>
          <w:lang w:val="pt-PT"/>
        </w:rPr>
        <w:t xml:space="preserve"> de atenção especial e prioritária: aceleração dos progressos ligados a matérias como emprego dom</w:t>
      </w:r>
      <w:r w:rsidR="009E57E2">
        <w:rPr>
          <w:rFonts w:ascii="Garamond" w:hAnsi="Garamond" w:cs="Times New Roman"/>
          <w:color w:val="000000" w:themeColor="text1"/>
          <w:lang w:val="pt-PT"/>
        </w:rPr>
        <w:t>é</w:t>
      </w:r>
      <w:r w:rsidRPr="00D87587">
        <w:rPr>
          <w:rFonts w:ascii="Garamond" w:hAnsi="Garamond" w:cs="Times New Roman"/>
          <w:color w:val="000000" w:themeColor="text1"/>
          <w:lang w:val="pt-PT"/>
        </w:rPr>
        <w:t xml:space="preserve">stico das mulheres, o financiamento para a implementação cabal da Lei da </w:t>
      </w:r>
      <w:proofErr w:type="spellStart"/>
      <w:r w:rsidRPr="00D87587">
        <w:rPr>
          <w:rFonts w:ascii="Garamond" w:hAnsi="Garamond" w:cs="Times New Roman"/>
          <w:color w:val="000000" w:themeColor="text1"/>
          <w:lang w:val="pt-PT"/>
        </w:rPr>
        <w:t>VBG</w:t>
      </w:r>
      <w:proofErr w:type="spellEnd"/>
      <w:r w:rsidRPr="00D87587">
        <w:rPr>
          <w:rFonts w:ascii="Garamond" w:hAnsi="Garamond" w:cs="Times New Roman"/>
          <w:color w:val="000000" w:themeColor="text1"/>
          <w:lang w:val="pt-PT"/>
        </w:rPr>
        <w:t xml:space="preserve"> e sua Regulamentação, a sensibilização de </w:t>
      </w:r>
      <w:proofErr w:type="spellStart"/>
      <w:r w:rsidRPr="00D87587">
        <w:rPr>
          <w:rFonts w:ascii="Garamond" w:hAnsi="Garamond" w:cs="Times New Roman"/>
          <w:color w:val="000000" w:themeColor="text1"/>
          <w:lang w:val="pt-PT"/>
        </w:rPr>
        <w:t>atores</w:t>
      </w:r>
      <w:proofErr w:type="spellEnd"/>
      <w:r w:rsidRPr="00D87587">
        <w:rPr>
          <w:rFonts w:ascii="Garamond" w:hAnsi="Garamond" w:cs="Times New Roman"/>
          <w:color w:val="000000" w:themeColor="text1"/>
          <w:lang w:val="pt-PT"/>
        </w:rPr>
        <w:t xml:space="preserve"> políticos</w:t>
      </w:r>
      <w:r w:rsidR="0082722B">
        <w:rPr>
          <w:rFonts w:ascii="Garamond" w:hAnsi="Garamond" w:cs="Times New Roman"/>
          <w:color w:val="000000" w:themeColor="text1"/>
          <w:lang w:val="pt-PT"/>
        </w:rPr>
        <w:t>-</w:t>
      </w:r>
      <w:r w:rsidRPr="00D87587">
        <w:rPr>
          <w:rFonts w:ascii="Garamond" w:hAnsi="Garamond" w:cs="Times New Roman"/>
          <w:color w:val="000000" w:themeColor="text1"/>
          <w:lang w:val="pt-PT"/>
        </w:rPr>
        <w:t xml:space="preserve">chaves para a </w:t>
      </w:r>
      <w:proofErr w:type="spellStart"/>
      <w:r w:rsidRPr="00D87587">
        <w:rPr>
          <w:rFonts w:ascii="Garamond" w:hAnsi="Garamond" w:cs="Times New Roman"/>
          <w:color w:val="000000" w:themeColor="text1"/>
          <w:lang w:val="pt-PT"/>
        </w:rPr>
        <w:t>adoção</w:t>
      </w:r>
      <w:proofErr w:type="spellEnd"/>
      <w:r w:rsidRPr="00D87587">
        <w:rPr>
          <w:rFonts w:ascii="Garamond" w:hAnsi="Garamond" w:cs="Times New Roman"/>
          <w:color w:val="000000" w:themeColor="text1"/>
          <w:lang w:val="pt-PT"/>
        </w:rPr>
        <w:t xml:space="preserve"> de medidas de promoção da participação politica de mulheres e ainda o seguimento da implementação do decreto/lei de </w:t>
      </w:r>
      <w:proofErr w:type="spellStart"/>
      <w:r w:rsidRPr="00D87587">
        <w:rPr>
          <w:rFonts w:ascii="Garamond" w:hAnsi="Garamond" w:cs="Times New Roman"/>
          <w:color w:val="000000" w:themeColor="text1"/>
          <w:lang w:val="pt-PT"/>
        </w:rPr>
        <w:t>proteção</w:t>
      </w:r>
      <w:proofErr w:type="spellEnd"/>
      <w:r w:rsidRPr="00D87587">
        <w:rPr>
          <w:rFonts w:ascii="Garamond" w:hAnsi="Garamond" w:cs="Times New Roman"/>
          <w:color w:val="000000" w:themeColor="text1"/>
          <w:lang w:val="pt-PT"/>
        </w:rPr>
        <w:t xml:space="preserve"> de meninas alunas gravidas. Sobre estas matérias, o Estado de Cabo Verde deve poder reportar os avanços </w:t>
      </w:r>
      <w:r w:rsidR="0082722B">
        <w:rPr>
          <w:rFonts w:ascii="Garamond" w:hAnsi="Garamond" w:cs="Times New Roman"/>
          <w:color w:val="000000" w:themeColor="text1"/>
          <w:lang w:val="pt-PT"/>
        </w:rPr>
        <w:t xml:space="preserve">ao Comité </w:t>
      </w:r>
      <w:proofErr w:type="spellStart"/>
      <w:r w:rsidR="0082722B">
        <w:rPr>
          <w:rFonts w:ascii="Garamond" w:hAnsi="Garamond" w:cs="Times New Roman"/>
          <w:color w:val="000000" w:themeColor="text1"/>
          <w:lang w:val="pt-PT"/>
        </w:rPr>
        <w:t>CEDAW</w:t>
      </w:r>
      <w:proofErr w:type="spellEnd"/>
      <w:r w:rsidR="0082722B">
        <w:rPr>
          <w:rFonts w:ascii="Garamond" w:hAnsi="Garamond" w:cs="Times New Roman"/>
          <w:color w:val="000000" w:themeColor="text1"/>
          <w:lang w:val="pt-PT"/>
        </w:rPr>
        <w:t xml:space="preserve"> </w:t>
      </w:r>
      <w:r w:rsidR="00DE52BB">
        <w:rPr>
          <w:rFonts w:ascii="Garamond" w:hAnsi="Garamond" w:cs="Times New Roman"/>
          <w:color w:val="000000" w:themeColor="text1"/>
          <w:lang w:val="pt-PT"/>
        </w:rPr>
        <w:t xml:space="preserve">em </w:t>
      </w:r>
      <w:proofErr w:type="spellStart"/>
      <w:r w:rsidR="0082722B">
        <w:rPr>
          <w:rFonts w:ascii="Garamond" w:hAnsi="Garamond" w:cs="Times New Roman"/>
          <w:color w:val="000000" w:themeColor="text1"/>
          <w:lang w:val="pt-PT"/>
        </w:rPr>
        <w:t>junho</w:t>
      </w:r>
      <w:proofErr w:type="spellEnd"/>
      <w:r w:rsidR="0082722B">
        <w:rPr>
          <w:rFonts w:ascii="Garamond" w:hAnsi="Garamond" w:cs="Times New Roman"/>
          <w:color w:val="000000" w:themeColor="text1"/>
          <w:lang w:val="pt-PT"/>
        </w:rPr>
        <w:t xml:space="preserve"> de 2021</w:t>
      </w:r>
      <w:r w:rsidRPr="00D87587">
        <w:rPr>
          <w:rFonts w:ascii="Garamond" w:hAnsi="Garamond" w:cs="Times New Roman"/>
          <w:color w:val="000000" w:themeColor="text1"/>
          <w:lang w:val="pt-PT"/>
        </w:rPr>
        <w:t xml:space="preserve">. </w:t>
      </w:r>
    </w:p>
    <w:p w14:paraId="3031AD39" w14:textId="77777777" w:rsidR="00F1265A" w:rsidRPr="00D87587" w:rsidRDefault="00F1265A" w:rsidP="00F1265A">
      <w:pPr>
        <w:jc w:val="both"/>
        <w:rPr>
          <w:rFonts w:ascii="Garamond" w:hAnsi="Garamond" w:cs="Times New Roman"/>
          <w:color w:val="000000" w:themeColor="text1"/>
          <w:lang w:val="pt-PT"/>
        </w:rPr>
      </w:pPr>
    </w:p>
    <w:p w14:paraId="7CCF3287" w14:textId="4218CE3B" w:rsidR="00F1265A" w:rsidRPr="008F7360" w:rsidRDefault="00F1265A" w:rsidP="00F1265A">
      <w:pPr>
        <w:pStyle w:val="PargrafodaLista"/>
        <w:ind w:left="0"/>
        <w:jc w:val="both"/>
        <w:rPr>
          <w:rFonts w:ascii="Garamond" w:hAnsi="Garamond" w:cs="Times New Roman"/>
          <w:lang w:val="pt-PT"/>
        </w:rPr>
      </w:pPr>
      <w:r>
        <w:rPr>
          <w:rFonts w:ascii="Garamond" w:hAnsi="Garamond" w:cs="Times New Roman"/>
          <w:lang w:val="pt-PT"/>
        </w:rPr>
        <w:t xml:space="preserve">Assim, podemos </w:t>
      </w:r>
      <w:r w:rsidR="00761DBD">
        <w:rPr>
          <w:rFonts w:ascii="Garamond" w:hAnsi="Garamond" w:cs="Times New Roman"/>
          <w:lang w:val="pt-PT"/>
        </w:rPr>
        <w:t xml:space="preserve">elencar </w:t>
      </w:r>
      <w:r w:rsidRPr="00C27338">
        <w:rPr>
          <w:rFonts w:ascii="Garamond" w:hAnsi="Garamond" w:cs="Times New Roman"/>
          <w:b/>
          <w:lang w:val="pt-PT"/>
        </w:rPr>
        <w:t xml:space="preserve">os </w:t>
      </w:r>
      <w:r w:rsidR="00761DBD">
        <w:rPr>
          <w:rFonts w:ascii="Garamond" w:hAnsi="Garamond" w:cs="Times New Roman"/>
          <w:b/>
          <w:lang w:val="pt-PT"/>
        </w:rPr>
        <w:t xml:space="preserve">principais </w:t>
      </w:r>
      <w:r w:rsidRPr="00C27338">
        <w:rPr>
          <w:rFonts w:ascii="Garamond" w:hAnsi="Garamond" w:cs="Times New Roman"/>
          <w:b/>
          <w:lang w:val="pt-PT"/>
        </w:rPr>
        <w:t>desafios de género encontrados da revisão e an</w:t>
      </w:r>
      <w:r w:rsidR="00761DBD">
        <w:rPr>
          <w:rFonts w:ascii="Garamond" w:hAnsi="Garamond" w:cs="Times New Roman"/>
          <w:b/>
          <w:lang w:val="pt-PT"/>
        </w:rPr>
        <w:t>á</w:t>
      </w:r>
      <w:r w:rsidRPr="00C27338">
        <w:rPr>
          <w:rFonts w:ascii="Garamond" w:hAnsi="Garamond" w:cs="Times New Roman"/>
          <w:b/>
          <w:lang w:val="pt-PT"/>
        </w:rPr>
        <w:t>lise da literatura disponível, mas também do diálogo com o</w:t>
      </w:r>
      <w:r>
        <w:rPr>
          <w:rFonts w:ascii="Garamond" w:hAnsi="Garamond" w:cs="Times New Roman"/>
          <w:b/>
          <w:lang w:val="pt-PT"/>
        </w:rPr>
        <w:t xml:space="preserve">s sectores governamentais </w:t>
      </w:r>
      <w:r w:rsidRPr="00C27338">
        <w:rPr>
          <w:rFonts w:ascii="Garamond" w:hAnsi="Garamond" w:cs="Times New Roman"/>
          <w:b/>
          <w:lang w:val="pt-PT"/>
        </w:rPr>
        <w:t>e parceiros, incluindo organizações da sociedade civil</w:t>
      </w:r>
      <w:r w:rsidR="00761DBD">
        <w:rPr>
          <w:rFonts w:ascii="Garamond" w:hAnsi="Garamond" w:cs="Times New Roman"/>
          <w:b/>
          <w:lang w:val="pt-PT"/>
        </w:rPr>
        <w:t xml:space="preserve">. Encontram-se </w:t>
      </w:r>
      <w:r w:rsidRPr="00C27338">
        <w:rPr>
          <w:rFonts w:ascii="Garamond" w:hAnsi="Garamond" w:cs="Times New Roman"/>
          <w:b/>
          <w:lang w:val="pt-PT"/>
        </w:rPr>
        <w:t>principalmente a quatro domínios</w:t>
      </w:r>
      <w:r w:rsidRPr="008F7360">
        <w:rPr>
          <w:rFonts w:ascii="Garamond" w:hAnsi="Garamond" w:cs="Times New Roman"/>
          <w:lang w:val="pt-PT"/>
        </w:rPr>
        <w:t>: i) oportunidades econ</w:t>
      </w:r>
      <w:r>
        <w:rPr>
          <w:rFonts w:ascii="Garamond" w:hAnsi="Garamond" w:cs="Times New Roman"/>
          <w:lang w:val="pt-PT"/>
        </w:rPr>
        <w:t>ó</w:t>
      </w:r>
      <w:r w:rsidRPr="008F7360">
        <w:rPr>
          <w:rFonts w:ascii="Garamond" w:hAnsi="Garamond" w:cs="Times New Roman"/>
          <w:lang w:val="pt-PT"/>
        </w:rPr>
        <w:t xml:space="preserve">micas, ii) </w:t>
      </w:r>
      <w:r>
        <w:rPr>
          <w:rFonts w:ascii="Garamond" w:hAnsi="Garamond" w:cs="Times New Roman"/>
          <w:lang w:val="pt-PT"/>
        </w:rPr>
        <w:t xml:space="preserve">liderança e </w:t>
      </w:r>
      <w:r w:rsidRPr="008F7360">
        <w:rPr>
          <w:rFonts w:ascii="Garamond" w:hAnsi="Garamond" w:cs="Times New Roman"/>
          <w:lang w:val="pt-PT"/>
        </w:rPr>
        <w:t xml:space="preserve">participação política, iii) violência baseada </w:t>
      </w:r>
      <w:r>
        <w:rPr>
          <w:rFonts w:ascii="Garamond" w:hAnsi="Garamond" w:cs="Times New Roman"/>
          <w:lang w:val="pt-PT"/>
        </w:rPr>
        <w:t>no gé</w:t>
      </w:r>
      <w:r w:rsidRPr="008F7360">
        <w:rPr>
          <w:rFonts w:ascii="Garamond" w:hAnsi="Garamond" w:cs="Times New Roman"/>
          <w:lang w:val="pt-PT"/>
        </w:rPr>
        <w:t>nero</w:t>
      </w:r>
      <w:r>
        <w:rPr>
          <w:rFonts w:ascii="Garamond" w:hAnsi="Garamond" w:cs="Times New Roman"/>
          <w:lang w:val="pt-PT"/>
        </w:rPr>
        <w:t xml:space="preserve"> </w:t>
      </w:r>
      <w:r w:rsidRPr="008F7360">
        <w:rPr>
          <w:rFonts w:ascii="Garamond" w:hAnsi="Garamond" w:cs="Times New Roman"/>
          <w:lang w:val="pt-PT"/>
        </w:rPr>
        <w:t>e iv) estereótipos de g</w:t>
      </w:r>
      <w:r>
        <w:rPr>
          <w:rFonts w:ascii="Garamond" w:hAnsi="Garamond" w:cs="Times New Roman"/>
          <w:lang w:val="pt-PT"/>
        </w:rPr>
        <w:t>é</w:t>
      </w:r>
      <w:r w:rsidRPr="008F7360">
        <w:rPr>
          <w:rFonts w:ascii="Garamond" w:hAnsi="Garamond" w:cs="Times New Roman"/>
          <w:lang w:val="pt-PT"/>
        </w:rPr>
        <w:t>nero e estigmatização social</w:t>
      </w:r>
    </w:p>
    <w:p w14:paraId="33D2688B" w14:textId="77777777" w:rsidR="00F1265A" w:rsidRDefault="00F1265A" w:rsidP="00F1265A">
      <w:pPr>
        <w:pStyle w:val="PargrafodaLista"/>
        <w:ind w:left="0"/>
        <w:jc w:val="both"/>
        <w:rPr>
          <w:rFonts w:ascii="Garamond" w:hAnsi="Garamond" w:cs="Times New Roman"/>
          <w:lang w:val="pt-PT"/>
        </w:rPr>
      </w:pPr>
    </w:p>
    <w:p w14:paraId="393C8C80" w14:textId="77777777" w:rsidR="00E7591C" w:rsidRPr="001C50C8" w:rsidRDefault="00F1265A" w:rsidP="00E7591C">
      <w:pPr>
        <w:pStyle w:val="PargrafodaLista"/>
        <w:numPr>
          <w:ilvl w:val="0"/>
          <w:numId w:val="3"/>
        </w:numPr>
        <w:jc w:val="both"/>
        <w:rPr>
          <w:rFonts w:ascii="Garamond" w:hAnsi="Garamond" w:cs="Times New Roman"/>
          <w:b/>
          <w:sz w:val="28"/>
          <w:szCs w:val="28"/>
          <w:lang w:val="pt-PT"/>
        </w:rPr>
      </w:pPr>
      <w:r>
        <w:rPr>
          <w:rFonts w:ascii="Garamond" w:hAnsi="Garamond" w:cs="Times New Roman"/>
          <w:b/>
          <w:lang w:val="pt-PT"/>
        </w:rPr>
        <w:t>AUTONOMIA ECON</w:t>
      </w:r>
      <w:r w:rsidR="00761DBD">
        <w:rPr>
          <w:rFonts w:ascii="Garamond" w:hAnsi="Garamond" w:cs="Times New Roman"/>
          <w:b/>
          <w:lang w:val="pt-PT"/>
        </w:rPr>
        <w:t>Ó</w:t>
      </w:r>
      <w:r>
        <w:rPr>
          <w:rFonts w:ascii="Garamond" w:hAnsi="Garamond" w:cs="Times New Roman"/>
          <w:b/>
          <w:lang w:val="pt-PT"/>
        </w:rPr>
        <w:t>MICA E IGUALDADE NO MERCADO DE TRABALHO:</w:t>
      </w:r>
      <w:r w:rsidRPr="00A6403F">
        <w:rPr>
          <w:rFonts w:ascii="Garamond" w:hAnsi="Garamond" w:cs="Times New Roman"/>
          <w:lang w:val="pt-PT"/>
        </w:rPr>
        <w:t xml:space="preserve"> </w:t>
      </w:r>
      <w:r w:rsidRPr="00264484">
        <w:rPr>
          <w:rFonts w:ascii="Garamond" w:hAnsi="Garamond" w:cs="Times New Roman"/>
          <w:lang w:val="pt-PT"/>
        </w:rPr>
        <w:t xml:space="preserve">A participação das mulheres no </w:t>
      </w:r>
      <w:proofErr w:type="spellStart"/>
      <w:r w:rsidRPr="00264484">
        <w:rPr>
          <w:rFonts w:ascii="Garamond" w:hAnsi="Garamond" w:cs="Times New Roman"/>
          <w:lang w:val="pt-PT"/>
        </w:rPr>
        <w:t>setor</w:t>
      </w:r>
      <w:proofErr w:type="spellEnd"/>
      <w:r w:rsidRPr="00264484">
        <w:rPr>
          <w:rFonts w:ascii="Garamond" w:hAnsi="Garamond" w:cs="Times New Roman"/>
          <w:lang w:val="pt-PT"/>
        </w:rPr>
        <w:t xml:space="preserve"> econ</w:t>
      </w:r>
      <w:r w:rsidR="00761DBD">
        <w:rPr>
          <w:rFonts w:ascii="Garamond" w:hAnsi="Garamond" w:cs="Times New Roman"/>
          <w:lang w:val="pt-PT"/>
        </w:rPr>
        <w:t>ó</w:t>
      </w:r>
      <w:r w:rsidRPr="00264484">
        <w:rPr>
          <w:rFonts w:ascii="Garamond" w:hAnsi="Garamond" w:cs="Times New Roman"/>
          <w:lang w:val="pt-PT"/>
        </w:rPr>
        <w:t>mico e seu acesso ao trabalho d</w:t>
      </w:r>
      <w:r>
        <w:rPr>
          <w:rFonts w:ascii="Garamond" w:hAnsi="Garamond" w:cs="Times New Roman"/>
          <w:lang w:val="pt-PT"/>
        </w:rPr>
        <w:t xml:space="preserve">igno </w:t>
      </w:r>
      <w:r w:rsidRPr="00264484">
        <w:rPr>
          <w:rFonts w:ascii="Garamond" w:hAnsi="Garamond" w:cs="Times New Roman"/>
          <w:lang w:val="pt-PT"/>
        </w:rPr>
        <w:t>ainda é vulnerável e cheio de desvantagens</w:t>
      </w:r>
      <w:r>
        <w:rPr>
          <w:rFonts w:ascii="Garamond" w:hAnsi="Garamond" w:cs="Times New Roman"/>
          <w:b/>
          <w:lang w:val="pt-PT"/>
        </w:rPr>
        <w:t xml:space="preserve">. </w:t>
      </w:r>
      <w:r w:rsidRPr="009B6460">
        <w:rPr>
          <w:rFonts w:ascii="Garamond" w:hAnsi="Garamond" w:cs="Times New Roman"/>
          <w:lang w:val="pt-PT"/>
        </w:rPr>
        <w:t>As desigualdades estão espelhadas em praticamente todos os indicadores sociais e económicos:</w:t>
      </w:r>
      <w:r>
        <w:rPr>
          <w:rFonts w:ascii="Garamond" w:hAnsi="Garamond" w:cs="Times New Roman"/>
          <w:b/>
          <w:lang w:val="pt-PT"/>
        </w:rPr>
        <w:t xml:space="preserve">  </w:t>
      </w:r>
      <w:r w:rsidRPr="004D704D">
        <w:rPr>
          <w:rFonts w:ascii="Garamond" w:hAnsi="Garamond" w:cs="Times New Roman"/>
          <w:lang w:val="pt-PT"/>
        </w:rPr>
        <w:t>a pobreza</w:t>
      </w:r>
      <w:r>
        <w:rPr>
          <w:rFonts w:ascii="Garamond" w:hAnsi="Garamond" w:cs="Times New Roman"/>
          <w:lang w:val="pt-PT"/>
        </w:rPr>
        <w:t xml:space="preserve"> </w:t>
      </w:r>
      <w:proofErr w:type="spellStart"/>
      <w:r>
        <w:rPr>
          <w:rFonts w:ascii="Garamond" w:hAnsi="Garamond" w:cs="Times New Roman"/>
          <w:lang w:val="pt-PT"/>
        </w:rPr>
        <w:t>afeta</w:t>
      </w:r>
      <w:proofErr w:type="spellEnd"/>
      <w:r>
        <w:rPr>
          <w:rFonts w:ascii="Garamond" w:hAnsi="Garamond" w:cs="Times New Roman"/>
          <w:lang w:val="pt-PT"/>
        </w:rPr>
        <w:t xml:space="preserve"> de forma particular as mulheres e famílias monoparentais representadas por mulheres; as mulheres t</w:t>
      </w:r>
      <w:r w:rsidR="00761DBD">
        <w:rPr>
          <w:rFonts w:ascii="Garamond" w:hAnsi="Garamond" w:cs="Times New Roman"/>
          <w:lang w:val="pt-PT"/>
        </w:rPr>
        <w:t>ê</w:t>
      </w:r>
      <w:r>
        <w:rPr>
          <w:rFonts w:ascii="Garamond" w:hAnsi="Garamond" w:cs="Times New Roman"/>
          <w:lang w:val="pt-PT"/>
        </w:rPr>
        <w:t xml:space="preserve">m mais dificuldades de aceder a financiamentos, mercado e serviços de assistência ligados ao empreendedorismo, empresariado e outros; o </w:t>
      </w:r>
      <w:r w:rsidRPr="002F18DC">
        <w:rPr>
          <w:rFonts w:ascii="Garamond" w:hAnsi="Garamond" w:cs="Times New Roman"/>
          <w:lang w:val="pt-PT"/>
        </w:rPr>
        <w:t>desemprego e especialmente elevado entre as mulheres jovens</w:t>
      </w:r>
      <w:r w:rsidR="00FA5D3F" w:rsidRPr="002F18DC">
        <w:rPr>
          <w:rFonts w:ascii="Garamond" w:hAnsi="Garamond" w:cs="Times New Roman"/>
          <w:lang w:val="pt-PT"/>
        </w:rPr>
        <w:t xml:space="preserve"> e com estudos superiores</w:t>
      </w:r>
      <w:r w:rsidRPr="002F18DC">
        <w:rPr>
          <w:rFonts w:ascii="Garamond" w:hAnsi="Garamond" w:cs="Times New Roman"/>
          <w:lang w:val="pt-PT"/>
        </w:rPr>
        <w:t>; os trabalhos ocupados por mulheres tendem a ser mais precários; as mulheres são a larga maioria no sector informal do mercado e no emprego dom</w:t>
      </w:r>
      <w:r w:rsidR="00761DBD" w:rsidRPr="002F18DC">
        <w:rPr>
          <w:rFonts w:ascii="Garamond" w:hAnsi="Garamond" w:cs="Times New Roman"/>
          <w:lang w:val="pt-PT"/>
        </w:rPr>
        <w:t>é</w:t>
      </w:r>
      <w:r w:rsidRPr="002F18DC">
        <w:rPr>
          <w:rFonts w:ascii="Garamond" w:hAnsi="Garamond" w:cs="Times New Roman"/>
          <w:lang w:val="pt-PT"/>
        </w:rPr>
        <w:t>stico; a divisão sexual do trabalho, sobrecarrega o tempo das mulheres com o trabalho não remunerado e de cuidados, impactando negativamente as oportunidades de emprego e rendimento para as mulheres; a persistência de mecanismos discriminatórios e preconceitos baseados em estereótipos de género reduzem as condições de permanência, remuneração e segurança no trabalho; as mulheres ainda est</w:t>
      </w:r>
      <w:r w:rsidR="00761DBD" w:rsidRPr="002F18DC">
        <w:rPr>
          <w:rFonts w:ascii="Garamond" w:hAnsi="Garamond" w:cs="Times New Roman"/>
          <w:lang w:val="pt-PT"/>
        </w:rPr>
        <w:t>ão</w:t>
      </w:r>
      <w:r w:rsidRPr="002F18DC">
        <w:rPr>
          <w:rFonts w:ascii="Garamond" w:hAnsi="Garamond" w:cs="Times New Roman"/>
          <w:lang w:val="pt-PT"/>
        </w:rPr>
        <w:t xml:space="preserve"> pouco presentes nas áreas de formação ligadas a ciências, matemáticas</w:t>
      </w:r>
      <w:r w:rsidR="00FA5D3F" w:rsidRPr="002F18DC">
        <w:rPr>
          <w:rFonts w:ascii="Garamond" w:hAnsi="Garamond" w:cs="Times New Roman"/>
          <w:lang w:val="pt-PT"/>
        </w:rPr>
        <w:t xml:space="preserve">, </w:t>
      </w:r>
      <w:proofErr w:type="spellStart"/>
      <w:r w:rsidR="00FA5D3F" w:rsidRPr="002F18DC">
        <w:rPr>
          <w:rFonts w:ascii="Garamond" w:hAnsi="Garamond" w:cs="Times New Roman"/>
          <w:lang w:val="pt-PT"/>
        </w:rPr>
        <w:t>TICs</w:t>
      </w:r>
      <w:proofErr w:type="spellEnd"/>
      <w:r w:rsidRPr="002F18DC">
        <w:rPr>
          <w:rFonts w:ascii="Garamond" w:hAnsi="Garamond" w:cs="Times New Roman"/>
          <w:lang w:val="pt-PT"/>
        </w:rPr>
        <w:t>, consideradas áreas tradicionalmente masculinas</w:t>
      </w:r>
      <w:r w:rsidRPr="001C50C8">
        <w:rPr>
          <w:rFonts w:ascii="Garamond" w:hAnsi="Garamond" w:cs="Times New Roman"/>
          <w:lang w:val="pt-PT"/>
        </w:rPr>
        <w:t>, entre outr</w:t>
      </w:r>
      <w:r w:rsidR="00FA5D3F" w:rsidRPr="001C50C8">
        <w:rPr>
          <w:rFonts w:ascii="Garamond" w:hAnsi="Garamond" w:cs="Times New Roman"/>
          <w:lang w:val="pt-PT"/>
        </w:rPr>
        <w:t>a</w:t>
      </w:r>
      <w:r w:rsidRPr="001C50C8">
        <w:rPr>
          <w:rFonts w:ascii="Garamond" w:hAnsi="Garamond" w:cs="Times New Roman"/>
          <w:lang w:val="pt-PT"/>
        </w:rPr>
        <w:t>s. As condições são ainda particularmente difíceis quando analisamos a situação económica e de inserção no mercado de trabalho de grupos específicos de mulheres com múltipl</w:t>
      </w:r>
      <w:r w:rsidR="00FA5D3F" w:rsidRPr="001C50C8">
        <w:rPr>
          <w:rFonts w:ascii="Garamond" w:hAnsi="Garamond" w:cs="Times New Roman"/>
          <w:lang w:val="pt-PT"/>
        </w:rPr>
        <w:t>o</w:t>
      </w:r>
      <w:r w:rsidRPr="001C50C8">
        <w:rPr>
          <w:rFonts w:ascii="Garamond" w:hAnsi="Garamond" w:cs="Times New Roman"/>
          <w:lang w:val="pt-PT"/>
        </w:rPr>
        <w:t xml:space="preserve">s </w:t>
      </w:r>
      <w:proofErr w:type="spellStart"/>
      <w:r w:rsidR="00FA5D3F" w:rsidRPr="001C50C8">
        <w:rPr>
          <w:rFonts w:ascii="Garamond" w:hAnsi="Garamond" w:cs="Times New Roman"/>
          <w:lang w:val="pt-PT"/>
        </w:rPr>
        <w:t>fatores</w:t>
      </w:r>
      <w:proofErr w:type="spellEnd"/>
      <w:r w:rsidR="00FA5D3F" w:rsidRPr="001C50C8">
        <w:rPr>
          <w:rFonts w:ascii="Garamond" w:hAnsi="Garamond" w:cs="Times New Roman"/>
          <w:lang w:val="pt-PT"/>
        </w:rPr>
        <w:t xml:space="preserve"> de discriminação</w:t>
      </w:r>
      <w:r w:rsidRPr="001C50C8">
        <w:rPr>
          <w:rFonts w:ascii="Garamond" w:hAnsi="Garamond" w:cs="Times New Roman"/>
          <w:lang w:val="pt-PT"/>
        </w:rPr>
        <w:t xml:space="preserve">, como o caso de mulheres rurais, mulheres com deficiência, </w:t>
      </w:r>
      <w:r w:rsidR="00FA5D3F" w:rsidRPr="001C50C8">
        <w:rPr>
          <w:rFonts w:ascii="Garamond" w:hAnsi="Garamond" w:cs="Times New Roman"/>
          <w:lang w:val="pt-PT"/>
        </w:rPr>
        <w:t>entre outros</w:t>
      </w:r>
      <w:r w:rsidRPr="001C50C8">
        <w:rPr>
          <w:rFonts w:ascii="Garamond" w:hAnsi="Garamond" w:cs="Times New Roman"/>
          <w:lang w:val="pt-PT"/>
        </w:rPr>
        <w:t xml:space="preserve">. </w:t>
      </w:r>
    </w:p>
    <w:p w14:paraId="4FD84382" w14:textId="77777777" w:rsidR="00E7591C" w:rsidRPr="001C50C8" w:rsidRDefault="00E7591C" w:rsidP="00E7591C">
      <w:pPr>
        <w:pStyle w:val="PargrafodaLista"/>
        <w:ind w:left="1080"/>
        <w:jc w:val="both"/>
        <w:rPr>
          <w:rFonts w:ascii="Garamond" w:hAnsi="Garamond" w:cs="Times New Roman"/>
          <w:b/>
          <w:sz w:val="28"/>
          <w:szCs w:val="28"/>
          <w:lang w:val="pt-PT"/>
        </w:rPr>
      </w:pPr>
    </w:p>
    <w:p w14:paraId="1F1478EE" w14:textId="207CCAC3" w:rsidR="00E7591C" w:rsidRPr="001C50C8" w:rsidRDefault="00F1265A" w:rsidP="00E7591C">
      <w:pPr>
        <w:pStyle w:val="PargrafodaLista"/>
        <w:numPr>
          <w:ilvl w:val="0"/>
          <w:numId w:val="3"/>
        </w:numPr>
        <w:jc w:val="both"/>
        <w:rPr>
          <w:rFonts w:ascii="Garamond" w:hAnsi="Garamond" w:cs="Times New Roman"/>
          <w:b/>
          <w:sz w:val="28"/>
          <w:szCs w:val="28"/>
          <w:lang w:val="pt-PT"/>
        </w:rPr>
      </w:pPr>
      <w:r w:rsidRPr="001C50C8">
        <w:rPr>
          <w:rFonts w:ascii="Garamond" w:hAnsi="Garamond" w:cs="Times New Roman"/>
          <w:b/>
          <w:lang w:val="pt-PT"/>
        </w:rPr>
        <w:t>LIDERAN</w:t>
      </w:r>
      <w:r w:rsidR="00761DBD" w:rsidRPr="001C50C8">
        <w:rPr>
          <w:rFonts w:ascii="Garamond" w:hAnsi="Garamond" w:cs="Times New Roman"/>
          <w:b/>
          <w:lang w:val="pt-PT"/>
        </w:rPr>
        <w:t>Ç</w:t>
      </w:r>
      <w:r w:rsidRPr="001C50C8">
        <w:rPr>
          <w:rFonts w:ascii="Garamond" w:hAnsi="Garamond" w:cs="Times New Roman"/>
          <w:b/>
          <w:lang w:val="pt-PT"/>
        </w:rPr>
        <w:t>A E PARTICIPAÇÃO POLÍTICA</w:t>
      </w:r>
      <w:r w:rsidRPr="001C50C8">
        <w:rPr>
          <w:rFonts w:ascii="Garamond" w:hAnsi="Garamond" w:cs="Times New Roman"/>
          <w:lang w:val="pt-PT"/>
        </w:rPr>
        <w:t xml:space="preserve">: </w:t>
      </w:r>
      <w:bookmarkStart w:id="16" w:name="_Hlk17368285"/>
      <w:r w:rsidR="00E7591C" w:rsidRPr="001C50C8">
        <w:rPr>
          <w:rFonts w:ascii="Garamond" w:hAnsi="Garamond" w:cs="Times New Roman"/>
          <w:lang w:val="pt-PT"/>
        </w:rPr>
        <w:t xml:space="preserve">as cabo-verdianas ainda enfrentam barreiras estruturais para uma participação política </w:t>
      </w:r>
      <w:proofErr w:type="spellStart"/>
      <w:r w:rsidR="00E7591C" w:rsidRPr="001C50C8">
        <w:rPr>
          <w:rFonts w:ascii="Garamond" w:hAnsi="Garamond" w:cs="Times New Roman"/>
          <w:lang w:val="pt-PT"/>
        </w:rPr>
        <w:t>efetiva</w:t>
      </w:r>
      <w:proofErr w:type="spellEnd"/>
      <w:r w:rsidR="00E7591C" w:rsidRPr="001C50C8">
        <w:rPr>
          <w:rFonts w:ascii="Garamond" w:hAnsi="Garamond" w:cs="Times New Roman"/>
          <w:lang w:val="pt-PT"/>
        </w:rPr>
        <w:t xml:space="preserve"> e igualitária, já que não dispõem dos mesmos recursos e oportunidades que os homens. Persistem resistências face à </w:t>
      </w:r>
      <w:proofErr w:type="spellStart"/>
      <w:r w:rsidR="00E7591C" w:rsidRPr="001C50C8">
        <w:rPr>
          <w:rFonts w:ascii="Garamond" w:hAnsi="Garamond" w:cs="Times New Roman"/>
          <w:lang w:val="pt-PT"/>
        </w:rPr>
        <w:t>adoção</w:t>
      </w:r>
      <w:proofErr w:type="spellEnd"/>
      <w:r w:rsidR="00E7591C" w:rsidRPr="001C50C8">
        <w:rPr>
          <w:rFonts w:ascii="Garamond" w:hAnsi="Garamond" w:cs="Times New Roman"/>
          <w:lang w:val="pt-PT"/>
        </w:rPr>
        <w:t xml:space="preserve"> de um quadro legal mais propício à participação das mulheres na política e na tomada de decisão, sendo a</w:t>
      </w:r>
      <w:r w:rsidR="00E7591C" w:rsidRPr="001C50C8">
        <w:rPr>
          <w:rFonts w:ascii="Garamond" w:hAnsi="Garamond"/>
          <w:lang w:val="pt-PT"/>
        </w:rPr>
        <w:t xml:space="preserve">s estruturas partidárias e a assembleia nacional, e respectiva cultura institucional, dominadas por homens. </w:t>
      </w:r>
      <w:r w:rsidR="00E7591C" w:rsidRPr="001C50C8">
        <w:rPr>
          <w:rFonts w:ascii="Garamond" w:hAnsi="Garamond" w:cs="Times New Roman"/>
          <w:lang w:val="pt-PT"/>
        </w:rPr>
        <w:t>A participação política das mulheres no Parlamento e nas esferas de poder e órgãos de decisão a nível local é ainda muito baixa</w:t>
      </w:r>
      <w:bookmarkEnd w:id="16"/>
      <w:r w:rsidR="00E7591C" w:rsidRPr="001C50C8">
        <w:rPr>
          <w:rFonts w:ascii="Garamond" w:hAnsi="Garamond" w:cs="Times New Roman"/>
          <w:lang w:val="pt-PT"/>
        </w:rPr>
        <w:t xml:space="preserve">, o que também se aplica aos cargos de decisão da administração pública, entre vários outros níveis de liderança, incluindo a nível associativo e comunitário. </w:t>
      </w:r>
    </w:p>
    <w:p w14:paraId="6C26A491" w14:textId="77777777" w:rsidR="00F1265A" w:rsidRPr="001C50C8" w:rsidRDefault="00F1265A" w:rsidP="00F1265A">
      <w:pPr>
        <w:pStyle w:val="PargrafodaLista"/>
        <w:rPr>
          <w:rFonts w:ascii="Garamond" w:hAnsi="Garamond" w:cs="Times New Roman"/>
          <w:b/>
          <w:lang w:val="pt-PT"/>
        </w:rPr>
      </w:pPr>
    </w:p>
    <w:p w14:paraId="21844B95" w14:textId="333B84D4" w:rsidR="00F1265A" w:rsidRPr="0082250C" w:rsidRDefault="00F1265A" w:rsidP="00152725">
      <w:pPr>
        <w:pStyle w:val="PargrafodaLista"/>
        <w:numPr>
          <w:ilvl w:val="0"/>
          <w:numId w:val="3"/>
        </w:numPr>
        <w:jc w:val="both"/>
        <w:rPr>
          <w:rFonts w:ascii="Garamond" w:hAnsi="Garamond" w:cs="Times New Roman"/>
          <w:lang w:val="pt-PT"/>
        </w:rPr>
      </w:pPr>
      <w:r w:rsidRPr="001C50C8">
        <w:rPr>
          <w:rFonts w:ascii="Garamond" w:hAnsi="Garamond" w:cs="Times New Roman"/>
          <w:b/>
          <w:lang w:val="pt-PT"/>
        </w:rPr>
        <w:t>VIOLÊNCIA BASEADA NO GÉNERO:</w:t>
      </w:r>
      <w:r w:rsidRPr="001C50C8">
        <w:rPr>
          <w:rFonts w:ascii="Garamond" w:hAnsi="Garamond" w:cs="Times New Roman"/>
          <w:lang w:val="pt-PT"/>
        </w:rPr>
        <w:t xml:space="preserve"> A violência contra mulheres e </w:t>
      </w:r>
      <w:r w:rsidR="00F24AED" w:rsidRPr="001C50C8">
        <w:rPr>
          <w:rFonts w:ascii="Garamond" w:hAnsi="Garamond" w:cs="Times New Roman"/>
          <w:lang w:val="pt-PT"/>
        </w:rPr>
        <w:t xml:space="preserve">meninas </w:t>
      </w:r>
      <w:r w:rsidRPr="001C50C8">
        <w:rPr>
          <w:rFonts w:ascii="Garamond" w:hAnsi="Garamond" w:cs="Times New Roman"/>
          <w:lang w:val="pt-PT"/>
        </w:rPr>
        <w:t>continua a ser um dos principais problemas sociais em Cabo Verde</w:t>
      </w:r>
      <w:r w:rsidR="002F18DC">
        <w:rPr>
          <w:rFonts w:ascii="Garamond" w:hAnsi="Garamond" w:cs="Times New Roman"/>
          <w:lang w:val="pt-PT"/>
        </w:rPr>
        <w:t>, apesar dos progressos</w:t>
      </w:r>
      <w:r w:rsidRPr="001C50C8">
        <w:rPr>
          <w:rFonts w:ascii="Garamond" w:hAnsi="Garamond" w:cs="Times New Roman"/>
          <w:lang w:val="pt-PT"/>
        </w:rPr>
        <w:t xml:space="preserve">. </w:t>
      </w:r>
      <w:r w:rsidR="00F24AED" w:rsidRPr="001C50C8">
        <w:rPr>
          <w:rFonts w:ascii="Garamond" w:hAnsi="Garamond" w:cs="Times New Roman"/>
          <w:lang w:val="pt-PT"/>
        </w:rPr>
        <w:t>Apresenta-se sob</w:t>
      </w:r>
      <w:r w:rsidRPr="001C50C8">
        <w:rPr>
          <w:rFonts w:ascii="Garamond" w:hAnsi="Garamond" w:cs="Times New Roman"/>
          <w:lang w:val="pt-PT"/>
        </w:rPr>
        <w:t xml:space="preserve"> formas diferentes, como violência doméstica, abuso, exploração</w:t>
      </w:r>
      <w:r w:rsidR="00761DBD" w:rsidRPr="001C50C8">
        <w:rPr>
          <w:rFonts w:ascii="Garamond" w:hAnsi="Garamond" w:cs="Times New Roman"/>
          <w:lang w:val="pt-PT"/>
        </w:rPr>
        <w:t xml:space="preserve"> e</w:t>
      </w:r>
      <w:r w:rsidRPr="001C50C8">
        <w:rPr>
          <w:rFonts w:ascii="Garamond" w:hAnsi="Garamond" w:cs="Times New Roman"/>
          <w:lang w:val="pt-PT"/>
        </w:rPr>
        <w:t xml:space="preserve"> violência sexual. </w:t>
      </w:r>
      <w:r w:rsidRPr="001C50C8">
        <w:rPr>
          <w:rFonts w:ascii="Garamond" w:hAnsi="Garamond"/>
          <w:lang w:val="pt-PT"/>
        </w:rPr>
        <w:t>A violência persiste todos os dias, em todos os cantos do país</w:t>
      </w:r>
      <w:r w:rsidR="002F18DC">
        <w:rPr>
          <w:rFonts w:ascii="Garamond" w:hAnsi="Garamond"/>
          <w:lang w:val="pt-PT"/>
        </w:rPr>
        <w:t>.</w:t>
      </w:r>
      <w:r w:rsidRPr="001C50C8">
        <w:rPr>
          <w:rFonts w:ascii="Garamond" w:hAnsi="Garamond"/>
          <w:lang w:val="pt-PT"/>
        </w:rPr>
        <w:t xml:space="preserve"> A cultura machista está ainda profundamente enraizada nas atitudes e comportamentos das pessoas. Quando as mulheres não podem trabalhar como resultado da violência, seu emprego </w:t>
      </w:r>
      <w:r w:rsidR="000C4E8E" w:rsidRPr="001C50C8">
        <w:rPr>
          <w:rFonts w:ascii="Garamond" w:hAnsi="Garamond"/>
          <w:lang w:val="pt-PT"/>
        </w:rPr>
        <w:t xml:space="preserve">e rendimento </w:t>
      </w:r>
      <w:r w:rsidRPr="001C50C8">
        <w:rPr>
          <w:rFonts w:ascii="Garamond" w:hAnsi="Garamond"/>
          <w:lang w:val="pt-PT"/>
        </w:rPr>
        <w:t xml:space="preserve">pode ser posto em risco, </w:t>
      </w:r>
      <w:r w:rsidR="000C4E8E" w:rsidRPr="001C50C8">
        <w:rPr>
          <w:rFonts w:ascii="Garamond" w:hAnsi="Garamond"/>
          <w:lang w:val="pt-PT"/>
        </w:rPr>
        <w:t xml:space="preserve">fragilizando a sua </w:t>
      </w:r>
      <w:r w:rsidRPr="001C50C8">
        <w:rPr>
          <w:rFonts w:ascii="Garamond" w:hAnsi="Garamond"/>
          <w:lang w:val="pt-PT"/>
        </w:rPr>
        <w:t xml:space="preserve">autonomia e sua capacidade de abandonar relações abusivas e de garantir a sobrevivência e bem-estar de sua família. Para alem do impacto </w:t>
      </w:r>
      <w:proofErr w:type="spellStart"/>
      <w:r w:rsidRPr="001C50C8">
        <w:rPr>
          <w:rFonts w:ascii="Garamond" w:hAnsi="Garamond"/>
          <w:lang w:val="pt-PT"/>
        </w:rPr>
        <w:t>direto</w:t>
      </w:r>
      <w:proofErr w:type="spellEnd"/>
      <w:r w:rsidRPr="001C50C8">
        <w:rPr>
          <w:rFonts w:ascii="Garamond" w:hAnsi="Garamond"/>
          <w:lang w:val="pt-PT"/>
        </w:rPr>
        <w:t xml:space="preserve"> na vida das mulheres, da baixa</w:t>
      </w:r>
      <w:r w:rsidR="00761DBD" w:rsidRPr="001C50C8">
        <w:rPr>
          <w:rFonts w:ascii="Garamond" w:hAnsi="Garamond"/>
          <w:lang w:val="pt-PT"/>
        </w:rPr>
        <w:t xml:space="preserve"> auto-estima</w:t>
      </w:r>
      <w:r w:rsidRPr="001C50C8">
        <w:rPr>
          <w:rFonts w:ascii="Garamond" w:hAnsi="Garamond"/>
          <w:lang w:val="pt-PT"/>
        </w:rPr>
        <w:t xml:space="preserve"> e de sequelas físicas e psicológicas, a violência contra as mulheres também resulta em perda de produtividade e drena recursos dos serviços sociais, do sistema de justiça e da saúde. </w:t>
      </w:r>
      <w:r w:rsidR="002F18DC">
        <w:rPr>
          <w:rFonts w:ascii="Garamond" w:hAnsi="Garamond"/>
          <w:lang w:val="pt-PT"/>
        </w:rPr>
        <w:t>Os ganhos foram substanciais nos</w:t>
      </w:r>
      <w:r w:rsidRPr="001C50C8">
        <w:rPr>
          <w:rFonts w:ascii="Garamond" w:hAnsi="Garamond"/>
          <w:lang w:val="pt-PT"/>
        </w:rPr>
        <w:t xml:space="preserve"> últimos 7 anos, com a elevação do fenómeno </w:t>
      </w:r>
      <w:r w:rsidR="000C4E8E" w:rsidRPr="001C50C8">
        <w:rPr>
          <w:rFonts w:ascii="Garamond" w:hAnsi="Garamond"/>
          <w:lang w:val="pt-PT"/>
        </w:rPr>
        <w:t>à</w:t>
      </w:r>
      <w:r w:rsidRPr="001C50C8">
        <w:rPr>
          <w:rFonts w:ascii="Garamond" w:hAnsi="Garamond"/>
          <w:lang w:val="pt-PT"/>
        </w:rPr>
        <w:t xml:space="preserve"> categoria de crime p</w:t>
      </w:r>
      <w:r w:rsidR="00761DBD" w:rsidRPr="001C50C8">
        <w:rPr>
          <w:rFonts w:ascii="Garamond" w:hAnsi="Garamond"/>
          <w:lang w:val="pt-PT"/>
        </w:rPr>
        <w:t>ú</w:t>
      </w:r>
      <w:r w:rsidRPr="001C50C8">
        <w:rPr>
          <w:rFonts w:ascii="Garamond" w:hAnsi="Garamond"/>
          <w:lang w:val="pt-PT"/>
        </w:rPr>
        <w:t>blico e de tratamento prioritário</w:t>
      </w:r>
      <w:r w:rsidR="00761DBD" w:rsidRPr="001C50C8">
        <w:rPr>
          <w:rFonts w:ascii="Garamond" w:hAnsi="Garamond"/>
          <w:lang w:val="pt-PT"/>
        </w:rPr>
        <w:t>,</w:t>
      </w:r>
      <w:r w:rsidRPr="001C50C8">
        <w:rPr>
          <w:rFonts w:ascii="Garamond" w:hAnsi="Garamond"/>
          <w:lang w:val="pt-PT"/>
        </w:rPr>
        <w:t xml:space="preserve"> e d</w:t>
      </w:r>
      <w:r w:rsidR="00761DBD" w:rsidRPr="001C50C8">
        <w:rPr>
          <w:rFonts w:ascii="Garamond" w:hAnsi="Garamond"/>
          <w:lang w:val="pt-PT"/>
        </w:rPr>
        <w:t>a</w:t>
      </w:r>
      <w:r w:rsidRPr="001C50C8">
        <w:rPr>
          <w:rFonts w:ascii="Garamond" w:hAnsi="Garamond"/>
          <w:lang w:val="pt-PT"/>
        </w:rPr>
        <w:t xml:space="preserve"> </w:t>
      </w:r>
      <w:proofErr w:type="spellStart"/>
      <w:r w:rsidRPr="001C50C8">
        <w:rPr>
          <w:rFonts w:ascii="Garamond" w:hAnsi="Garamond"/>
          <w:lang w:val="pt-PT"/>
        </w:rPr>
        <w:t>VBG</w:t>
      </w:r>
      <w:proofErr w:type="spellEnd"/>
      <w:r w:rsidRPr="001C50C8">
        <w:rPr>
          <w:rFonts w:ascii="Garamond" w:hAnsi="Garamond"/>
          <w:lang w:val="pt-PT"/>
        </w:rPr>
        <w:t xml:space="preserve"> deixar de ser considerada um assunto do foro privado, para ser reconhecido como um assunto do Estado e uma questão de saúde p</w:t>
      </w:r>
      <w:r w:rsidR="00761DBD" w:rsidRPr="001C50C8">
        <w:rPr>
          <w:rFonts w:ascii="Garamond" w:hAnsi="Garamond"/>
          <w:lang w:val="pt-PT"/>
        </w:rPr>
        <w:t>ú</w:t>
      </w:r>
      <w:r w:rsidRPr="001C50C8">
        <w:rPr>
          <w:rFonts w:ascii="Garamond" w:hAnsi="Garamond"/>
          <w:lang w:val="pt-PT"/>
        </w:rPr>
        <w:t>blica</w:t>
      </w:r>
      <w:r w:rsidR="002F18DC">
        <w:rPr>
          <w:rFonts w:ascii="Garamond" w:hAnsi="Garamond"/>
          <w:lang w:val="pt-PT"/>
        </w:rPr>
        <w:t xml:space="preserve">; a prevalência da </w:t>
      </w:r>
      <w:proofErr w:type="spellStart"/>
      <w:r w:rsidR="002F18DC">
        <w:rPr>
          <w:rFonts w:ascii="Garamond" w:hAnsi="Garamond"/>
          <w:lang w:val="pt-PT"/>
        </w:rPr>
        <w:t>VBG</w:t>
      </w:r>
      <w:proofErr w:type="spellEnd"/>
      <w:r w:rsidR="002F18DC">
        <w:rPr>
          <w:rFonts w:ascii="Garamond" w:hAnsi="Garamond"/>
          <w:lang w:val="pt-PT"/>
        </w:rPr>
        <w:t xml:space="preserve"> baixou substancialmente nos últimos 13 anos, como comprovam os dados do </w:t>
      </w:r>
      <w:proofErr w:type="spellStart"/>
      <w:r w:rsidR="002F18DC">
        <w:rPr>
          <w:rFonts w:ascii="Garamond" w:hAnsi="Garamond"/>
          <w:lang w:val="pt-PT"/>
        </w:rPr>
        <w:t>IDSR</w:t>
      </w:r>
      <w:proofErr w:type="spellEnd"/>
      <w:r w:rsidR="002F18DC">
        <w:rPr>
          <w:rFonts w:ascii="Garamond" w:hAnsi="Garamond"/>
          <w:lang w:val="pt-PT"/>
        </w:rPr>
        <w:t xml:space="preserve"> III (2018) em comparação com os do </w:t>
      </w:r>
      <w:proofErr w:type="spellStart"/>
      <w:r w:rsidR="002F18DC">
        <w:rPr>
          <w:rFonts w:ascii="Garamond" w:hAnsi="Garamond"/>
          <w:lang w:val="pt-PT"/>
        </w:rPr>
        <w:t>IDSR</w:t>
      </w:r>
      <w:proofErr w:type="spellEnd"/>
      <w:r w:rsidR="002F18DC">
        <w:rPr>
          <w:rFonts w:ascii="Garamond" w:hAnsi="Garamond"/>
          <w:lang w:val="pt-PT"/>
        </w:rPr>
        <w:t xml:space="preserve"> II (2005). Ainda assim</w:t>
      </w:r>
      <w:r w:rsidRPr="001C50C8">
        <w:rPr>
          <w:rFonts w:ascii="Garamond" w:hAnsi="Garamond"/>
          <w:lang w:val="pt-PT"/>
        </w:rPr>
        <w:t xml:space="preserve">, a realidade do confronto diário com casos de </w:t>
      </w:r>
      <w:proofErr w:type="spellStart"/>
      <w:r w:rsidR="000C4E8E" w:rsidRPr="001C50C8">
        <w:rPr>
          <w:rFonts w:ascii="Garamond" w:hAnsi="Garamond"/>
          <w:lang w:val="pt-PT"/>
        </w:rPr>
        <w:t>VBG</w:t>
      </w:r>
      <w:proofErr w:type="spellEnd"/>
      <w:r w:rsidRPr="001C50C8">
        <w:rPr>
          <w:rFonts w:ascii="Garamond" w:hAnsi="Garamond"/>
          <w:lang w:val="pt-PT"/>
        </w:rPr>
        <w:t xml:space="preserve"> demanda ainda atenção prioritária das autoridades nacionais e esforços conjugados para o seu combate </w:t>
      </w:r>
      <w:proofErr w:type="spellStart"/>
      <w:r w:rsidRPr="001C50C8">
        <w:rPr>
          <w:rFonts w:ascii="Garamond" w:hAnsi="Garamond"/>
          <w:lang w:val="pt-PT"/>
        </w:rPr>
        <w:t>efetivo</w:t>
      </w:r>
      <w:proofErr w:type="spellEnd"/>
      <w:r w:rsidRPr="001C50C8">
        <w:rPr>
          <w:rFonts w:ascii="Garamond" w:hAnsi="Garamond"/>
          <w:lang w:val="pt-PT"/>
        </w:rPr>
        <w:t xml:space="preserve">. Os desafios desta área se prendem ainda com o acesso e a morosidade da justiça, a prevalência do abuso sexual contra meninas e mulheres, as limitações dos mecanismos de queixa, registo e tratamento dos casos de </w:t>
      </w:r>
      <w:proofErr w:type="spellStart"/>
      <w:r w:rsidRPr="001C50C8">
        <w:rPr>
          <w:rFonts w:ascii="Garamond" w:hAnsi="Garamond"/>
          <w:lang w:val="pt-PT"/>
        </w:rPr>
        <w:t>VBG</w:t>
      </w:r>
      <w:proofErr w:type="spellEnd"/>
      <w:r w:rsidRPr="001C50C8">
        <w:rPr>
          <w:rFonts w:ascii="Garamond" w:hAnsi="Garamond"/>
          <w:lang w:val="pt-PT"/>
        </w:rPr>
        <w:t xml:space="preserve">,  a capacitação continua e estruturada acerca dos direitos das mulheres, </w:t>
      </w:r>
      <w:proofErr w:type="spellStart"/>
      <w:r w:rsidRPr="001C50C8">
        <w:rPr>
          <w:rFonts w:ascii="Garamond" w:hAnsi="Garamond"/>
          <w:lang w:val="pt-PT"/>
        </w:rPr>
        <w:t>VBG</w:t>
      </w:r>
      <w:proofErr w:type="spellEnd"/>
      <w:r w:rsidRPr="001C50C8">
        <w:rPr>
          <w:rFonts w:ascii="Garamond" w:hAnsi="Garamond"/>
          <w:lang w:val="pt-PT"/>
        </w:rPr>
        <w:t xml:space="preserve"> e assistência especializada a v</w:t>
      </w:r>
      <w:r w:rsidR="00761DBD" w:rsidRPr="001C50C8">
        <w:rPr>
          <w:rFonts w:ascii="Garamond" w:hAnsi="Garamond"/>
          <w:lang w:val="pt-PT"/>
        </w:rPr>
        <w:t>í</w:t>
      </w:r>
      <w:r w:rsidRPr="001C50C8">
        <w:rPr>
          <w:rFonts w:ascii="Garamond" w:hAnsi="Garamond"/>
          <w:lang w:val="pt-PT"/>
        </w:rPr>
        <w:t>timas, para aplicadores da lei, profissionais de saúde e pol</w:t>
      </w:r>
      <w:r w:rsidR="00761DBD" w:rsidRPr="001C50C8">
        <w:rPr>
          <w:rFonts w:ascii="Garamond" w:hAnsi="Garamond"/>
          <w:lang w:val="pt-PT"/>
        </w:rPr>
        <w:t>í</w:t>
      </w:r>
      <w:r w:rsidRPr="001C50C8">
        <w:rPr>
          <w:rFonts w:ascii="Garamond" w:hAnsi="Garamond"/>
          <w:lang w:val="pt-PT"/>
        </w:rPr>
        <w:t xml:space="preserve">cia, a cobertura e acesso aos serviços e mecanismos de </w:t>
      </w:r>
      <w:proofErr w:type="spellStart"/>
      <w:r w:rsidRPr="001C50C8">
        <w:rPr>
          <w:rFonts w:ascii="Garamond" w:hAnsi="Garamond"/>
          <w:lang w:val="pt-PT"/>
        </w:rPr>
        <w:t>proteção</w:t>
      </w:r>
      <w:proofErr w:type="spellEnd"/>
      <w:r w:rsidRPr="001C50C8">
        <w:rPr>
          <w:rFonts w:ascii="Garamond" w:hAnsi="Garamond"/>
          <w:lang w:val="pt-PT"/>
        </w:rPr>
        <w:t xml:space="preserve"> das v</w:t>
      </w:r>
      <w:r w:rsidR="0082722B">
        <w:rPr>
          <w:rFonts w:ascii="Garamond" w:hAnsi="Garamond"/>
          <w:lang w:val="pt-PT"/>
        </w:rPr>
        <w:t>í</w:t>
      </w:r>
      <w:r w:rsidRPr="001C50C8">
        <w:rPr>
          <w:rFonts w:ascii="Garamond" w:hAnsi="Garamond"/>
          <w:lang w:val="pt-PT"/>
        </w:rPr>
        <w:t>timas, o funcionamento adequado da rede interinstitucional de apoio as v</w:t>
      </w:r>
      <w:r w:rsidR="00761DBD" w:rsidRPr="001C50C8">
        <w:rPr>
          <w:rFonts w:ascii="Garamond" w:hAnsi="Garamond"/>
          <w:lang w:val="pt-PT"/>
        </w:rPr>
        <w:t>í</w:t>
      </w:r>
      <w:r w:rsidRPr="001C50C8">
        <w:rPr>
          <w:rFonts w:ascii="Garamond" w:hAnsi="Garamond"/>
          <w:lang w:val="pt-PT"/>
        </w:rPr>
        <w:t xml:space="preserve">timas, e a institucionalização de programas de prevenção, voltado para diferentes públicos. </w:t>
      </w:r>
    </w:p>
    <w:p w14:paraId="6B54652C" w14:textId="77777777" w:rsidR="00F1265A" w:rsidRPr="001C50C8" w:rsidRDefault="00F1265A" w:rsidP="00F1265A">
      <w:pPr>
        <w:pStyle w:val="PargrafodaLista"/>
        <w:ind w:left="1080"/>
        <w:jc w:val="both"/>
        <w:rPr>
          <w:rFonts w:ascii="Garamond" w:hAnsi="Garamond"/>
          <w:lang w:val="pt-PT"/>
        </w:rPr>
      </w:pPr>
    </w:p>
    <w:p w14:paraId="1FBA4538" w14:textId="3D889992" w:rsidR="00F1265A" w:rsidRPr="00B87BBC" w:rsidRDefault="004A58A7" w:rsidP="00B87BBC">
      <w:pPr>
        <w:pStyle w:val="PargrafodaLista"/>
        <w:numPr>
          <w:ilvl w:val="0"/>
          <w:numId w:val="3"/>
        </w:numPr>
        <w:ind w:left="1134" w:hanging="850"/>
        <w:jc w:val="both"/>
        <w:rPr>
          <w:rFonts w:ascii="Garamond" w:hAnsi="Garamond" w:cs="Times New Roman"/>
          <w:lang w:val="pt-PT"/>
        </w:rPr>
      </w:pPr>
      <w:bookmarkStart w:id="17" w:name="_Hlk30503267"/>
      <w:r w:rsidRPr="001C50C8">
        <w:rPr>
          <w:rFonts w:ascii="Garamond" w:hAnsi="Garamond" w:cs="Times New Roman"/>
          <w:b/>
          <w:lang w:val="pt-PT"/>
        </w:rPr>
        <w:t>ESTEREÓTIPOS</w:t>
      </w:r>
      <w:r w:rsidR="00F1265A" w:rsidRPr="001C50C8">
        <w:rPr>
          <w:rFonts w:ascii="Garamond" w:hAnsi="Garamond" w:cs="Times New Roman"/>
          <w:b/>
          <w:lang w:val="pt-PT"/>
        </w:rPr>
        <w:t xml:space="preserve"> E ESTIGMATIZAÇÃO SOCIAL:</w:t>
      </w:r>
      <w:r w:rsidR="00F1265A" w:rsidRPr="001C50C8">
        <w:rPr>
          <w:rFonts w:ascii="Garamond" w:hAnsi="Garamond" w:cs="Times New Roman"/>
          <w:lang w:val="pt-PT"/>
        </w:rPr>
        <w:t xml:space="preserve"> </w:t>
      </w:r>
      <w:r w:rsidR="0082250C">
        <w:rPr>
          <w:rFonts w:ascii="Garamond" w:hAnsi="Garamond" w:cs="Times New Roman"/>
          <w:lang w:val="pt-PT"/>
        </w:rPr>
        <w:t xml:space="preserve">Apesar da mudança de atitudes e comportamentos verificada ao longo dos últimos anos, em particular entre as mulheres jovens e urbanas e os homens jovens e urbanos, ainda persistem </w:t>
      </w:r>
      <w:r w:rsidR="00F1265A" w:rsidRPr="001C50C8">
        <w:rPr>
          <w:rFonts w:ascii="Garamond" w:hAnsi="Garamond" w:cs="Times New Roman"/>
          <w:lang w:val="pt-PT"/>
        </w:rPr>
        <w:t>estereótipos de género</w:t>
      </w:r>
      <w:r w:rsidR="0082250C">
        <w:rPr>
          <w:rFonts w:ascii="Garamond" w:hAnsi="Garamond" w:cs="Times New Roman"/>
          <w:lang w:val="pt-PT"/>
        </w:rPr>
        <w:t xml:space="preserve">, </w:t>
      </w:r>
      <w:r w:rsidR="00F1265A" w:rsidRPr="001C50C8">
        <w:rPr>
          <w:rFonts w:ascii="Garamond" w:hAnsi="Garamond" w:cs="Times New Roman"/>
          <w:lang w:val="pt-PT"/>
        </w:rPr>
        <w:t xml:space="preserve">atitudes patriarcais tradicionais e práticas a nível institucional e da comunidade </w:t>
      </w:r>
      <w:r w:rsidR="0082250C">
        <w:rPr>
          <w:rFonts w:ascii="Garamond" w:hAnsi="Garamond" w:cs="Times New Roman"/>
          <w:lang w:val="pt-PT"/>
        </w:rPr>
        <w:t xml:space="preserve">que resultam em </w:t>
      </w:r>
      <w:r w:rsidR="00F1265A" w:rsidRPr="001C50C8">
        <w:rPr>
          <w:rFonts w:ascii="Garamond" w:hAnsi="Garamond" w:cs="Times New Roman"/>
          <w:lang w:val="pt-PT"/>
        </w:rPr>
        <w:t xml:space="preserve">discriminação, impedindo as mulheres de utilizarem plenamente o seu potencial para realização pessoal, cidadã e </w:t>
      </w:r>
      <w:proofErr w:type="spellStart"/>
      <w:r w:rsidR="00F1265A" w:rsidRPr="001C50C8">
        <w:rPr>
          <w:rFonts w:ascii="Garamond" w:hAnsi="Garamond" w:cs="Times New Roman"/>
          <w:lang w:val="pt-PT"/>
        </w:rPr>
        <w:t>coletiva</w:t>
      </w:r>
      <w:proofErr w:type="spellEnd"/>
      <w:r w:rsidR="00F1265A" w:rsidRPr="001C50C8">
        <w:rPr>
          <w:rFonts w:ascii="Garamond" w:hAnsi="Garamond" w:cs="Times New Roman"/>
          <w:lang w:val="pt-PT"/>
        </w:rPr>
        <w:t>. Apesar das provisões legais e d</w:t>
      </w:r>
      <w:r w:rsidR="00CA1939" w:rsidRPr="001C50C8">
        <w:rPr>
          <w:rFonts w:ascii="Garamond" w:hAnsi="Garamond" w:cs="Times New Roman"/>
          <w:lang w:val="pt-PT"/>
        </w:rPr>
        <w:t>as</w:t>
      </w:r>
      <w:r w:rsidR="00F1265A" w:rsidRPr="001C50C8">
        <w:rPr>
          <w:rFonts w:ascii="Garamond" w:hAnsi="Garamond" w:cs="Times New Roman"/>
          <w:lang w:val="pt-PT"/>
        </w:rPr>
        <w:t xml:space="preserve"> medidas </w:t>
      </w:r>
      <w:proofErr w:type="spellStart"/>
      <w:r w:rsidR="00F1265A" w:rsidRPr="001C50C8">
        <w:rPr>
          <w:rFonts w:ascii="Garamond" w:hAnsi="Garamond" w:cs="Times New Roman"/>
          <w:lang w:val="pt-PT"/>
        </w:rPr>
        <w:t>adotadas</w:t>
      </w:r>
      <w:proofErr w:type="spellEnd"/>
      <w:r w:rsidR="00F1265A" w:rsidRPr="001C50C8">
        <w:rPr>
          <w:rFonts w:ascii="Garamond" w:hAnsi="Garamond" w:cs="Times New Roman"/>
          <w:lang w:val="pt-PT"/>
        </w:rPr>
        <w:t xml:space="preserve">, o acesso </w:t>
      </w:r>
      <w:r w:rsidR="00761DBD" w:rsidRPr="001C50C8">
        <w:rPr>
          <w:rFonts w:ascii="Garamond" w:hAnsi="Garamond" w:cs="Times New Roman"/>
          <w:lang w:val="pt-PT"/>
        </w:rPr>
        <w:t>à</w:t>
      </w:r>
      <w:r w:rsidR="00F1265A" w:rsidRPr="001C50C8">
        <w:rPr>
          <w:rFonts w:ascii="Garamond" w:hAnsi="Garamond" w:cs="Times New Roman"/>
          <w:lang w:val="pt-PT"/>
        </w:rPr>
        <w:t xml:space="preserve"> justiça, </w:t>
      </w:r>
      <w:r w:rsidR="00761DBD" w:rsidRPr="001C50C8">
        <w:rPr>
          <w:rFonts w:ascii="Garamond" w:hAnsi="Garamond" w:cs="Times New Roman"/>
          <w:lang w:val="pt-PT"/>
        </w:rPr>
        <w:t>à</w:t>
      </w:r>
      <w:r w:rsidR="00F1265A" w:rsidRPr="001C50C8">
        <w:rPr>
          <w:rFonts w:ascii="Garamond" w:hAnsi="Garamond" w:cs="Times New Roman"/>
          <w:lang w:val="pt-PT"/>
        </w:rPr>
        <w:t xml:space="preserve"> saúde e direitos sexuais e reprodutivos, ao trabalho digno e a participação pol</w:t>
      </w:r>
      <w:r w:rsidR="00761DBD" w:rsidRPr="001C50C8">
        <w:rPr>
          <w:rFonts w:ascii="Garamond" w:hAnsi="Garamond" w:cs="Times New Roman"/>
          <w:lang w:val="pt-PT"/>
        </w:rPr>
        <w:t>í</w:t>
      </w:r>
      <w:r w:rsidR="00F1265A" w:rsidRPr="001C50C8">
        <w:rPr>
          <w:rFonts w:ascii="Garamond" w:hAnsi="Garamond" w:cs="Times New Roman"/>
          <w:lang w:val="pt-PT"/>
        </w:rPr>
        <w:t>tica,  continua sendo um grande desafio, e em particular para grupos de mulheres em situação de maior vulnerabilidade e sujeitas a múltiplas discriminações, como o caso das mulheres vítimas de violência, mulheres rurais, mulheres migrantes, mulheres com deficiência</w:t>
      </w:r>
      <w:r w:rsidR="00761DBD" w:rsidRPr="001C50C8">
        <w:rPr>
          <w:rFonts w:ascii="Garamond" w:hAnsi="Garamond" w:cs="Times New Roman"/>
          <w:lang w:val="pt-PT"/>
        </w:rPr>
        <w:t xml:space="preserve"> (incluindo à educação)</w:t>
      </w:r>
      <w:r w:rsidR="00F1265A" w:rsidRPr="001C50C8">
        <w:rPr>
          <w:rFonts w:ascii="Garamond" w:hAnsi="Garamond" w:cs="Times New Roman"/>
          <w:lang w:val="pt-PT"/>
        </w:rPr>
        <w:t>, mulheres vivendo com VIH-SIDA</w:t>
      </w:r>
      <w:r w:rsidR="00E121E5">
        <w:rPr>
          <w:rFonts w:ascii="Garamond" w:hAnsi="Garamond" w:cs="Times New Roman"/>
          <w:lang w:val="pt-PT"/>
        </w:rPr>
        <w:t>, entre outras</w:t>
      </w:r>
      <w:r w:rsidR="00F1265A" w:rsidRPr="001C50C8">
        <w:rPr>
          <w:rFonts w:ascii="Garamond" w:hAnsi="Garamond" w:cs="Times New Roman"/>
          <w:lang w:val="pt-PT"/>
        </w:rPr>
        <w:t xml:space="preserve">. </w:t>
      </w:r>
      <w:r w:rsidR="00F1265A" w:rsidRPr="00B87BBC">
        <w:rPr>
          <w:rFonts w:ascii="Garamond" w:hAnsi="Garamond" w:cs="Times New Roman"/>
          <w:lang w:val="pt-PT"/>
        </w:rPr>
        <w:t>A aplicação pr</w:t>
      </w:r>
      <w:r w:rsidR="00761DBD" w:rsidRPr="00B87BBC">
        <w:rPr>
          <w:rFonts w:ascii="Garamond" w:hAnsi="Garamond" w:cs="Times New Roman"/>
          <w:lang w:val="pt-PT"/>
        </w:rPr>
        <w:t>á</w:t>
      </w:r>
      <w:r w:rsidR="00F1265A" w:rsidRPr="00B87BBC">
        <w:rPr>
          <w:rFonts w:ascii="Garamond" w:hAnsi="Garamond" w:cs="Times New Roman"/>
          <w:lang w:val="pt-PT"/>
        </w:rPr>
        <w:t>tica das leis</w:t>
      </w:r>
      <w:r w:rsidR="00B87BBC" w:rsidRPr="00B87BBC">
        <w:rPr>
          <w:rFonts w:ascii="Garamond" w:hAnsi="Garamond" w:cs="Times New Roman"/>
          <w:lang w:val="pt-PT"/>
        </w:rPr>
        <w:t xml:space="preserve">, em particular no que tange às situações de maior discriminação, </w:t>
      </w:r>
      <w:r w:rsidR="00F1265A" w:rsidRPr="00B87BBC">
        <w:rPr>
          <w:rFonts w:ascii="Garamond" w:hAnsi="Garamond" w:cs="Times New Roman"/>
          <w:lang w:val="pt-PT"/>
        </w:rPr>
        <w:t xml:space="preserve">ainda esta longe de ser </w:t>
      </w:r>
      <w:proofErr w:type="spellStart"/>
      <w:r w:rsidR="00F1265A" w:rsidRPr="00B87BBC">
        <w:rPr>
          <w:rFonts w:ascii="Garamond" w:hAnsi="Garamond" w:cs="Times New Roman"/>
          <w:lang w:val="pt-PT"/>
        </w:rPr>
        <w:t>efetiva</w:t>
      </w:r>
      <w:proofErr w:type="spellEnd"/>
      <w:r w:rsidR="00F1265A" w:rsidRPr="00B87BBC">
        <w:rPr>
          <w:rFonts w:ascii="Garamond" w:hAnsi="Garamond" w:cs="Times New Roman"/>
          <w:lang w:val="pt-PT"/>
        </w:rPr>
        <w:t xml:space="preserve"> e as instituições carecem ainda de ser fortalecidas </w:t>
      </w:r>
      <w:r w:rsidR="00761DBD" w:rsidRPr="00B87BBC">
        <w:rPr>
          <w:rFonts w:ascii="Garamond" w:hAnsi="Garamond" w:cs="Times New Roman"/>
          <w:lang w:val="pt-PT"/>
        </w:rPr>
        <w:t>p</w:t>
      </w:r>
      <w:r w:rsidR="00F1265A" w:rsidRPr="00B87BBC">
        <w:rPr>
          <w:rFonts w:ascii="Garamond" w:hAnsi="Garamond" w:cs="Times New Roman"/>
          <w:lang w:val="pt-PT"/>
        </w:rPr>
        <w:t xml:space="preserve">or forma a dotá-las de capacidades, humanas, técnicas e operacionais, para o cumprimento </w:t>
      </w:r>
      <w:proofErr w:type="spellStart"/>
      <w:r w:rsidR="00F1265A" w:rsidRPr="00B87BBC">
        <w:rPr>
          <w:rFonts w:ascii="Garamond" w:hAnsi="Garamond" w:cs="Times New Roman"/>
          <w:lang w:val="pt-PT"/>
        </w:rPr>
        <w:t>efetivo</w:t>
      </w:r>
      <w:proofErr w:type="spellEnd"/>
      <w:r w:rsidR="00F1265A" w:rsidRPr="00B87BBC">
        <w:rPr>
          <w:rFonts w:ascii="Garamond" w:hAnsi="Garamond" w:cs="Times New Roman"/>
          <w:lang w:val="pt-PT"/>
        </w:rPr>
        <w:t xml:space="preserve"> das leis</w:t>
      </w:r>
      <w:r w:rsidR="00B87BBC" w:rsidRPr="00B87BBC">
        <w:rPr>
          <w:rFonts w:ascii="Garamond" w:hAnsi="Garamond" w:cs="Times New Roman"/>
          <w:lang w:val="pt-PT"/>
        </w:rPr>
        <w:t>, em prol de uma sociedade cada vez mais igualitária</w:t>
      </w:r>
      <w:r w:rsidR="00F1265A" w:rsidRPr="00B87BBC">
        <w:rPr>
          <w:rFonts w:ascii="Garamond" w:hAnsi="Garamond" w:cs="Times New Roman"/>
          <w:lang w:val="pt-PT"/>
        </w:rPr>
        <w:t xml:space="preserve">. Por outro lado, verifica-se que o papel da comunicação social e da </w:t>
      </w:r>
      <w:r w:rsidR="00761DBD" w:rsidRPr="00B87BBC">
        <w:rPr>
          <w:rFonts w:ascii="Garamond" w:hAnsi="Garamond" w:cs="Times New Roman"/>
          <w:lang w:val="pt-PT"/>
        </w:rPr>
        <w:t>média</w:t>
      </w:r>
      <w:r w:rsidR="00F1265A" w:rsidRPr="00B87BBC">
        <w:rPr>
          <w:rFonts w:ascii="Garamond" w:hAnsi="Garamond" w:cs="Times New Roman"/>
          <w:lang w:val="pt-PT"/>
        </w:rPr>
        <w:t xml:space="preserve"> no geral, no combate a discriminação e </w:t>
      </w:r>
      <w:proofErr w:type="spellStart"/>
      <w:r w:rsidR="00CA1939" w:rsidRPr="00B87BBC">
        <w:rPr>
          <w:rFonts w:ascii="Garamond" w:hAnsi="Garamond" w:cs="Times New Roman"/>
          <w:lang w:val="pt-PT"/>
        </w:rPr>
        <w:t>VBG</w:t>
      </w:r>
      <w:proofErr w:type="spellEnd"/>
      <w:r w:rsidR="00F1265A" w:rsidRPr="00B87BBC">
        <w:rPr>
          <w:rFonts w:ascii="Garamond" w:hAnsi="Garamond" w:cs="Times New Roman"/>
          <w:lang w:val="pt-PT"/>
        </w:rPr>
        <w:t xml:space="preserve"> e na promoção da educação publica sobre o impacto negativo dos estereótipos discriminatórios, precisa ser reforçado para uma cobertura mais </w:t>
      </w:r>
      <w:proofErr w:type="spellStart"/>
      <w:r w:rsidR="00F1265A" w:rsidRPr="00B87BBC">
        <w:rPr>
          <w:rFonts w:ascii="Garamond" w:hAnsi="Garamond" w:cs="Times New Roman"/>
          <w:lang w:val="pt-PT"/>
        </w:rPr>
        <w:t>efetiva</w:t>
      </w:r>
      <w:proofErr w:type="spellEnd"/>
      <w:r w:rsidR="00F1265A" w:rsidRPr="00B87BBC">
        <w:rPr>
          <w:rFonts w:ascii="Garamond" w:hAnsi="Garamond" w:cs="Times New Roman"/>
          <w:lang w:val="pt-PT"/>
        </w:rPr>
        <w:t xml:space="preserve"> destas questões</w:t>
      </w:r>
      <w:r w:rsidR="00B87BBC">
        <w:rPr>
          <w:rFonts w:ascii="Garamond" w:hAnsi="Garamond" w:cs="Times New Roman"/>
          <w:lang w:val="pt-PT"/>
        </w:rPr>
        <w:t xml:space="preserve"> e de grupos alvo específicos</w:t>
      </w:r>
      <w:r w:rsidR="00F1265A" w:rsidRPr="00B87BBC">
        <w:rPr>
          <w:rFonts w:ascii="Garamond" w:hAnsi="Garamond" w:cs="Times New Roman"/>
          <w:lang w:val="pt-PT"/>
        </w:rPr>
        <w:t xml:space="preserve">. De igual modo, há necessidade de uma maior mobilização e engajamento de homens e meninos no combate as desigualdades de género, um investimento mais programático e integral a nível da construção de masculinidades positivas e um trabalho continuado de mobilização comunitária. </w:t>
      </w:r>
      <w:r w:rsidR="00FA5D3F" w:rsidRPr="00B87BBC">
        <w:rPr>
          <w:rFonts w:ascii="Garamond" w:hAnsi="Garamond" w:cs="Times New Roman"/>
          <w:lang w:val="pt-PT"/>
        </w:rPr>
        <w:t>As diferenças na socialização de meninos e meninas impacta negativamente o bem-estar dos homens. São alvos de pressão social para “ser homem”, o que impacta o seu comportamento, em termos da sua participação no cuidar</w:t>
      </w:r>
      <w:r w:rsidR="00BF7485" w:rsidRPr="00B87BBC">
        <w:rPr>
          <w:rFonts w:ascii="Garamond" w:hAnsi="Garamond" w:cs="Times New Roman"/>
          <w:lang w:val="pt-PT"/>
        </w:rPr>
        <w:t xml:space="preserve">, </w:t>
      </w:r>
      <w:r w:rsidR="00FA5D3F" w:rsidRPr="00B87BBC">
        <w:rPr>
          <w:rFonts w:ascii="Garamond" w:hAnsi="Garamond" w:cs="Times New Roman"/>
          <w:lang w:val="pt-PT"/>
        </w:rPr>
        <w:t xml:space="preserve">autocuidado e inserção precoce no mundo dos adultos: os meninos/adolescentes passam à vida </w:t>
      </w:r>
      <w:proofErr w:type="spellStart"/>
      <w:r w:rsidR="00FA5D3F" w:rsidRPr="00B87BBC">
        <w:rPr>
          <w:rFonts w:ascii="Garamond" w:hAnsi="Garamond" w:cs="Times New Roman"/>
          <w:lang w:val="pt-PT"/>
        </w:rPr>
        <w:t>ativa</w:t>
      </w:r>
      <w:proofErr w:type="spellEnd"/>
      <w:r w:rsidR="00FA5D3F" w:rsidRPr="00B87BBC">
        <w:rPr>
          <w:rFonts w:ascii="Garamond" w:hAnsi="Garamond" w:cs="Times New Roman"/>
          <w:lang w:val="pt-PT"/>
        </w:rPr>
        <w:t xml:space="preserve"> precocemente, têm comportamentos de risco que levam </w:t>
      </w:r>
      <w:r w:rsidR="00BF7485" w:rsidRPr="00B87BBC">
        <w:rPr>
          <w:rFonts w:ascii="Garamond" w:hAnsi="Garamond" w:cs="Times New Roman"/>
          <w:lang w:val="pt-PT"/>
        </w:rPr>
        <w:t xml:space="preserve">a </w:t>
      </w:r>
      <w:r w:rsidR="00FA5D3F" w:rsidRPr="00B87BBC">
        <w:rPr>
          <w:rFonts w:ascii="Garamond" w:hAnsi="Garamond" w:cs="Times New Roman"/>
          <w:lang w:val="pt-PT"/>
        </w:rPr>
        <w:t xml:space="preserve">taxas mais elevada de morte e doença por </w:t>
      </w:r>
      <w:r w:rsidR="00FA5D3F" w:rsidRPr="00B87BBC">
        <w:rPr>
          <w:rFonts w:ascii="Garamond" w:hAnsi="Garamond" w:cs="Arial"/>
          <w:lang w:val="pt-PT"/>
        </w:rPr>
        <w:t xml:space="preserve">causas externas (acidentes, violência), de </w:t>
      </w:r>
      <w:r w:rsidR="00FA5D3F" w:rsidRPr="00B87BBC">
        <w:rPr>
          <w:rFonts w:ascii="Garamond" w:hAnsi="Garamond" w:cs="Times New Roman"/>
          <w:lang w:val="pt-PT"/>
        </w:rPr>
        <w:t>consumo de álcool, drogas e de suicídio.</w:t>
      </w:r>
      <w:r w:rsidR="00BF7485" w:rsidRPr="00B87BBC">
        <w:rPr>
          <w:rFonts w:ascii="Garamond" w:hAnsi="Garamond" w:cs="Times New Roman"/>
          <w:lang w:val="pt-PT"/>
        </w:rPr>
        <w:t xml:space="preserve"> </w:t>
      </w:r>
      <w:r w:rsidR="00F1265A" w:rsidRPr="00B87BBC">
        <w:rPr>
          <w:rFonts w:ascii="Garamond" w:hAnsi="Garamond" w:cs="Times New Roman"/>
          <w:lang w:val="pt-PT"/>
        </w:rPr>
        <w:t>A</w:t>
      </w:r>
      <w:r w:rsidR="00BF7485" w:rsidRPr="00B87BBC">
        <w:rPr>
          <w:rFonts w:ascii="Garamond" w:hAnsi="Garamond" w:cs="Times New Roman"/>
          <w:lang w:val="pt-PT"/>
        </w:rPr>
        <w:t>s</w:t>
      </w:r>
      <w:r w:rsidR="00F1265A" w:rsidRPr="00B87BBC">
        <w:rPr>
          <w:rFonts w:ascii="Garamond" w:hAnsi="Garamond" w:cs="Times New Roman"/>
          <w:lang w:val="pt-PT"/>
        </w:rPr>
        <w:t xml:space="preserve"> práticas educativas promotoras de igualdade desde a mais tenra idade, </w:t>
      </w:r>
      <w:r w:rsidR="00BF7485" w:rsidRPr="00B87BBC">
        <w:rPr>
          <w:rFonts w:ascii="Garamond" w:hAnsi="Garamond" w:cs="Times New Roman"/>
          <w:lang w:val="pt-PT"/>
        </w:rPr>
        <w:t>a</w:t>
      </w:r>
      <w:r w:rsidR="00F1265A" w:rsidRPr="00B87BBC">
        <w:rPr>
          <w:rFonts w:ascii="Garamond" w:hAnsi="Garamond" w:cs="Times New Roman"/>
          <w:lang w:val="pt-PT"/>
        </w:rPr>
        <w:t>figura</w:t>
      </w:r>
      <w:r w:rsidR="00BF7485" w:rsidRPr="00B87BBC">
        <w:rPr>
          <w:rFonts w:ascii="Garamond" w:hAnsi="Garamond" w:cs="Times New Roman"/>
          <w:lang w:val="pt-PT"/>
        </w:rPr>
        <w:t>m</w:t>
      </w:r>
      <w:r w:rsidR="00F1265A" w:rsidRPr="00B87BBC">
        <w:rPr>
          <w:rFonts w:ascii="Garamond" w:hAnsi="Garamond" w:cs="Times New Roman"/>
          <w:lang w:val="pt-PT"/>
        </w:rPr>
        <w:t>-se como importante estratégia na prevenção de comportamentos e atitudes discriminatórias baseados em estereótipos de género</w:t>
      </w:r>
      <w:r w:rsidR="00BF7485" w:rsidRPr="00B87BBC">
        <w:rPr>
          <w:rFonts w:ascii="Garamond" w:hAnsi="Garamond" w:cs="Times New Roman"/>
          <w:lang w:val="pt-PT"/>
        </w:rPr>
        <w:t xml:space="preserve"> e impactos negativos tanto nas mulheres como nos homens</w:t>
      </w:r>
      <w:bookmarkEnd w:id="17"/>
      <w:r w:rsidR="00F1265A" w:rsidRPr="00B87BBC">
        <w:rPr>
          <w:rFonts w:ascii="Garamond" w:hAnsi="Garamond" w:cs="Times New Roman"/>
          <w:lang w:val="pt-PT"/>
        </w:rPr>
        <w:t>.</w:t>
      </w:r>
    </w:p>
    <w:bookmarkEnd w:id="13"/>
    <w:p w14:paraId="47FE2F1D" w14:textId="77777777" w:rsidR="00F1265A" w:rsidRPr="001C50C8" w:rsidRDefault="00F1265A" w:rsidP="00F1265A">
      <w:pPr>
        <w:spacing w:line="276" w:lineRule="auto"/>
        <w:jc w:val="both"/>
        <w:rPr>
          <w:rFonts w:ascii="Garamond" w:hAnsi="Garamond" w:cs="Times New Roman"/>
          <w:lang w:val="pt-PT"/>
        </w:rPr>
      </w:pPr>
    </w:p>
    <w:p w14:paraId="3E4E6293" w14:textId="314FB364" w:rsidR="00F1265A" w:rsidRPr="00761DBD" w:rsidRDefault="00F1265A" w:rsidP="00761DBD">
      <w:pPr>
        <w:pStyle w:val="Ttulo2"/>
        <w:jc w:val="both"/>
        <w:rPr>
          <w:rFonts w:ascii="Garamond" w:hAnsi="Garamond" w:cs="Times New Roman"/>
          <w:b/>
          <w:color w:val="auto"/>
          <w:sz w:val="28"/>
          <w:szCs w:val="28"/>
          <w:lang w:val="pt-PT"/>
        </w:rPr>
      </w:pPr>
      <w:bookmarkStart w:id="18" w:name="_Toc32858123"/>
      <w:r w:rsidRPr="00761DBD">
        <w:rPr>
          <w:rFonts w:ascii="Garamond" w:hAnsi="Garamond" w:cs="Times New Roman"/>
          <w:b/>
          <w:color w:val="auto"/>
          <w:sz w:val="28"/>
          <w:szCs w:val="28"/>
          <w:lang w:val="pt-PT"/>
        </w:rPr>
        <w:t xml:space="preserve">Lições Aprendidas </w:t>
      </w:r>
      <w:r w:rsidR="00761DBD">
        <w:rPr>
          <w:rFonts w:ascii="Garamond" w:hAnsi="Garamond" w:cs="Times New Roman"/>
          <w:b/>
          <w:color w:val="auto"/>
          <w:sz w:val="28"/>
          <w:szCs w:val="28"/>
          <w:lang w:val="pt-PT"/>
        </w:rPr>
        <w:t xml:space="preserve">e </w:t>
      </w:r>
      <w:r w:rsidR="002F18DC">
        <w:rPr>
          <w:rFonts w:ascii="Garamond" w:hAnsi="Garamond" w:cs="Times New Roman"/>
          <w:b/>
          <w:color w:val="auto"/>
          <w:sz w:val="28"/>
          <w:szCs w:val="28"/>
          <w:lang w:val="pt-PT"/>
        </w:rPr>
        <w:t xml:space="preserve">desafios </w:t>
      </w:r>
      <w:r w:rsidRPr="00761DBD">
        <w:rPr>
          <w:rFonts w:ascii="Garamond" w:hAnsi="Garamond" w:cs="Times New Roman"/>
          <w:b/>
          <w:color w:val="auto"/>
          <w:sz w:val="28"/>
          <w:szCs w:val="28"/>
          <w:lang w:val="pt-PT"/>
        </w:rPr>
        <w:t>n</w:t>
      </w:r>
      <w:r w:rsidR="00761DBD">
        <w:rPr>
          <w:rFonts w:ascii="Garamond" w:hAnsi="Garamond" w:cs="Times New Roman"/>
          <w:b/>
          <w:color w:val="auto"/>
          <w:sz w:val="28"/>
          <w:szCs w:val="28"/>
          <w:lang w:val="pt-PT"/>
        </w:rPr>
        <w:t>a</w:t>
      </w:r>
      <w:r w:rsidRPr="00761DBD">
        <w:rPr>
          <w:rFonts w:ascii="Garamond" w:hAnsi="Garamond" w:cs="Times New Roman"/>
          <w:b/>
          <w:color w:val="auto"/>
          <w:sz w:val="28"/>
          <w:szCs w:val="28"/>
          <w:lang w:val="pt-PT"/>
        </w:rPr>
        <w:t xml:space="preserve"> implementação do </w:t>
      </w:r>
      <w:proofErr w:type="spellStart"/>
      <w:r w:rsidRPr="00761DBD">
        <w:rPr>
          <w:rFonts w:ascii="Garamond" w:hAnsi="Garamond" w:cs="Times New Roman"/>
          <w:b/>
          <w:color w:val="auto"/>
          <w:sz w:val="28"/>
          <w:szCs w:val="28"/>
          <w:lang w:val="pt-PT"/>
        </w:rPr>
        <w:t>PNIG</w:t>
      </w:r>
      <w:proofErr w:type="spellEnd"/>
      <w:r w:rsidRPr="00761DBD">
        <w:rPr>
          <w:rFonts w:ascii="Garamond" w:hAnsi="Garamond" w:cs="Times New Roman"/>
          <w:b/>
          <w:color w:val="auto"/>
          <w:sz w:val="28"/>
          <w:szCs w:val="28"/>
          <w:lang w:val="pt-PT"/>
        </w:rPr>
        <w:t xml:space="preserve"> 2015-2018</w:t>
      </w:r>
      <w:bookmarkEnd w:id="18"/>
    </w:p>
    <w:p w14:paraId="602868CF" w14:textId="77777777" w:rsidR="00F1265A" w:rsidRPr="00510E10" w:rsidRDefault="00F1265A" w:rsidP="00F1265A">
      <w:pPr>
        <w:pStyle w:val="PargrafodaLista"/>
        <w:spacing w:line="276" w:lineRule="auto"/>
        <w:ind w:left="0"/>
        <w:jc w:val="both"/>
        <w:rPr>
          <w:rFonts w:ascii="Garamond" w:hAnsi="Garamond" w:cs="Times New Roman"/>
          <w:i/>
          <w:color w:val="FF0000"/>
          <w:lang w:val="pt-PT"/>
        </w:rPr>
      </w:pPr>
    </w:p>
    <w:p w14:paraId="273A4069" w14:textId="1E97DC28" w:rsidR="00F1265A" w:rsidRDefault="007553B5" w:rsidP="00761DBD">
      <w:pPr>
        <w:pStyle w:val="PargrafodaLista"/>
        <w:spacing w:line="276" w:lineRule="auto"/>
        <w:ind w:left="0"/>
        <w:jc w:val="both"/>
        <w:rPr>
          <w:rFonts w:ascii="Garamond" w:hAnsi="Garamond" w:cs="Times New Roman"/>
          <w:b/>
          <w:bCs/>
          <w:lang w:val="pt-PT"/>
        </w:rPr>
      </w:pPr>
      <w:r>
        <w:rPr>
          <w:rFonts w:ascii="Garamond" w:hAnsi="Garamond" w:cs="Times New Roman"/>
          <w:b/>
          <w:bCs/>
          <w:lang w:val="pt-PT"/>
        </w:rPr>
        <w:t>Lições aprendidas</w:t>
      </w:r>
      <w:r w:rsidR="00F1265A" w:rsidRPr="00761DBD">
        <w:rPr>
          <w:rFonts w:ascii="Garamond" w:hAnsi="Garamond" w:cs="Times New Roman"/>
          <w:b/>
          <w:bCs/>
          <w:lang w:val="pt-PT"/>
        </w:rPr>
        <w:t xml:space="preserve"> </w:t>
      </w:r>
    </w:p>
    <w:p w14:paraId="5E323E8D" w14:textId="0CD8CB15" w:rsidR="007553B5" w:rsidRDefault="007455CE" w:rsidP="007553B5">
      <w:pPr>
        <w:spacing w:line="259" w:lineRule="auto"/>
        <w:jc w:val="both"/>
        <w:rPr>
          <w:rFonts w:ascii="Garamond" w:hAnsi="Garamond"/>
          <w:lang w:val="pt-PT"/>
        </w:rPr>
      </w:pPr>
      <w:r>
        <w:rPr>
          <w:rFonts w:ascii="Garamond" w:hAnsi="Garamond"/>
          <w:lang w:val="pt-PT"/>
        </w:rPr>
        <w:t>Durante a</w:t>
      </w:r>
      <w:r w:rsidR="007553B5">
        <w:rPr>
          <w:rFonts w:ascii="Garamond" w:hAnsi="Garamond"/>
          <w:lang w:val="pt-PT"/>
        </w:rPr>
        <w:t xml:space="preserve"> implementação do </w:t>
      </w:r>
      <w:proofErr w:type="spellStart"/>
      <w:r w:rsidR="007553B5">
        <w:rPr>
          <w:rFonts w:ascii="Garamond" w:hAnsi="Garamond"/>
          <w:lang w:val="pt-PT"/>
        </w:rPr>
        <w:t>PNIG</w:t>
      </w:r>
      <w:proofErr w:type="spellEnd"/>
      <w:r>
        <w:rPr>
          <w:rFonts w:ascii="Garamond" w:hAnsi="Garamond"/>
          <w:lang w:val="pt-PT"/>
        </w:rPr>
        <w:t xml:space="preserve"> ficou patente</w:t>
      </w:r>
      <w:r w:rsidR="007553B5">
        <w:rPr>
          <w:rFonts w:ascii="Garamond" w:hAnsi="Garamond"/>
          <w:lang w:val="pt-PT"/>
        </w:rPr>
        <w:t xml:space="preserve"> a i</w:t>
      </w:r>
      <w:r w:rsidR="007553B5" w:rsidRPr="007553B5">
        <w:rPr>
          <w:rFonts w:ascii="Garamond" w:hAnsi="Garamond"/>
          <w:lang w:val="pt-PT"/>
        </w:rPr>
        <w:t>mportância</w:t>
      </w:r>
      <w:r w:rsidR="007553B5">
        <w:rPr>
          <w:rFonts w:ascii="Garamond" w:hAnsi="Garamond"/>
          <w:lang w:val="pt-PT"/>
        </w:rPr>
        <w:t>, em particular, dos:</w:t>
      </w:r>
    </w:p>
    <w:p w14:paraId="7FF6ACDC" w14:textId="11B1C60E" w:rsidR="007553B5" w:rsidRPr="007553B5" w:rsidRDefault="007553B5" w:rsidP="002A62A2">
      <w:pPr>
        <w:pStyle w:val="PargrafodaLista"/>
        <w:numPr>
          <w:ilvl w:val="0"/>
          <w:numId w:val="63"/>
        </w:numPr>
        <w:spacing w:after="160" w:line="259" w:lineRule="auto"/>
        <w:jc w:val="both"/>
        <w:rPr>
          <w:rFonts w:ascii="Garamond" w:hAnsi="Garamond"/>
          <w:lang w:val="pt-PT"/>
        </w:rPr>
      </w:pPr>
      <w:r>
        <w:rPr>
          <w:rFonts w:ascii="Garamond" w:hAnsi="Garamond"/>
          <w:lang w:val="pt-PT"/>
        </w:rPr>
        <w:t>M</w:t>
      </w:r>
      <w:r w:rsidRPr="007553B5">
        <w:rPr>
          <w:rFonts w:ascii="Garamond" w:hAnsi="Garamond"/>
          <w:lang w:val="pt-PT"/>
        </w:rPr>
        <w:t>ovimentos sociais e do trabalho em rede</w:t>
      </w:r>
    </w:p>
    <w:p w14:paraId="35525E8C" w14:textId="017E57A9" w:rsidR="007553B5" w:rsidRPr="007553B5" w:rsidRDefault="007553B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E</w:t>
      </w:r>
      <w:r w:rsidRPr="007553B5">
        <w:rPr>
          <w:rFonts w:ascii="Garamond" w:hAnsi="Garamond"/>
          <w:lang w:val="pt-PT"/>
        </w:rPr>
        <w:t xml:space="preserve">stratégia e trabalho concertados </w:t>
      </w:r>
      <w:r>
        <w:rPr>
          <w:rFonts w:ascii="Garamond" w:hAnsi="Garamond"/>
          <w:lang w:val="pt-PT"/>
        </w:rPr>
        <w:t>d</w:t>
      </w:r>
      <w:r w:rsidRPr="007553B5">
        <w:rPr>
          <w:rFonts w:ascii="Garamond" w:hAnsi="Garamond"/>
          <w:lang w:val="pt-PT"/>
        </w:rPr>
        <w:t>e advocacia (ex. Lei d</w:t>
      </w:r>
      <w:r>
        <w:rPr>
          <w:rFonts w:ascii="Garamond" w:hAnsi="Garamond"/>
          <w:lang w:val="pt-PT"/>
        </w:rPr>
        <w:t>a</w:t>
      </w:r>
      <w:r w:rsidRPr="007553B5">
        <w:rPr>
          <w:rFonts w:ascii="Garamond" w:hAnsi="Garamond"/>
          <w:lang w:val="pt-PT"/>
        </w:rPr>
        <w:t xml:space="preserve"> Paridade)</w:t>
      </w:r>
    </w:p>
    <w:p w14:paraId="3401E69E" w14:textId="4F1CBE7A" w:rsidR="007553B5" w:rsidRPr="007553B5" w:rsidRDefault="007553B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I</w:t>
      </w:r>
      <w:r w:rsidRPr="007553B5">
        <w:rPr>
          <w:rFonts w:ascii="Garamond" w:hAnsi="Garamond"/>
          <w:lang w:val="pt-PT"/>
        </w:rPr>
        <w:t xml:space="preserve">nvestir em </w:t>
      </w:r>
      <w:proofErr w:type="spellStart"/>
      <w:r w:rsidRPr="007553B5">
        <w:rPr>
          <w:rFonts w:ascii="Garamond" w:hAnsi="Garamond"/>
          <w:lang w:val="pt-PT"/>
        </w:rPr>
        <w:t>ações</w:t>
      </w:r>
      <w:proofErr w:type="spellEnd"/>
      <w:r w:rsidRPr="007553B5">
        <w:rPr>
          <w:rFonts w:ascii="Garamond" w:hAnsi="Garamond"/>
          <w:lang w:val="pt-PT"/>
        </w:rPr>
        <w:t xml:space="preserve"> de capacitação consistentes, para o real empoderamento das mulheres</w:t>
      </w:r>
    </w:p>
    <w:p w14:paraId="47F9195C" w14:textId="39D6A0A8" w:rsidR="007553B5" w:rsidRPr="007553B5" w:rsidRDefault="007553B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S</w:t>
      </w:r>
      <w:r w:rsidRPr="007553B5">
        <w:rPr>
          <w:rFonts w:ascii="Garamond" w:hAnsi="Garamond"/>
          <w:lang w:val="pt-PT"/>
        </w:rPr>
        <w:t xml:space="preserve">eguimento das </w:t>
      </w:r>
      <w:proofErr w:type="spellStart"/>
      <w:r w:rsidRPr="007553B5">
        <w:rPr>
          <w:rFonts w:ascii="Garamond" w:hAnsi="Garamond"/>
          <w:lang w:val="pt-PT"/>
        </w:rPr>
        <w:t>ações</w:t>
      </w:r>
      <w:proofErr w:type="spellEnd"/>
      <w:r w:rsidRPr="007553B5">
        <w:rPr>
          <w:rFonts w:ascii="Garamond" w:hAnsi="Garamond"/>
          <w:lang w:val="pt-PT"/>
        </w:rPr>
        <w:t xml:space="preserve"> de capacitação, sem o qual não se chega ao resultado pretendido</w:t>
      </w:r>
    </w:p>
    <w:p w14:paraId="3A4EAFB8" w14:textId="7BF52BD5" w:rsidR="007553B5" w:rsidRDefault="007553B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E</w:t>
      </w:r>
      <w:r w:rsidRPr="007553B5">
        <w:rPr>
          <w:rFonts w:ascii="Garamond" w:hAnsi="Garamond"/>
          <w:lang w:val="pt-PT"/>
        </w:rPr>
        <w:t>ncontros periódicos e seguimento para o dinamismo da Rede SOL</w:t>
      </w:r>
    </w:p>
    <w:p w14:paraId="743616AE" w14:textId="10C2497B" w:rsidR="00371996" w:rsidRDefault="007553B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R</w:t>
      </w:r>
      <w:r w:rsidRPr="007553B5">
        <w:rPr>
          <w:rFonts w:ascii="Garamond" w:hAnsi="Garamond"/>
          <w:lang w:val="pt-PT"/>
        </w:rPr>
        <w:t>eflexão sobre as estratégias a accionar para o alcance das metas previstas</w:t>
      </w:r>
    </w:p>
    <w:p w14:paraId="4DA693DF" w14:textId="6CB87886" w:rsidR="00371996" w:rsidRPr="007553B5" w:rsidRDefault="00371996" w:rsidP="002A62A2">
      <w:pPr>
        <w:pStyle w:val="PargrafodaLista"/>
        <w:numPr>
          <w:ilvl w:val="0"/>
          <w:numId w:val="65"/>
        </w:numPr>
        <w:spacing w:after="160" w:line="259" w:lineRule="auto"/>
        <w:jc w:val="both"/>
        <w:rPr>
          <w:rFonts w:ascii="Garamond" w:hAnsi="Garamond"/>
          <w:lang w:val="pt-PT"/>
        </w:rPr>
      </w:pPr>
      <w:r>
        <w:rPr>
          <w:rFonts w:ascii="Garamond" w:hAnsi="Garamond" w:cs="Times New Roman"/>
          <w:lang w:val="pt-PT"/>
        </w:rPr>
        <w:t>F</w:t>
      </w:r>
      <w:r w:rsidRPr="00E7463C">
        <w:rPr>
          <w:rFonts w:ascii="Garamond" w:hAnsi="Garamond" w:cs="Times New Roman"/>
          <w:lang w:val="pt-PT"/>
        </w:rPr>
        <w:t xml:space="preserve">ocalizar as intervenções </w:t>
      </w:r>
      <w:r>
        <w:rPr>
          <w:rFonts w:ascii="Garamond" w:hAnsi="Garamond" w:cs="Times New Roman"/>
          <w:lang w:val="pt-PT"/>
        </w:rPr>
        <w:t xml:space="preserve">de reforço de capacidades </w:t>
      </w:r>
      <w:r w:rsidRPr="00E7463C">
        <w:rPr>
          <w:rFonts w:ascii="Garamond" w:hAnsi="Garamond" w:cs="Times New Roman"/>
          <w:lang w:val="pt-PT"/>
        </w:rPr>
        <w:t>nas instituições</w:t>
      </w:r>
      <w:r>
        <w:rPr>
          <w:rFonts w:ascii="Garamond" w:hAnsi="Garamond" w:cs="Times New Roman"/>
          <w:lang w:val="pt-PT"/>
        </w:rPr>
        <w:t xml:space="preserve"> e ter em conta as necessidades de sensibilização d</w:t>
      </w:r>
      <w:r w:rsidR="003C36E4">
        <w:rPr>
          <w:rFonts w:ascii="Garamond" w:hAnsi="Garamond" w:cs="Times New Roman"/>
          <w:lang w:val="pt-PT"/>
        </w:rPr>
        <w:t>e</w:t>
      </w:r>
      <w:r>
        <w:rPr>
          <w:rFonts w:ascii="Garamond" w:hAnsi="Garamond" w:cs="Times New Roman"/>
          <w:lang w:val="pt-PT"/>
        </w:rPr>
        <w:t xml:space="preserve"> novas chefias </w:t>
      </w:r>
      <w:r w:rsidR="003C36E4">
        <w:rPr>
          <w:rFonts w:ascii="Garamond" w:hAnsi="Garamond" w:cs="Times New Roman"/>
          <w:lang w:val="pt-PT"/>
        </w:rPr>
        <w:t xml:space="preserve">para a continuidade das </w:t>
      </w:r>
      <w:proofErr w:type="spellStart"/>
      <w:r w:rsidR="003C36E4">
        <w:rPr>
          <w:rFonts w:ascii="Garamond" w:hAnsi="Garamond" w:cs="Times New Roman"/>
          <w:lang w:val="pt-PT"/>
        </w:rPr>
        <w:t>ações</w:t>
      </w:r>
      <w:proofErr w:type="spellEnd"/>
    </w:p>
    <w:p w14:paraId="63B312A2" w14:textId="43E5059A" w:rsidR="00065B4A" w:rsidRDefault="007553B5" w:rsidP="002A62A2">
      <w:pPr>
        <w:pStyle w:val="PargrafodaLista"/>
        <w:numPr>
          <w:ilvl w:val="0"/>
          <w:numId w:val="65"/>
        </w:numPr>
        <w:spacing w:after="160" w:line="276" w:lineRule="auto"/>
        <w:jc w:val="both"/>
        <w:rPr>
          <w:rFonts w:ascii="Garamond" w:hAnsi="Garamond" w:cs="Times New Roman"/>
          <w:lang w:val="pt-PT"/>
        </w:rPr>
      </w:pPr>
      <w:r w:rsidRPr="007553B5">
        <w:rPr>
          <w:rFonts w:ascii="Garamond" w:hAnsi="Garamond"/>
          <w:lang w:val="pt-PT"/>
        </w:rPr>
        <w:t>Beneficiar das experiências</w:t>
      </w:r>
      <w:r>
        <w:rPr>
          <w:rFonts w:ascii="Garamond" w:hAnsi="Garamond"/>
          <w:lang w:val="pt-PT"/>
        </w:rPr>
        <w:t xml:space="preserve"> e </w:t>
      </w:r>
      <w:r w:rsidRPr="007553B5">
        <w:rPr>
          <w:rFonts w:ascii="Garamond" w:hAnsi="Garamond"/>
          <w:lang w:val="pt-PT"/>
        </w:rPr>
        <w:t>boas práticas de outros contextos, compatíveis com</w:t>
      </w:r>
      <w:r>
        <w:rPr>
          <w:rFonts w:ascii="Garamond" w:hAnsi="Garamond"/>
          <w:lang w:val="pt-PT"/>
        </w:rPr>
        <w:t xml:space="preserve"> a </w:t>
      </w:r>
      <w:r w:rsidRPr="007553B5">
        <w:rPr>
          <w:rFonts w:ascii="Garamond" w:hAnsi="Garamond"/>
          <w:lang w:val="pt-PT"/>
        </w:rPr>
        <w:t>realidade</w:t>
      </w:r>
      <w:r>
        <w:rPr>
          <w:rFonts w:ascii="Garamond" w:hAnsi="Garamond"/>
          <w:lang w:val="pt-PT"/>
        </w:rPr>
        <w:t xml:space="preserve"> de Cabo Verde</w:t>
      </w:r>
      <w:r w:rsidR="00065B4A" w:rsidRPr="00065B4A">
        <w:rPr>
          <w:rFonts w:ascii="Garamond" w:hAnsi="Garamond" w:cs="Times New Roman"/>
          <w:lang w:val="pt-PT"/>
        </w:rPr>
        <w:t xml:space="preserve">  </w:t>
      </w:r>
    </w:p>
    <w:p w14:paraId="69F3A1AF" w14:textId="7B81CA58" w:rsidR="00BA3955" w:rsidRPr="00BA3955" w:rsidRDefault="00BA3955" w:rsidP="002A62A2">
      <w:pPr>
        <w:pStyle w:val="PargrafodaLista"/>
        <w:numPr>
          <w:ilvl w:val="0"/>
          <w:numId w:val="65"/>
        </w:numPr>
        <w:spacing w:after="160" w:line="259" w:lineRule="auto"/>
        <w:jc w:val="both"/>
        <w:rPr>
          <w:rFonts w:ascii="Garamond" w:hAnsi="Garamond"/>
          <w:lang w:val="pt-PT"/>
        </w:rPr>
      </w:pPr>
      <w:r>
        <w:rPr>
          <w:rFonts w:ascii="Garamond" w:hAnsi="Garamond"/>
          <w:lang w:val="pt-PT"/>
        </w:rPr>
        <w:t xml:space="preserve">Uso de dados e analises estatísticas como recurso para formulação de políticas públicas sociais e de género estruturantes (Ex. Sistema Nacional de Cuidados) </w:t>
      </w:r>
    </w:p>
    <w:p w14:paraId="428E94FC" w14:textId="42C90E9B" w:rsidR="00BA3955" w:rsidRPr="00BA3955" w:rsidRDefault="00BA3955" w:rsidP="002A62A2">
      <w:pPr>
        <w:pStyle w:val="PargrafodaLista"/>
        <w:numPr>
          <w:ilvl w:val="0"/>
          <w:numId w:val="65"/>
        </w:numPr>
        <w:spacing w:after="160" w:line="276" w:lineRule="auto"/>
        <w:jc w:val="both"/>
        <w:rPr>
          <w:rFonts w:ascii="Garamond" w:hAnsi="Garamond"/>
          <w:lang w:val="pt-PT"/>
        </w:rPr>
      </w:pPr>
      <w:r>
        <w:rPr>
          <w:rFonts w:ascii="Garamond" w:hAnsi="Garamond"/>
          <w:lang w:val="pt-PT"/>
        </w:rPr>
        <w:t xml:space="preserve">Liderança, comunicação e colaboração interinstitucional, como </w:t>
      </w:r>
      <w:proofErr w:type="spellStart"/>
      <w:r>
        <w:rPr>
          <w:rFonts w:ascii="Garamond" w:hAnsi="Garamond"/>
          <w:lang w:val="pt-PT"/>
        </w:rPr>
        <w:t>fatores</w:t>
      </w:r>
      <w:proofErr w:type="spellEnd"/>
      <w:r>
        <w:rPr>
          <w:rFonts w:ascii="Garamond" w:hAnsi="Garamond"/>
          <w:lang w:val="pt-PT"/>
        </w:rPr>
        <w:t xml:space="preserve"> fundamentais para atingir os resultados com eficácia</w:t>
      </w:r>
    </w:p>
    <w:p w14:paraId="20327B12" w14:textId="7222F241" w:rsidR="007553B5" w:rsidRPr="007553B5" w:rsidRDefault="007553B5" w:rsidP="007553B5">
      <w:pPr>
        <w:spacing w:line="276" w:lineRule="auto"/>
        <w:jc w:val="both"/>
        <w:rPr>
          <w:rFonts w:ascii="Garamond" w:hAnsi="Garamond" w:cs="Times New Roman"/>
          <w:b/>
          <w:bCs/>
          <w:lang w:val="pt-PT"/>
        </w:rPr>
      </w:pPr>
      <w:r>
        <w:rPr>
          <w:rFonts w:ascii="Garamond" w:hAnsi="Garamond" w:cs="Times New Roman"/>
          <w:b/>
          <w:bCs/>
          <w:lang w:val="pt-PT"/>
        </w:rPr>
        <w:t>Desafios</w:t>
      </w:r>
      <w:r w:rsidRPr="007553B5">
        <w:rPr>
          <w:rFonts w:ascii="Garamond" w:hAnsi="Garamond" w:cs="Times New Roman"/>
          <w:b/>
          <w:bCs/>
          <w:lang w:val="pt-PT"/>
        </w:rPr>
        <w:t xml:space="preserve"> </w:t>
      </w:r>
    </w:p>
    <w:p w14:paraId="65A83B10" w14:textId="56463FF9" w:rsidR="007553B5" w:rsidRDefault="007553B5" w:rsidP="007553B5">
      <w:pPr>
        <w:spacing w:line="259" w:lineRule="auto"/>
        <w:jc w:val="both"/>
        <w:rPr>
          <w:rFonts w:ascii="Garamond" w:hAnsi="Garamond"/>
          <w:lang w:val="pt-PT"/>
        </w:rPr>
      </w:pPr>
      <w:r>
        <w:rPr>
          <w:rFonts w:ascii="Garamond" w:hAnsi="Garamond"/>
          <w:lang w:val="pt-PT"/>
        </w:rPr>
        <w:t>Os desafios de género, já brevemente evocados nesta seção, são retomados em profundidade na análise de cada um dos Eixo</w:t>
      </w:r>
      <w:r w:rsidR="009E614C">
        <w:rPr>
          <w:rFonts w:ascii="Garamond" w:hAnsi="Garamond"/>
          <w:lang w:val="pt-PT"/>
        </w:rPr>
        <w:t>s</w:t>
      </w:r>
      <w:r>
        <w:rPr>
          <w:rFonts w:ascii="Garamond" w:hAnsi="Garamond"/>
          <w:lang w:val="pt-PT"/>
        </w:rPr>
        <w:t xml:space="preserve"> estratégico</w:t>
      </w:r>
      <w:r w:rsidR="009E614C">
        <w:rPr>
          <w:rFonts w:ascii="Garamond" w:hAnsi="Garamond"/>
          <w:lang w:val="pt-PT"/>
        </w:rPr>
        <w:t>s</w:t>
      </w:r>
      <w:r>
        <w:rPr>
          <w:rFonts w:ascii="Garamond" w:hAnsi="Garamond"/>
          <w:lang w:val="pt-PT"/>
        </w:rPr>
        <w:t xml:space="preserve">. Em termos de implementação, podem ser realçados vários desafios, a ter em conta na implementação do </w:t>
      </w:r>
      <w:proofErr w:type="spellStart"/>
      <w:r>
        <w:rPr>
          <w:rFonts w:ascii="Garamond" w:hAnsi="Garamond"/>
          <w:lang w:val="pt-PT"/>
        </w:rPr>
        <w:t>PNIG</w:t>
      </w:r>
      <w:proofErr w:type="spellEnd"/>
      <w:r>
        <w:rPr>
          <w:rFonts w:ascii="Garamond" w:hAnsi="Garamond"/>
          <w:lang w:val="pt-PT"/>
        </w:rPr>
        <w:t xml:space="preserve"> (2020-2023):</w:t>
      </w:r>
    </w:p>
    <w:p w14:paraId="2CF60970" w14:textId="77777777" w:rsidR="00E44D82" w:rsidRPr="00E44D82" w:rsidRDefault="00E44D82" w:rsidP="002A62A2">
      <w:pPr>
        <w:pStyle w:val="PargrafodaLista"/>
        <w:numPr>
          <w:ilvl w:val="0"/>
          <w:numId w:val="67"/>
        </w:numPr>
        <w:autoSpaceDE w:val="0"/>
        <w:autoSpaceDN w:val="0"/>
        <w:adjustRightInd w:val="0"/>
        <w:jc w:val="both"/>
        <w:rPr>
          <w:rFonts w:ascii="Garamond" w:hAnsi="Garamond"/>
          <w:lang w:val="pt-PT"/>
        </w:rPr>
      </w:pPr>
      <w:r w:rsidRPr="00E44D82">
        <w:rPr>
          <w:rFonts w:ascii="Garamond" w:hAnsi="Garamond"/>
          <w:lang w:val="pt-PT"/>
        </w:rPr>
        <w:t>Minimizar o impacto dos anos eleitorais</w:t>
      </w:r>
    </w:p>
    <w:p w14:paraId="75D4CD73" w14:textId="3BEA7A5B" w:rsidR="00E44D82" w:rsidRDefault="00E44D82"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 xml:space="preserve">Divulgar e tornar acessível o </w:t>
      </w:r>
      <w:proofErr w:type="spellStart"/>
      <w:r w:rsidRPr="00E44D82">
        <w:rPr>
          <w:rFonts w:ascii="Garamond" w:hAnsi="Garamond"/>
          <w:lang w:val="pt-PT"/>
        </w:rPr>
        <w:t>PNIG</w:t>
      </w:r>
      <w:proofErr w:type="spellEnd"/>
      <w:r w:rsidRPr="00E44D82">
        <w:rPr>
          <w:rFonts w:ascii="Garamond" w:hAnsi="Garamond"/>
          <w:lang w:val="pt-PT"/>
        </w:rPr>
        <w:t xml:space="preserve"> e garantir a sua máxima apropriação</w:t>
      </w:r>
    </w:p>
    <w:p w14:paraId="211EB72E" w14:textId="64C496BE" w:rsidR="00BA3955" w:rsidRPr="00BA3955" w:rsidRDefault="00BA3955" w:rsidP="002A62A2">
      <w:pPr>
        <w:pStyle w:val="PargrafodaLista"/>
        <w:numPr>
          <w:ilvl w:val="0"/>
          <w:numId w:val="66"/>
        </w:numPr>
        <w:autoSpaceDE w:val="0"/>
        <w:autoSpaceDN w:val="0"/>
        <w:adjustRightInd w:val="0"/>
        <w:jc w:val="both"/>
        <w:rPr>
          <w:rFonts w:ascii="Garamond" w:hAnsi="Garamond"/>
          <w:lang w:val="pt-PT"/>
        </w:rPr>
      </w:pPr>
      <w:r>
        <w:rPr>
          <w:rFonts w:ascii="Garamond" w:hAnsi="Garamond" w:cs="Times New Roman"/>
          <w:lang w:val="pt-PT"/>
        </w:rPr>
        <w:t xml:space="preserve">Consolidar o papel do </w:t>
      </w:r>
      <w:proofErr w:type="spellStart"/>
      <w:r>
        <w:rPr>
          <w:rFonts w:ascii="Garamond" w:hAnsi="Garamond" w:cs="Times New Roman"/>
          <w:lang w:val="pt-PT"/>
        </w:rPr>
        <w:t>ICIEG</w:t>
      </w:r>
      <w:proofErr w:type="spellEnd"/>
      <w:r>
        <w:rPr>
          <w:rFonts w:ascii="Garamond" w:hAnsi="Garamond" w:cs="Times New Roman"/>
          <w:lang w:val="pt-PT"/>
        </w:rPr>
        <w:t xml:space="preserve"> enquanto coordenador da implementação do </w:t>
      </w:r>
      <w:proofErr w:type="spellStart"/>
      <w:r>
        <w:rPr>
          <w:rFonts w:ascii="Garamond" w:hAnsi="Garamond" w:cs="Times New Roman"/>
          <w:lang w:val="pt-PT"/>
        </w:rPr>
        <w:t>PNIG</w:t>
      </w:r>
      <w:proofErr w:type="spellEnd"/>
      <w:r>
        <w:rPr>
          <w:rFonts w:ascii="Garamond" w:hAnsi="Garamond" w:cs="Times New Roman"/>
          <w:lang w:val="pt-PT"/>
        </w:rPr>
        <w:t xml:space="preserve"> e de apoio às estratégias sectoriais e locais versus </w:t>
      </w:r>
      <w:r w:rsidRPr="006449A5">
        <w:rPr>
          <w:rFonts w:ascii="Garamond" w:hAnsi="Garamond" w:cs="Times New Roman"/>
          <w:lang w:val="pt-PT"/>
        </w:rPr>
        <w:t xml:space="preserve">execução </w:t>
      </w:r>
      <w:proofErr w:type="spellStart"/>
      <w:r w:rsidRPr="006449A5">
        <w:rPr>
          <w:rFonts w:ascii="Garamond" w:hAnsi="Garamond" w:cs="Times New Roman"/>
          <w:lang w:val="pt-PT"/>
        </w:rPr>
        <w:t>direta</w:t>
      </w:r>
      <w:proofErr w:type="spellEnd"/>
    </w:p>
    <w:p w14:paraId="2D64B653" w14:textId="3A7477A5" w:rsidR="003C36E4" w:rsidRPr="003C36E4" w:rsidRDefault="003C36E4" w:rsidP="002A62A2">
      <w:pPr>
        <w:pStyle w:val="PargrafodaLista"/>
        <w:numPr>
          <w:ilvl w:val="0"/>
          <w:numId w:val="66"/>
        </w:numPr>
        <w:autoSpaceDE w:val="0"/>
        <w:autoSpaceDN w:val="0"/>
        <w:adjustRightInd w:val="0"/>
        <w:jc w:val="both"/>
        <w:rPr>
          <w:rFonts w:ascii="Garamond" w:hAnsi="Garamond"/>
          <w:lang w:val="pt-PT"/>
        </w:rPr>
      </w:pPr>
      <w:r>
        <w:rPr>
          <w:rFonts w:ascii="Garamond" w:hAnsi="Garamond" w:cs="Times New Roman"/>
          <w:lang w:val="pt-PT"/>
        </w:rPr>
        <w:t>A</w:t>
      </w:r>
      <w:r w:rsidRPr="00E7463C">
        <w:rPr>
          <w:rFonts w:ascii="Garamond" w:hAnsi="Garamond" w:cs="Times New Roman"/>
          <w:lang w:val="pt-PT"/>
        </w:rPr>
        <w:t>umentar a cooperação técnica com os sectores</w:t>
      </w:r>
    </w:p>
    <w:p w14:paraId="761BC2D2" w14:textId="77777777" w:rsidR="003C36E4" w:rsidRPr="00E44D82" w:rsidRDefault="003C36E4"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 xml:space="preserve">Trabalhar para que programas e orçamentos </w:t>
      </w:r>
      <w:proofErr w:type="spellStart"/>
      <w:r w:rsidRPr="00E44D82">
        <w:rPr>
          <w:rFonts w:ascii="Garamond" w:hAnsi="Garamond"/>
          <w:lang w:val="pt-PT"/>
        </w:rPr>
        <w:t>setoriais</w:t>
      </w:r>
      <w:proofErr w:type="spellEnd"/>
      <w:r w:rsidRPr="00E44D82">
        <w:rPr>
          <w:rFonts w:ascii="Garamond" w:hAnsi="Garamond"/>
          <w:lang w:val="pt-PT"/>
        </w:rPr>
        <w:t xml:space="preserve"> sejam explícitos quanto às medidas de género e invistam recursos (viabilizar estratégia de </w:t>
      </w:r>
      <w:proofErr w:type="spellStart"/>
      <w:r w:rsidRPr="00E44D82">
        <w:rPr>
          <w:rFonts w:ascii="Garamond" w:hAnsi="Garamond"/>
          <w:lang w:val="pt-PT"/>
        </w:rPr>
        <w:t>transversalização</w:t>
      </w:r>
      <w:proofErr w:type="spellEnd"/>
      <w:r w:rsidRPr="00E44D82">
        <w:rPr>
          <w:rFonts w:ascii="Garamond" w:hAnsi="Garamond"/>
          <w:lang w:val="pt-PT"/>
        </w:rPr>
        <w:t xml:space="preserve"> do género)</w:t>
      </w:r>
    </w:p>
    <w:p w14:paraId="01EE0F13" w14:textId="77777777" w:rsidR="00E44D82" w:rsidRPr="00E44D82" w:rsidRDefault="00E44D82"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 xml:space="preserve">Garantir a disponibilidade de dados e informações em diferentes domínios, e dar visibilidade a questões que </w:t>
      </w:r>
      <w:proofErr w:type="spellStart"/>
      <w:r w:rsidRPr="00E44D82">
        <w:rPr>
          <w:rFonts w:ascii="Garamond" w:hAnsi="Garamond"/>
          <w:lang w:val="pt-PT"/>
        </w:rPr>
        <w:t>afetam</w:t>
      </w:r>
      <w:proofErr w:type="spellEnd"/>
      <w:r w:rsidRPr="00E44D82">
        <w:rPr>
          <w:rFonts w:ascii="Garamond" w:hAnsi="Garamond"/>
          <w:lang w:val="pt-PT"/>
        </w:rPr>
        <w:t xml:space="preserve"> tanto as mulheres como os homens</w:t>
      </w:r>
    </w:p>
    <w:p w14:paraId="31213334" w14:textId="4D44D5A2" w:rsidR="003C36E4" w:rsidRPr="00E44D82" w:rsidRDefault="003C36E4"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 xml:space="preserve">Necessidade de recursos para as </w:t>
      </w:r>
      <w:proofErr w:type="spellStart"/>
      <w:r w:rsidRPr="00E44D82">
        <w:rPr>
          <w:rFonts w:ascii="Garamond" w:hAnsi="Garamond"/>
          <w:lang w:val="pt-PT"/>
        </w:rPr>
        <w:t>OSC</w:t>
      </w:r>
      <w:proofErr w:type="spellEnd"/>
      <w:r w:rsidRPr="00E44D82">
        <w:rPr>
          <w:rFonts w:ascii="Garamond" w:hAnsi="Garamond"/>
          <w:lang w:val="pt-PT"/>
        </w:rPr>
        <w:t>, que trabalham no terreno o empoderamento das comunidades e conseguem chegar aos grupos mais vulneráveis</w:t>
      </w:r>
    </w:p>
    <w:p w14:paraId="2A539B56" w14:textId="77777777" w:rsidR="003C36E4" w:rsidRPr="00E44D82" w:rsidRDefault="003C36E4"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A</w:t>
      </w:r>
      <w:r>
        <w:rPr>
          <w:rFonts w:ascii="Garamond" w:hAnsi="Garamond"/>
          <w:lang w:val="pt-PT"/>
        </w:rPr>
        <w:t xml:space="preserve">umentar </w:t>
      </w:r>
      <w:r w:rsidRPr="00E44D82">
        <w:rPr>
          <w:rFonts w:ascii="Garamond" w:hAnsi="Garamond"/>
          <w:lang w:val="pt-PT"/>
        </w:rPr>
        <w:t>a implementação a nível descentralizado de acordo com as realidades locais</w:t>
      </w:r>
    </w:p>
    <w:p w14:paraId="4AA995EA" w14:textId="141FF4FB" w:rsidR="00E44D82" w:rsidRPr="00E44D82" w:rsidRDefault="00E44D82"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Trabalhar a mudança do comportamento e a mentalidade das pessoas</w:t>
      </w:r>
      <w:r w:rsidR="00065B4A">
        <w:rPr>
          <w:rFonts w:ascii="Garamond" w:hAnsi="Garamond"/>
          <w:lang w:val="pt-PT"/>
        </w:rPr>
        <w:t>, com foco em grupos específicos</w:t>
      </w:r>
    </w:p>
    <w:p w14:paraId="25E1DB95" w14:textId="77777777" w:rsidR="003C36E4" w:rsidRDefault="00E44D82" w:rsidP="002A62A2">
      <w:pPr>
        <w:pStyle w:val="PargrafodaLista"/>
        <w:numPr>
          <w:ilvl w:val="0"/>
          <w:numId w:val="66"/>
        </w:numPr>
        <w:autoSpaceDE w:val="0"/>
        <w:autoSpaceDN w:val="0"/>
        <w:adjustRightInd w:val="0"/>
        <w:jc w:val="both"/>
        <w:rPr>
          <w:rFonts w:ascii="Garamond" w:hAnsi="Garamond"/>
        </w:rPr>
      </w:pPr>
      <w:proofErr w:type="spellStart"/>
      <w:r>
        <w:rPr>
          <w:rFonts w:ascii="Garamond" w:hAnsi="Garamond"/>
        </w:rPr>
        <w:t>Fomentar</w:t>
      </w:r>
      <w:proofErr w:type="spellEnd"/>
      <w:r>
        <w:rPr>
          <w:rFonts w:ascii="Garamond" w:hAnsi="Garamond"/>
        </w:rPr>
        <w:t xml:space="preserve"> </w:t>
      </w:r>
      <w:proofErr w:type="spellStart"/>
      <w:r>
        <w:rPr>
          <w:rFonts w:ascii="Garamond" w:hAnsi="Garamond"/>
        </w:rPr>
        <w:t>novas</w:t>
      </w:r>
      <w:proofErr w:type="spellEnd"/>
      <w:r>
        <w:rPr>
          <w:rFonts w:ascii="Garamond" w:hAnsi="Garamond"/>
        </w:rPr>
        <w:t xml:space="preserve"> </w:t>
      </w:r>
      <w:proofErr w:type="spellStart"/>
      <w:r>
        <w:rPr>
          <w:rFonts w:ascii="Garamond" w:hAnsi="Garamond"/>
        </w:rPr>
        <w:t>parcerias</w:t>
      </w:r>
      <w:proofErr w:type="spellEnd"/>
    </w:p>
    <w:p w14:paraId="1807B805" w14:textId="525976B7" w:rsidR="00E44D82" w:rsidRPr="003C36E4" w:rsidRDefault="003C36E4" w:rsidP="002A62A2">
      <w:pPr>
        <w:pStyle w:val="PargrafodaLista"/>
        <w:numPr>
          <w:ilvl w:val="0"/>
          <w:numId w:val="66"/>
        </w:numPr>
        <w:autoSpaceDE w:val="0"/>
        <w:autoSpaceDN w:val="0"/>
        <w:adjustRightInd w:val="0"/>
        <w:jc w:val="both"/>
        <w:rPr>
          <w:rFonts w:ascii="Garamond" w:hAnsi="Garamond"/>
          <w:lang w:val="pt-PT"/>
        </w:rPr>
      </w:pPr>
      <w:r w:rsidRPr="00E44D82">
        <w:rPr>
          <w:rFonts w:ascii="Garamond" w:hAnsi="Garamond"/>
          <w:lang w:val="pt-PT"/>
        </w:rPr>
        <w:t xml:space="preserve">Sistematizar o </w:t>
      </w:r>
      <w:proofErr w:type="spellStart"/>
      <w:r w:rsidRPr="00E44D82">
        <w:rPr>
          <w:rFonts w:ascii="Garamond" w:hAnsi="Garamond"/>
          <w:lang w:val="pt-PT"/>
        </w:rPr>
        <w:t>S&amp;A</w:t>
      </w:r>
      <w:proofErr w:type="spellEnd"/>
      <w:r w:rsidRPr="00E44D82">
        <w:rPr>
          <w:rFonts w:ascii="Garamond" w:hAnsi="Garamond"/>
          <w:lang w:val="pt-PT"/>
        </w:rPr>
        <w:t xml:space="preserve"> e </w:t>
      </w:r>
      <w:r w:rsidR="008C7F91">
        <w:rPr>
          <w:rFonts w:ascii="Garamond" w:hAnsi="Garamond"/>
          <w:lang w:val="pt-PT"/>
        </w:rPr>
        <w:t xml:space="preserve">a </w:t>
      </w:r>
      <w:r w:rsidRPr="00E44D82">
        <w:rPr>
          <w:rFonts w:ascii="Garamond" w:hAnsi="Garamond"/>
          <w:lang w:val="pt-PT"/>
        </w:rPr>
        <w:t>aprendizagem</w:t>
      </w:r>
      <w:r w:rsidR="008C7F91">
        <w:rPr>
          <w:rFonts w:ascii="Garamond" w:hAnsi="Garamond"/>
          <w:lang w:val="pt-PT"/>
        </w:rPr>
        <w:t xml:space="preserve"> (lições aprendidas e boas práticas)</w:t>
      </w:r>
      <w:r w:rsidR="00E44D82" w:rsidRPr="003C36E4">
        <w:rPr>
          <w:rFonts w:ascii="Garamond" w:hAnsi="Garamond"/>
          <w:lang w:val="pt-PT"/>
        </w:rPr>
        <w:t xml:space="preserve"> </w:t>
      </w:r>
    </w:p>
    <w:p w14:paraId="459CE429" w14:textId="2EE9C6E6" w:rsidR="007553B5" w:rsidRDefault="007553B5" w:rsidP="007553B5">
      <w:pPr>
        <w:spacing w:line="259" w:lineRule="auto"/>
        <w:jc w:val="both"/>
        <w:rPr>
          <w:rFonts w:ascii="Garamond" w:hAnsi="Garamond"/>
          <w:lang w:val="pt-PT"/>
        </w:rPr>
      </w:pPr>
    </w:p>
    <w:p w14:paraId="59803367" w14:textId="77777777" w:rsidR="007553B5" w:rsidRPr="007553B5" w:rsidRDefault="007553B5" w:rsidP="007553B5">
      <w:pPr>
        <w:spacing w:line="259" w:lineRule="auto"/>
        <w:jc w:val="both"/>
        <w:rPr>
          <w:rFonts w:ascii="Garamond" w:hAnsi="Garamond"/>
          <w:lang w:val="pt-PT"/>
        </w:rPr>
      </w:pPr>
    </w:p>
    <w:p w14:paraId="6B1C8E61" w14:textId="2643C28D" w:rsidR="007553B5" w:rsidRPr="007553B5" w:rsidRDefault="007553B5" w:rsidP="007553B5">
      <w:pPr>
        <w:spacing w:after="160" w:line="276" w:lineRule="auto"/>
        <w:jc w:val="both"/>
        <w:rPr>
          <w:rFonts w:ascii="Garamond" w:hAnsi="Garamond" w:cs="Times New Roman"/>
          <w:lang w:val="pt-PT"/>
        </w:rPr>
      </w:pPr>
    </w:p>
    <w:p w14:paraId="5E5F50B6" w14:textId="5EF3429A" w:rsidR="00761DBD" w:rsidRDefault="00761DBD">
      <w:pPr>
        <w:rPr>
          <w:rFonts w:ascii="Garamond" w:hAnsi="Garamond" w:cs="Times New Roman"/>
          <w:lang w:val="pt-PT"/>
        </w:rPr>
      </w:pPr>
      <w:r>
        <w:rPr>
          <w:rFonts w:ascii="Garamond" w:hAnsi="Garamond" w:cs="Times New Roman"/>
          <w:lang w:val="pt-PT"/>
        </w:rPr>
        <w:br w:type="page"/>
      </w:r>
    </w:p>
    <w:p w14:paraId="34E1C61D" w14:textId="35130613" w:rsidR="00F1265A" w:rsidRPr="00360AD2" w:rsidRDefault="00F1265A" w:rsidP="00360AD2">
      <w:pPr>
        <w:pStyle w:val="Ttulo1"/>
        <w:rPr>
          <w:rFonts w:ascii="Garamond" w:hAnsi="Garamond"/>
          <w:bCs w:val="0"/>
          <w:sz w:val="28"/>
          <w:szCs w:val="28"/>
          <w:lang w:val="pt-PT"/>
        </w:rPr>
      </w:pPr>
      <w:bookmarkStart w:id="19" w:name="_Toc32858124"/>
      <w:r w:rsidRPr="00360AD2">
        <w:rPr>
          <w:rFonts w:ascii="Garamond" w:hAnsi="Garamond"/>
          <w:bCs w:val="0"/>
          <w:sz w:val="28"/>
          <w:szCs w:val="28"/>
          <w:lang w:val="pt-PT"/>
        </w:rPr>
        <w:t>PARTE III – QUADRO DE INTERVEN</w:t>
      </w:r>
      <w:r w:rsidR="001E599D" w:rsidRPr="00360AD2">
        <w:rPr>
          <w:rFonts w:ascii="Garamond" w:hAnsi="Garamond"/>
          <w:bCs w:val="0"/>
          <w:sz w:val="28"/>
          <w:szCs w:val="28"/>
          <w:lang w:val="pt-PT"/>
        </w:rPr>
        <w:t>ÇÃO</w:t>
      </w:r>
      <w:r w:rsidRPr="00360AD2">
        <w:rPr>
          <w:rFonts w:ascii="Garamond" w:hAnsi="Garamond"/>
          <w:bCs w:val="0"/>
          <w:sz w:val="28"/>
          <w:szCs w:val="28"/>
          <w:lang w:val="pt-PT"/>
        </w:rPr>
        <w:t xml:space="preserve"> – </w:t>
      </w:r>
      <w:proofErr w:type="spellStart"/>
      <w:r w:rsidRPr="00360AD2">
        <w:rPr>
          <w:rFonts w:ascii="Garamond" w:hAnsi="Garamond"/>
          <w:bCs w:val="0"/>
          <w:sz w:val="28"/>
          <w:szCs w:val="28"/>
          <w:lang w:val="pt-PT"/>
        </w:rPr>
        <w:t>PNIG</w:t>
      </w:r>
      <w:proofErr w:type="spellEnd"/>
      <w:r w:rsidRPr="00360AD2">
        <w:rPr>
          <w:rFonts w:ascii="Garamond" w:hAnsi="Garamond"/>
          <w:bCs w:val="0"/>
          <w:sz w:val="28"/>
          <w:szCs w:val="28"/>
          <w:lang w:val="pt-PT"/>
        </w:rPr>
        <w:t xml:space="preserve"> 20</w:t>
      </w:r>
      <w:r w:rsidR="00310CDD">
        <w:rPr>
          <w:rFonts w:ascii="Garamond" w:hAnsi="Garamond"/>
          <w:bCs w:val="0"/>
          <w:sz w:val="28"/>
          <w:szCs w:val="28"/>
          <w:lang w:val="pt-PT"/>
        </w:rPr>
        <w:t>20</w:t>
      </w:r>
      <w:r w:rsidRPr="00360AD2">
        <w:rPr>
          <w:rFonts w:ascii="Garamond" w:hAnsi="Garamond"/>
          <w:bCs w:val="0"/>
          <w:sz w:val="28"/>
          <w:szCs w:val="28"/>
          <w:lang w:val="pt-PT"/>
        </w:rPr>
        <w:t>-202</w:t>
      </w:r>
      <w:r w:rsidR="001E599D" w:rsidRPr="00360AD2">
        <w:rPr>
          <w:rFonts w:ascii="Garamond" w:hAnsi="Garamond"/>
          <w:bCs w:val="0"/>
          <w:sz w:val="28"/>
          <w:szCs w:val="28"/>
          <w:lang w:val="pt-PT"/>
        </w:rPr>
        <w:t>3</w:t>
      </w:r>
      <w:bookmarkEnd w:id="19"/>
    </w:p>
    <w:p w14:paraId="547A11C3" w14:textId="4D6EDE30" w:rsidR="00F1265A" w:rsidRPr="001E599D" w:rsidRDefault="00F1265A" w:rsidP="001E599D">
      <w:pPr>
        <w:pStyle w:val="Ttulo2"/>
        <w:jc w:val="both"/>
        <w:rPr>
          <w:rFonts w:ascii="Garamond" w:hAnsi="Garamond" w:cs="Times New Roman"/>
          <w:b/>
          <w:color w:val="auto"/>
          <w:sz w:val="28"/>
          <w:szCs w:val="28"/>
          <w:lang w:val="pt-PT"/>
        </w:rPr>
      </w:pPr>
      <w:bookmarkStart w:id="20" w:name="_Toc32858125"/>
      <w:r w:rsidRPr="001E599D">
        <w:rPr>
          <w:rFonts w:ascii="Garamond" w:hAnsi="Garamond" w:cs="Times New Roman"/>
          <w:b/>
          <w:color w:val="auto"/>
          <w:sz w:val="28"/>
          <w:szCs w:val="28"/>
          <w:lang w:val="pt-PT"/>
        </w:rPr>
        <w:t xml:space="preserve">Princípios e </w:t>
      </w:r>
      <w:proofErr w:type="spellStart"/>
      <w:r w:rsidR="001E599D">
        <w:rPr>
          <w:rFonts w:ascii="Garamond" w:hAnsi="Garamond" w:cs="Times New Roman"/>
          <w:b/>
          <w:color w:val="auto"/>
          <w:sz w:val="28"/>
          <w:szCs w:val="28"/>
          <w:lang w:val="pt-PT"/>
        </w:rPr>
        <w:t>d</w:t>
      </w:r>
      <w:r w:rsidRPr="001E599D">
        <w:rPr>
          <w:rFonts w:ascii="Garamond" w:hAnsi="Garamond" w:cs="Times New Roman"/>
          <w:b/>
          <w:color w:val="auto"/>
          <w:sz w:val="28"/>
          <w:szCs w:val="28"/>
          <w:lang w:val="pt-PT"/>
        </w:rPr>
        <w:t>iretrizes</w:t>
      </w:r>
      <w:proofErr w:type="spellEnd"/>
      <w:r w:rsidRPr="001E599D">
        <w:rPr>
          <w:rFonts w:ascii="Garamond" w:hAnsi="Garamond" w:cs="Times New Roman"/>
          <w:b/>
          <w:color w:val="auto"/>
          <w:sz w:val="28"/>
          <w:szCs w:val="28"/>
          <w:lang w:val="pt-PT"/>
        </w:rPr>
        <w:t xml:space="preserve"> orientadores</w:t>
      </w:r>
      <w:bookmarkEnd w:id="20"/>
      <w:r w:rsidRPr="001E599D">
        <w:rPr>
          <w:rFonts w:ascii="Garamond" w:hAnsi="Garamond" w:cs="Times New Roman"/>
          <w:b/>
          <w:color w:val="auto"/>
          <w:sz w:val="28"/>
          <w:szCs w:val="28"/>
          <w:lang w:val="pt-PT"/>
        </w:rPr>
        <w:t xml:space="preserve"> </w:t>
      </w:r>
    </w:p>
    <w:p w14:paraId="6A084DC3" w14:textId="77777777" w:rsidR="00F1265A" w:rsidRDefault="00F1265A" w:rsidP="00F1265A">
      <w:pPr>
        <w:pStyle w:val="PargrafodaLista"/>
        <w:spacing w:line="276" w:lineRule="auto"/>
        <w:jc w:val="both"/>
        <w:rPr>
          <w:rFonts w:ascii="Garamond" w:hAnsi="Garamond" w:cs="Times New Roman"/>
          <w:lang w:val="pt-PT"/>
        </w:rPr>
      </w:pPr>
    </w:p>
    <w:p w14:paraId="5B9C2F91" w14:textId="77777777" w:rsidR="00F1265A" w:rsidRPr="004A58A7" w:rsidRDefault="00F1265A" w:rsidP="00F1265A">
      <w:pPr>
        <w:pStyle w:val="PargrafodaLista"/>
        <w:spacing w:line="276" w:lineRule="auto"/>
        <w:ind w:left="0"/>
        <w:jc w:val="both"/>
        <w:rPr>
          <w:rFonts w:ascii="Garamond" w:hAnsi="Garamond" w:cs="Times New Roman"/>
          <w:b/>
          <w:u w:val="single"/>
          <w:lang w:val="pt-PT"/>
        </w:rPr>
      </w:pPr>
      <w:r w:rsidRPr="004A58A7">
        <w:rPr>
          <w:rFonts w:ascii="Garamond" w:hAnsi="Garamond" w:cs="Times New Roman"/>
          <w:b/>
          <w:u w:val="single"/>
          <w:lang w:val="pt-PT"/>
        </w:rPr>
        <w:t>Princípios</w:t>
      </w:r>
    </w:p>
    <w:p w14:paraId="11D9C5F0" w14:textId="040B31EE" w:rsidR="00F1265A" w:rsidRDefault="00F1265A" w:rsidP="00F1265A">
      <w:pPr>
        <w:pStyle w:val="NormalWeb"/>
        <w:jc w:val="both"/>
        <w:rPr>
          <w:rFonts w:ascii="Garamond" w:hAnsi="Garamond"/>
          <w:lang w:val="pt-PT"/>
        </w:rPr>
      </w:pPr>
      <w:r w:rsidRPr="00C61D89">
        <w:rPr>
          <w:rFonts w:ascii="Garamond" w:hAnsi="Garamond"/>
          <w:b/>
          <w:lang w:val="pt-PT"/>
        </w:rPr>
        <w:t xml:space="preserve">Igualdade </w:t>
      </w:r>
      <w:r>
        <w:rPr>
          <w:rFonts w:ascii="Garamond" w:hAnsi="Garamond"/>
          <w:b/>
          <w:lang w:val="pt-PT"/>
        </w:rPr>
        <w:t xml:space="preserve">de Género </w:t>
      </w:r>
      <w:r w:rsidRPr="00C61D89">
        <w:rPr>
          <w:rFonts w:ascii="Garamond" w:hAnsi="Garamond"/>
          <w:b/>
          <w:lang w:val="pt-PT"/>
        </w:rPr>
        <w:t xml:space="preserve">e Respeito </w:t>
      </w:r>
      <w:proofErr w:type="spellStart"/>
      <w:r w:rsidRPr="00C61D89">
        <w:rPr>
          <w:rFonts w:ascii="Garamond" w:hAnsi="Garamond"/>
          <w:b/>
          <w:lang w:val="pt-PT"/>
        </w:rPr>
        <w:t>pela</w:t>
      </w:r>
      <w:proofErr w:type="spellEnd"/>
      <w:r w:rsidRPr="00C61D89">
        <w:rPr>
          <w:rFonts w:ascii="Garamond" w:hAnsi="Garamond"/>
          <w:b/>
          <w:lang w:val="pt-PT"/>
        </w:rPr>
        <w:t xml:space="preserve"> Diversidade: </w:t>
      </w:r>
      <w:r>
        <w:rPr>
          <w:rFonts w:ascii="Garamond" w:hAnsi="Garamond"/>
          <w:lang w:val="pt-PT"/>
        </w:rPr>
        <w:t>e</w:t>
      </w:r>
      <w:r w:rsidRPr="0076135F">
        <w:rPr>
          <w:rFonts w:ascii="Garamond" w:hAnsi="Garamond"/>
          <w:lang w:val="pt-PT"/>
        </w:rPr>
        <w:t xml:space="preserve">ste princípio esta na base da formulação de políticas para debelar as desigualdades de género, que </w:t>
      </w:r>
      <w:proofErr w:type="spellStart"/>
      <w:r w:rsidRPr="0076135F">
        <w:rPr>
          <w:rFonts w:ascii="Garamond" w:hAnsi="Garamond"/>
          <w:lang w:val="pt-PT"/>
        </w:rPr>
        <w:t>afetam</w:t>
      </w:r>
      <w:proofErr w:type="spellEnd"/>
      <w:r w:rsidRPr="0076135F">
        <w:rPr>
          <w:rFonts w:ascii="Garamond" w:hAnsi="Garamond"/>
          <w:lang w:val="pt-PT"/>
        </w:rPr>
        <w:t xml:space="preserve"> de forma desproporcional as mulheres e meninas. Igualdade de género refere-se à igualdade de direitos, responsabilidades e oportunidades de mulheres e homens e meninas e meninos. Igualdade significa que os direitos, responsabilidades e oportunidades das mulheres e dos homens não dependerão do fato de terem nascido homens ou mulheres. Ela implica que os interesses, necessidades e prioridades de mulheres e homens sejam levados em consideração, reconhecendo a diversidade de diferentes grupos de mulheres e homens. A igualdade de género deve</w:t>
      </w:r>
      <w:r w:rsidR="004A58A7">
        <w:rPr>
          <w:rFonts w:ascii="Garamond" w:hAnsi="Garamond"/>
          <w:lang w:val="pt-PT"/>
        </w:rPr>
        <w:t xml:space="preserve"> se</w:t>
      </w:r>
      <w:r w:rsidRPr="0076135F">
        <w:rPr>
          <w:rFonts w:ascii="Garamond" w:hAnsi="Garamond"/>
          <w:lang w:val="pt-PT"/>
        </w:rPr>
        <w:t xml:space="preserve"> preocupar </w:t>
      </w:r>
      <w:r w:rsidR="004A58A7">
        <w:rPr>
          <w:rFonts w:ascii="Garamond" w:hAnsi="Garamond"/>
          <w:lang w:val="pt-PT"/>
        </w:rPr>
        <w:t xml:space="preserve">com, </w:t>
      </w:r>
      <w:r w:rsidRPr="0076135F">
        <w:rPr>
          <w:rFonts w:ascii="Garamond" w:hAnsi="Garamond"/>
          <w:lang w:val="pt-PT"/>
        </w:rPr>
        <w:t>e envolver plenamente</w:t>
      </w:r>
      <w:r w:rsidR="004A58A7">
        <w:rPr>
          <w:rFonts w:ascii="Garamond" w:hAnsi="Garamond"/>
          <w:lang w:val="pt-PT"/>
        </w:rPr>
        <w:t>,</w:t>
      </w:r>
      <w:r w:rsidRPr="0076135F">
        <w:rPr>
          <w:rFonts w:ascii="Garamond" w:hAnsi="Garamond"/>
          <w:lang w:val="pt-PT"/>
        </w:rPr>
        <w:t xml:space="preserve"> homens e mulheres. A igualdade entre mulheres e homens é vista tanto como uma questão de direitos humanos como uma pré-condição e um indicador do desenvolvimento sustentável centrado nas pessoas. A </w:t>
      </w:r>
      <w:r>
        <w:rPr>
          <w:rFonts w:ascii="Garamond" w:hAnsi="Garamond"/>
          <w:lang w:val="pt-PT"/>
        </w:rPr>
        <w:t xml:space="preserve">promoção </w:t>
      </w:r>
      <w:r w:rsidRPr="0076135F">
        <w:rPr>
          <w:rFonts w:ascii="Garamond" w:hAnsi="Garamond"/>
          <w:lang w:val="pt-PT"/>
        </w:rPr>
        <w:t xml:space="preserve">da igualdade requer o respeito e </w:t>
      </w:r>
      <w:r>
        <w:rPr>
          <w:rFonts w:ascii="Garamond" w:hAnsi="Garamond"/>
          <w:lang w:val="pt-PT"/>
        </w:rPr>
        <w:t>atenção à</w:t>
      </w:r>
      <w:r w:rsidRPr="0076135F">
        <w:rPr>
          <w:rFonts w:ascii="Garamond" w:hAnsi="Garamond"/>
          <w:lang w:val="pt-PT"/>
        </w:rPr>
        <w:t xml:space="preserve"> diversidade da pessoa humana, homens e mulheres, rapazes e meninas, em termos culturais, etários, proveniência geográfica, situação económica, condição de deficiência, orientação sexual, entre outros.</w:t>
      </w:r>
    </w:p>
    <w:p w14:paraId="6A8B501E" w14:textId="1BA0ABD3" w:rsidR="00F1265A" w:rsidRPr="00D45D0D" w:rsidRDefault="00F1265A" w:rsidP="00F1265A">
      <w:pPr>
        <w:jc w:val="both"/>
        <w:rPr>
          <w:rFonts w:ascii="Garamond" w:hAnsi="Garamond" w:cs="Times New Roman"/>
          <w:b/>
          <w:lang w:val="pt-PT"/>
        </w:rPr>
      </w:pPr>
      <w:r w:rsidRPr="00ED2FAA">
        <w:rPr>
          <w:rFonts w:ascii="Garamond" w:hAnsi="Garamond" w:cs="Times New Roman"/>
          <w:b/>
          <w:lang w:val="pt-PT"/>
        </w:rPr>
        <w:t>Empoderamento das Mulheres e Meninas</w:t>
      </w:r>
      <w:r>
        <w:rPr>
          <w:rFonts w:ascii="Garamond" w:hAnsi="Garamond" w:cs="Times New Roman"/>
          <w:b/>
          <w:lang w:val="pt-PT"/>
        </w:rPr>
        <w:t xml:space="preserve">: </w:t>
      </w:r>
      <w:r w:rsidRPr="00ED2FAA">
        <w:rPr>
          <w:rFonts w:ascii="Garamond" w:hAnsi="Garamond" w:cs="Times New Roman"/>
          <w:lang w:val="pt-PT"/>
        </w:rPr>
        <w:t xml:space="preserve">O empoderamento das mulheres </w:t>
      </w:r>
      <w:r>
        <w:rPr>
          <w:rFonts w:ascii="Garamond" w:hAnsi="Garamond" w:cs="Times New Roman"/>
          <w:lang w:val="pt-PT"/>
        </w:rPr>
        <w:t xml:space="preserve">refere-se à capacidade das mulheres e meninas terem autonomia, controle e poder sobre suas próprias vidas. Refere-se a processos de conscientização, autoconfiança, possibilidades de escolhas, acesso e controle sobre recursos e capacidades de agência para mudar e transformar instituições e praticas que reforçam a discriminação e as desigualdades de género. </w:t>
      </w:r>
      <w:r w:rsidRPr="00ED2FAA">
        <w:rPr>
          <w:rFonts w:ascii="Garamond" w:hAnsi="Garamond" w:cs="Times New Roman"/>
          <w:lang w:val="pt-PT"/>
        </w:rPr>
        <w:t xml:space="preserve">As contribuições para promover o empoderamento das mulheres devem </w:t>
      </w:r>
      <w:r>
        <w:rPr>
          <w:rFonts w:ascii="Garamond" w:hAnsi="Garamond" w:cs="Times New Roman"/>
          <w:lang w:val="pt-PT"/>
        </w:rPr>
        <w:t xml:space="preserve">privilegiar a capacitação e </w:t>
      </w:r>
      <w:r w:rsidRPr="00ED2FAA">
        <w:rPr>
          <w:rFonts w:ascii="Garamond" w:hAnsi="Garamond" w:cs="Times New Roman"/>
          <w:lang w:val="pt-PT"/>
        </w:rPr>
        <w:t>facilitar a articulação das mulheres com suas necessidades e prioridades</w:t>
      </w:r>
      <w:r>
        <w:rPr>
          <w:rFonts w:ascii="Garamond" w:hAnsi="Garamond" w:cs="Times New Roman"/>
          <w:lang w:val="pt-PT"/>
        </w:rPr>
        <w:t xml:space="preserve"> e a serem agentes de mudança</w:t>
      </w:r>
      <w:r w:rsidRPr="00ED2FAA">
        <w:rPr>
          <w:rFonts w:ascii="Garamond" w:hAnsi="Garamond" w:cs="Times New Roman"/>
          <w:lang w:val="pt-PT"/>
        </w:rPr>
        <w:t xml:space="preserve">. O </w:t>
      </w:r>
      <w:r>
        <w:rPr>
          <w:rFonts w:ascii="Garamond" w:hAnsi="Garamond" w:cs="Times New Roman"/>
          <w:lang w:val="pt-PT"/>
        </w:rPr>
        <w:t>processo de mudança deve engajar também os homens.</w:t>
      </w:r>
    </w:p>
    <w:p w14:paraId="7D8D771F" w14:textId="77777777" w:rsidR="00F1265A" w:rsidRPr="00ED2FAA" w:rsidRDefault="00F1265A" w:rsidP="00F1265A">
      <w:pPr>
        <w:jc w:val="both"/>
        <w:rPr>
          <w:rFonts w:ascii="Garamond" w:hAnsi="Garamond" w:cs="Times New Roman"/>
          <w:lang w:val="pt-PT"/>
        </w:rPr>
      </w:pPr>
    </w:p>
    <w:p w14:paraId="371FD381" w14:textId="77777777" w:rsidR="00F1265A" w:rsidRPr="001664B9" w:rsidRDefault="00F1265A" w:rsidP="00F1265A">
      <w:pPr>
        <w:jc w:val="both"/>
        <w:rPr>
          <w:rFonts w:ascii="Garamond" w:hAnsi="Garamond" w:cs="Times New Roman"/>
          <w:lang w:val="pt-PT"/>
        </w:rPr>
      </w:pPr>
      <w:r w:rsidRPr="001664B9">
        <w:rPr>
          <w:rFonts w:ascii="Garamond" w:hAnsi="Garamond" w:cs="Times New Roman"/>
          <w:b/>
          <w:lang w:val="pt-PT"/>
        </w:rPr>
        <w:t xml:space="preserve">Justiça Social, Participação e Controle Social: </w:t>
      </w:r>
      <w:r w:rsidRPr="001664B9">
        <w:rPr>
          <w:rFonts w:ascii="Garamond" w:hAnsi="Garamond" w:cs="Times New Roman"/>
          <w:lang w:val="pt-PT"/>
        </w:rPr>
        <w:t xml:space="preserve">é reconhecida a necessidade de redistribuição equitativa de bens e riquezas produzidos </w:t>
      </w:r>
      <w:proofErr w:type="spellStart"/>
      <w:r w:rsidRPr="001664B9">
        <w:rPr>
          <w:rFonts w:ascii="Garamond" w:hAnsi="Garamond" w:cs="Times New Roman"/>
          <w:lang w:val="pt-PT"/>
        </w:rPr>
        <w:t>pela</w:t>
      </w:r>
      <w:proofErr w:type="spellEnd"/>
      <w:r w:rsidRPr="001664B9">
        <w:rPr>
          <w:rFonts w:ascii="Garamond" w:hAnsi="Garamond" w:cs="Times New Roman"/>
          <w:lang w:val="pt-PT"/>
        </w:rPr>
        <w:t xml:space="preserve"> sociedade, na busca do equilíbrio social e da eliminação das desigualdades sociais, que </w:t>
      </w:r>
      <w:proofErr w:type="spellStart"/>
      <w:r w:rsidRPr="001664B9">
        <w:rPr>
          <w:rFonts w:ascii="Garamond" w:hAnsi="Garamond" w:cs="Times New Roman"/>
          <w:lang w:val="pt-PT"/>
        </w:rPr>
        <w:t>afetam</w:t>
      </w:r>
      <w:proofErr w:type="spellEnd"/>
      <w:r w:rsidRPr="001664B9">
        <w:rPr>
          <w:rFonts w:ascii="Garamond" w:hAnsi="Garamond" w:cs="Times New Roman"/>
          <w:lang w:val="pt-PT"/>
        </w:rPr>
        <w:t xml:space="preserve"> de forma especial as mulheres e meninas. Também deve ser privilegiado o diálogo </w:t>
      </w:r>
      <w:r>
        <w:rPr>
          <w:rFonts w:ascii="Garamond" w:hAnsi="Garamond" w:cs="Times New Roman"/>
          <w:lang w:val="pt-PT"/>
        </w:rPr>
        <w:t xml:space="preserve">aberto e </w:t>
      </w:r>
      <w:r w:rsidRPr="001664B9">
        <w:rPr>
          <w:rFonts w:ascii="Garamond" w:hAnsi="Garamond" w:cs="Times New Roman"/>
          <w:lang w:val="pt-PT"/>
        </w:rPr>
        <w:t xml:space="preserve">continuo e a participação social, e em especial de mulheres e de organizações da sociedade civil, no desenvolvimento, implementação, monitorização e a avaliação de medidas que buscam a igualdade de género.    </w:t>
      </w:r>
    </w:p>
    <w:p w14:paraId="5B01BD6D" w14:textId="77777777" w:rsidR="00F1265A" w:rsidRPr="005D5D93" w:rsidRDefault="00F1265A" w:rsidP="00F1265A">
      <w:pPr>
        <w:pStyle w:val="PargrafodaLista"/>
        <w:spacing w:line="276" w:lineRule="auto"/>
        <w:jc w:val="both"/>
        <w:rPr>
          <w:rFonts w:ascii="Garamond" w:hAnsi="Garamond" w:cs="Times New Roman"/>
          <w:highlight w:val="yellow"/>
          <w:lang w:val="pt-PT"/>
        </w:rPr>
      </w:pPr>
    </w:p>
    <w:p w14:paraId="36C17EF8" w14:textId="1BACF508" w:rsidR="00F1265A" w:rsidRPr="004A58A7" w:rsidRDefault="00F1265A" w:rsidP="00F1265A">
      <w:pPr>
        <w:spacing w:line="276" w:lineRule="auto"/>
        <w:jc w:val="both"/>
        <w:rPr>
          <w:rFonts w:ascii="Garamond" w:hAnsi="Garamond" w:cs="Times New Roman"/>
          <w:b/>
          <w:u w:val="single"/>
          <w:lang w:val="pt-PT"/>
        </w:rPr>
      </w:pPr>
      <w:proofErr w:type="spellStart"/>
      <w:r w:rsidRPr="004A58A7">
        <w:rPr>
          <w:rFonts w:ascii="Garamond" w:hAnsi="Garamond" w:cs="Times New Roman"/>
          <w:b/>
          <w:u w:val="single"/>
          <w:lang w:val="pt-PT"/>
        </w:rPr>
        <w:t>Diretrizes</w:t>
      </w:r>
      <w:proofErr w:type="spellEnd"/>
    </w:p>
    <w:p w14:paraId="5540E775" w14:textId="77777777" w:rsidR="004A58A7" w:rsidRPr="005D5D93" w:rsidRDefault="004A58A7" w:rsidP="00F1265A">
      <w:pPr>
        <w:spacing w:line="276" w:lineRule="auto"/>
        <w:jc w:val="both"/>
        <w:rPr>
          <w:rFonts w:ascii="Garamond" w:hAnsi="Garamond" w:cs="Times New Roman"/>
          <w:b/>
          <w:lang w:val="pt-PT"/>
        </w:rPr>
      </w:pPr>
    </w:p>
    <w:p w14:paraId="3830B8DA" w14:textId="4BAE395B" w:rsidR="00F1265A" w:rsidRPr="00D45D0D" w:rsidRDefault="004A58A7" w:rsidP="00F1265A">
      <w:pPr>
        <w:jc w:val="both"/>
        <w:rPr>
          <w:rFonts w:ascii="Garamond" w:hAnsi="Garamond" w:cs="Times New Roman"/>
          <w:b/>
          <w:lang w:val="pt-PT"/>
        </w:rPr>
      </w:pPr>
      <w:proofErr w:type="spellStart"/>
      <w:r>
        <w:rPr>
          <w:rFonts w:ascii="Garamond" w:hAnsi="Garamond" w:cs="Times New Roman"/>
          <w:b/>
          <w:lang w:val="pt-PT"/>
        </w:rPr>
        <w:t>Transversalização</w:t>
      </w:r>
      <w:proofErr w:type="spellEnd"/>
      <w:r w:rsidR="00F1265A" w:rsidRPr="005D5D93">
        <w:rPr>
          <w:rFonts w:ascii="Garamond" w:hAnsi="Garamond" w:cs="Times New Roman"/>
          <w:b/>
          <w:lang w:val="pt-PT"/>
        </w:rPr>
        <w:t xml:space="preserve"> da abordagem de género: </w:t>
      </w:r>
      <w:r>
        <w:rPr>
          <w:rFonts w:ascii="Garamond" w:hAnsi="Garamond" w:cs="Times New Roman"/>
          <w:i/>
          <w:lang w:val="pt-PT"/>
        </w:rPr>
        <w:t>a</w:t>
      </w:r>
      <w:r w:rsidR="00F1265A" w:rsidRPr="00A36E3B">
        <w:rPr>
          <w:rFonts w:ascii="Garamond" w:hAnsi="Garamond" w:cs="Times New Roman"/>
          <w:i/>
          <w:lang w:val="pt-PT"/>
        </w:rPr>
        <w:t xml:space="preserve"> </w:t>
      </w:r>
      <w:proofErr w:type="spellStart"/>
      <w:r w:rsidR="00F1265A" w:rsidRPr="00A36E3B">
        <w:rPr>
          <w:rFonts w:ascii="Garamond" w:hAnsi="Garamond" w:cs="Times New Roman"/>
          <w:i/>
          <w:lang w:val="pt-PT"/>
        </w:rPr>
        <w:t>transversaliza</w:t>
      </w:r>
      <w:r>
        <w:rPr>
          <w:rFonts w:ascii="Garamond" w:hAnsi="Garamond" w:cs="Times New Roman"/>
          <w:i/>
          <w:lang w:val="pt-PT"/>
        </w:rPr>
        <w:t>ção</w:t>
      </w:r>
      <w:proofErr w:type="spellEnd"/>
      <w:r w:rsidR="00F1265A" w:rsidRPr="00A36E3B">
        <w:rPr>
          <w:rFonts w:ascii="Garamond" w:hAnsi="Garamond" w:cs="Times New Roman"/>
          <w:i/>
          <w:lang w:val="pt-PT"/>
        </w:rPr>
        <w:t xml:space="preserve"> da abordagem de género não é um fim em si, mas um meio para atingir um fim. </w:t>
      </w:r>
      <w:r w:rsidR="00F1265A" w:rsidRPr="00ED2FAA">
        <w:rPr>
          <w:rFonts w:ascii="Garamond" w:hAnsi="Garamond" w:cs="Times New Roman"/>
          <w:lang w:val="pt-PT"/>
        </w:rPr>
        <w:t xml:space="preserve">E uma das abordagens privilegiadas </w:t>
      </w:r>
      <w:r>
        <w:rPr>
          <w:rFonts w:ascii="Garamond" w:hAnsi="Garamond" w:cs="Times New Roman"/>
          <w:lang w:val="pt-PT"/>
        </w:rPr>
        <w:t xml:space="preserve">no país, </w:t>
      </w:r>
      <w:r w:rsidR="00F1265A">
        <w:rPr>
          <w:rFonts w:ascii="Garamond" w:hAnsi="Garamond" w:cs="Times New Roman"/>
          <w:lang w:val="pt-PT"/>
        </w:rPr>
        <w:t>as questões de género t</w:t>
      </w:r>
      <w:r>
        <w:rPr>
          <w:rFonts w:ascii="Garamond" w:hAnsi="Garamond" w:cs="Times New Roman"/>
          <w:lang w:val="pt-PT"/>
        </w:rPr>
        <w:t>ê</w:t>
      </w:r>
      <w:r w:rsidR="00F1265A">
        <w:rPr>
          <w:rFonts w:ascii="Garamond" w:hAnsi="Garamond" w:cs="Times New Roman"/>
          <w:lang w:val="pt-PT"/>
        </w:rPr>
        <w:t xml:space="preserve">m sido cada vez mais </w:t>
      </w:r>
      <w:r>
        <w:rPr>
          <w:rFonts w:ascii="Garamond" w:hAnsi="Garamond" w:cs="Times New Roman"/>
          <w:lang w:val="pt-PT"/>
        </w:rPr>
        <w:t>centrais</w:t>
      </w:r>
      <w:r w:rsidR="00F1265A">
        <w:rPr>
          <w:rFonts w:ascii="Garamond" w:hAnsi="Garamond" w:cs="Times New Roman"/>
          <w:lang w:val="pt-PT"/>
        </w:rPr>
        <w:t xml:space="preserve"> nos diferentes processos de planificação estratégica nacional e sectoriais</w:t>
      </w:r>
      <w:r w:rsidR="00F1265A" w:rsidRPr="00ED2FAA">
        <w:rPr>
          <w:rFonts w:ascii="Garamond" w:hAnsi="Garamond" w:cs="Times New Roman"/>
          <w:lang w:val="pt-PT"/>
        </w:rPr>
        <w:t>. Há uma forte convicção de que um compromisso forte e contínuo com a integração da abordagem de género a todos os níveis  é um dos meios mais eficazes para a promoção da igualdade de género em todas as dimensões de intervenção</w:t>
      </w:r>
      <w:r>
        <w:rPr>
          <w:rFonts w:ascii="Garamond" w:hAnsi="Garamond" w:cs="Times New Roman"/>
          <w:lang w:val="pt-PT"/>
        </w:rPr>
        <w:t xml:space="preserve"> - </w:t>
      </w:r>
      <w:r w:rsidR="00F1265A" w:rsidRPr="00ED2FAA">
        <w:rPr>
          <w:rFonts w:ascii="Garamond" w:hAnsi="Garamond" w:cs="Times New Roman"/>
          <w:lang w:val="pt-PT"/>
        </w:rPr>
        <w:t xml:space="preserve"> nas pesquisas e an</w:t>
      </w:r>
      <w:r>
        <w:rPr>
          <w:rFonts w:ascii="Garamond" w:hAnsi="Garamond" w:cs="Times New Roman"/>
          <w:lang w:val="pt-PT"/>
        </w:rPr>
        <w:t>á</w:t>
      </w:r>
      <w:r w:rsidR="00F1265A" w:rsidRPr="00ED2FAA">
        <w:rPr>
          <w:rFonts w:ascii="Garamond" w:hAnsi="Garamond" w:cs="Times New Roman"/>
          <w:lang w:val="pt-PT"/>
        </w:rPr>
        <w:t xml:space="preserve">lises, na legislação, no desenvolvimento de políticas, planos, programas e iniciativas sectoriais e locais, e para assegurar que as mulheres, também como os homens, podem influenciar, participar e beneficiar dos esforços de desenvolvimento. A </w:t>
      </w:r>
      <w:proofErr w:type="spellStart"/>
      <w:r w:rsidR="00F1265A" w:rsidRPr="00ED2FAA">
        <w:rPr>
          <w:rFonts w:ascii="Garamond" w:hAnsi="Garamond" w:cs="Times New Roman"/>
          <w:lang w:val="pt-PT"/>
        </w:rPr>
        <w:t>transversaliza</w:t>
      </w:r>
      <w:r>
        <w:rPr>
          <w:rFonts w:ascii="Garamond" w:hAnsi="Garamond" w:cs="Times New Roman"/>
          <w:lang w:val="pt-PT"/>
        </w:rPr>
        <w:t>çã</w:t>
      </w:r>
      <w:proofErr w:type="spellEnd"/>
      <w:r w:rsidR="00F1265A" w:rsidRPr="00ED2FAA">
        <w:rPr>
          <w:rFonts w:ascii="Garamond" w:hAnsi="Garamond" w:cs="Times New Roman"/>
          <w:lang w:val="pt-PT"/>
        </w:rPr>
        <w:t xml:space="preserve"> da abordagem de género requer a integração da </w:t>
      </w:r>
      <w:proofErr w:type="spellStart"/>
      <w:r w:rsidR="00F1265A" w:rsidRPr="00ED2FAA">
        <w:rPr>
          <w:rFonts w:ascii="Garamond" w:hAnsi="Garamond" w:cs="Times New Roman"/>
          <w:lang w:val="pt-PT"/>
        </w:rPr>
        <w:t>perspetiva</w:t>
      </w:r>
      <w:proofErr w:type="spellEnd"/>
      <w:r w:rsidR="00F1265A" w:rsidRPr="00ED2FAA">
        <w:rPr>
          <w:rFonts w:ascii="Garamond" w:hAnsi="Garamond" w:cs="Times New Roman"/>
          <w:lang w:val="pt-PT"/>
        </w:rPr>
        <w:t xml:space="preserve"> de género em todas as </w:t>
      </w:r>
      <w:proofErr w:type="spellStart"/>
      <w:r w:rsidR="00F1265A" w:rsidRPr="00ED2FAA">
        <w:rPr>
          <w:rFonts w:ascii="Garamond" w:hAnsi="Garamond" w:cs="Times New Roman"/>
          <w:lang w:val="pt-PT"/>
        </w:rPr>
        <w:t>atividades</w:t>
      </w:r>
      <w:proofErr w:type="spellEnd"/>
      <w:r w:rsidR="00F1265A" w:rsidRPr="00ED2FAA">
        <w:rPr>
          <w:rFonts w:ascii="Garamond" w:hAnsi="Garamond" w:cs="Times New Roman"/>
          <w:lang w:val="pt-PT"/>
        </w:rPr>
        <w:t xml:space="preserve"> e em todos os programas de governação nacional e local. </w:t>
      </w:r>
    </w:p>
    <w:p w14:paraId="403044FC" w14:textId="77777777" w:rsidR="00F1265A" w:rsidRPr="00EE7740" w:rsidRDefault="00F1265A" w:rsidP="00F1265A">
      <w:pPr>
        <w:pStyle w:val="PargrafodaLista"/>
        <w:ind w:left="0"/>
        <w:jc w:val="both"/>
        <w:rPr>
          <w:rFonts w:ascii="Garamond" w:hAnsi="Garamond" w:cs="Times New Roman"/>
          <w:lang w:val="pt-PT"/>
        </w:rPr>
      </w:pPr>
    </w:p>
    <w:p w14:paraId="40E9770A" w14:textId="1C9AED4A" w:rsidR="00F1265A" w:rsidRPr="004A58A7" w:rsidRDefault="00F1265A" w:rsidP="00F1265A">
      <w:pPr>
        <w:pStyle w:val="PargrafodaLista"/>
        <w:ind w:left="0"/>
        <w:jc w:val="both"/>
        <w:rPr>
          <w:rFonts w:ascii="Garamond" w:hAnsi="Garamond" w:cs="Arial"/>
          <w:lang w:val="pt-PT"/>
        </w:rPr>
      </w:pPr>
      <w:r>
        <w:rPr>
          <w:rFonts w:ascii="Garamond" w:hAnsi="Garamond" w:cs="Times New Roman"/>
          <w:b/>
          <w:lang w:val="pt-PT"/>
        </w:rPr>
        <w:t xml:space="preserve">Programas e </w:t>
      </w:r>
      <w:proofErr w:type="spellStart"/>
      <w:r>
        <w:rPr>
          <w:rFonts w:ascii="Garamond" w:hAnsi="Garamond" w:cs="Times New Roman"/>
          <w:b/>
          <w:lang w:val="pt-PT"/>
        </w:rPr>
        <w:t>a</w:t>
      </w:r>
      <w:r w:rsidRPr="00CE268E">
        <w:rPr>
          <w:rFonts w:ascii="Garamond" w:hAnsi="Garamond" w:cs="Times New Roman"/>
          <w:b/>
          <w:lang w:val="pt-PT"/>
        </w:rPr>
        <w:t>ções</w:t>
      </w:r>
      <w:proofErr w:type="spellEnd"/>
      <w:r w:rsidRPr="00CE268E">
        <w:rPr>
          <w:rFonts w:ascii="Garamond" w:hAnsi="Garamond" w:cs="Times New Roman"/>
          <w:b/>
          <w:lang w:val="pt-PT"/>
        </w:rPr>
        <w:t xml:space="preserve"> especificas de género</w:t>
      </w:r>
      <w:r>
        <w:rPr>
          <w:rFonts w:ascii="Garamond" w:hAnsi="Garamond" w:cs="Times New Roman"/>
          <w:b/>
          <w:lang w:val="pt-PT"/>
        </w:rPr>
        <w:t>:</w:t>
      </w:r>
      <w:r w:rsidRPr="00CE268E">
        <w:rPr>
          <w:rFonts w:ascii="Arial" w:hAnsi="Arial" w:cs="Arial"/>
          <w:sz w:val="28"/>
          <w:szCs w:val="28"/>
          <w:lang w:val="pt-PT"/>
        </w:rPr>
        <w:t xml:space="preserve"> </w:t>
      </w:r>
      <w:r w:rsidR="004A58A7">
        <w:rPr>
          <w:rFonts w:ascii="Garamond" w:hAnsi="Garamond" w:cs="Arial"/>
          <w:lang w:val="pt-PT"/>
        </w:rPr>
        <w:t>h</w:t>
      </w:r>
      <w:r w:rsidRPr="00EE7740">
        <w:rPr>
          <w:rFonts w:ascii="Garamond" w:hAnsi="Garamond" w:cs="Times New Roman"/>
          <w:lang w:val="pt-PT"/>
        </w:rPr>
        <w:t xml:space="preserve">á uma necessidade contínua, de complementar a estratégia de </w:t>
      </w:r>
      <w:proofErr w:type="spellStart"/>
      <w:r w:rsidRPr="00EE7740">
        <w:rPr>
          <w:rFonts w:ascii="Garamond" w:hAnsi="Garamond" w:cs="Times New Roman"/>
          <w:lang w:val="pt-PT"/>
        </w:rPr>
        <w:t>tran</w:t>
      </w:r>
      <w:r>
        <w:rPr>
          <w:rFonts w:ascii="Garamond" w:hAnsi="Garamond" w:cs="Times New Roman"/>
          <w:lang w:val="pt-PT"/>
        </w:rPr>
        <w:t>s</w:t>
      </w:r>
      <w:r w:rsidRPr="00EE7740">
        <w:rPr>
          <w:rFonts w:ascii="Garamond" w:hAnsi="Garamond" w:cs="Times New Roman"/>
          <w:lang w:val="pt-PT"/>
        </w:rPr>
        <w:t>versaliza</w:t>
      </w:r>
      <w:r w:rsidR="004A58A7">
        <w:rPr>
          <w:rFonts w:ascii="Garamond" w:hAnsi="Garamond" w:cs="Times New Roman"/>
          <w:lang w:val="pt-PT"/>
        </w:rPr>
        <w:t>ção</w:t>
      </w:r>
      <w:proofErr w:type="spellEnd"/>
      <w:r w:rsidRPr="00EE7740">
        <w:rPr>
          <w:rFonts w:ascii="Garamond" w:hAnsi="Garamond" w:cs="Times New Roman"/>
          <w:lang w:val="pt-PT"/>
        </w:rPr>
        <w:t xml:space="preserve"> de género com intervenções </w:t>
      </w:r>
      <w:r>
        <w:rPr>
          <w:rFonts w:ascii="Garamond" w:hAnsi="Garamond" w:cs="Times New Roman"/>
          <w:lang w:val="pt-PT"/>
        </w:rPr>
        <w:t xml:space="preserve">especificas </w:t>
      </w:r>
      <w:proofErr w:type="spellStart"/>
      <w:r w:rsidRPr="00EE7740">
        <w:rPr>
          <w:rFonts w:ascii="Garamond" w:hAnsi="Garamond" w:cs="Times New Roman"/>
          <w:lang w:val="pt-PT"/>
        </w:rPr>
        <w:t>direcionadas</w:t>
      </w:r>
      <w:proofErr w:type="spellEnd"/>
      <w:r w:rsidRPr="00EE7740">
        <w:rPr>
          <w:rFonts w:ascii="Garamond" w:hAnsi="Garamond" w:cs="Times New Roman"/>
          <w:lang w:val="pt-PT"/>
        </w:rPr>
        <w:t xml:space="preserve"> para promover a igualdade de género e o empoderamento das mulheres, particularmente onde há exemplos gritantes de discriminação persistente das mulheres e desigualdade entre mulheres e homens.</w:t>
      </w:r>
      <w:r w:rsidRPr="00EE7740">
        <w:rPr>
          <w:rFonts w:ascii="Garamond" w:hAnsi="Garamond"/>
          <w:lang w:val="pt-PT"/>
        </w:rPr>
        <w:t xml:space="preserve"> Iniciativas espec</w:t>
      </w:r>
      <w:r w:rsidR="004A58A7">
        <w:rPr>
          <w:rFonts w:ascii="Garamond" w:hAnsi="Garamond"/>
          <w:lang w:val="pt-PT"/>
        </w:rPr>
        <w:t>í</w:t>
      </w:r>
      <w:r w:rsidRPr="00EE7740">
        <w:rPr>
          <w:rFonts w:ascii="Garamond" w:hAnsi="Garamond"/>
          <w:lang w:val="pt-PT"/>
        </w:rPr>
        <w:t xml:space="preserve">ficas de género são importantes para reduzir as disparidades existentes e continuam a </w:t>
      </w:r>
      <w:r w:rsidRPr="00EE7740">
        <w:rPr>
          <w:rFonts w:ascii="Garamond" w:hAnsi="Garamond" w:cs="Times New Roman"/>
          <w:lang w:val="pt-PT"/>
        </w:rPr>
        <w:t xml:space="preserve">desempenhar um papel importante na promoção da igualdade de género. Trata-se, portanto, de desenvolver, </w:t>
      </w:r>
      <w:proofErr w:type="spellStart"/>
      <w:r w:rsidRPr="00EE7740">
        <w:rPr>
          <w:rFonts w:ascii="Garamond" w:hAnsi="Garamond" w:cs="Times New Roman"/>
          <w:lang w:val="pt-PT"/>
        </w:rPr>
        <w:t>adotar</w:t>
      </w:r>
      <w:proofErr w:type="spellEnd"/>
      <w:r w:rsidRPr="00EE7740">
        <w:rPr>
          <w:rFonts w:ascii="Garamond" w:hAnsi="Garamond" w:cs="Times New Roman"/>
          <w:lang w:val="pt-PT"/>
        </w:rPr>
        <w:t xml:space="preserve"> e implementar </w:t>
      </w:r>
      <w:r w:rsidRPr="00EE7740">
        <w:rPr>
          <w:rFonts w:ascii="Garamond" w:hAnsi="Garamond" w:cs="Arial"/>
          <w:lang w:val="pt-PT"/>
        </w:rPr>
        <w:t xml:space="preserve">políticas especificamente voltadas para melhorar a situação </w:t>
      </w:r>
      <w:r>
        <w:rPr>
          <w:rFonts w:ascii="Garamond" w:hAnsi="Garamond" w:cs="Arial"/>
          <w:lang w:val="pt-PT"/>
        </w:rPr>
        <w:t>de género</w:t>
      </w:r>
      <w:r w:rsidRPr="00EE7740">
        <w:rPr>
          <w:rFonts w:ascii="Garamond" w:hAnsi="Garamond" w:cs="Arial"/>
          <w:lang w:val="pt-PT"/>
        </w:rPr>
        <w:t xml:space="preserve">. </w:t>
      </w:r>
      <w:r>
        <w:rPr>
          <w:rFonts w:ascii="Garamond" w:hAnsi="Garamond" w:cs="Arial"/>
          <w:lang w:val="pt-PT"/>
        </w:rPr>
        <w:t xml:space="preserve">Essas intervenções, dependendo da situação, </w:t>
      </w:r>
      <w:r w:rsidRPr="000450B4">
        <w:rPr>
          <w:rFonts w:ascii="Garamond" w:hAnsi="Garamond" w:cs="Arial"/>
          <w:lang w:val="pt-PT"/>
        </w:rPr>
        <w:t>podem visar mulheres exclusivamente, homens e mulheres juntos, ou apenas homens, para permitir que participem e beneficiem igualmente dos esforços de desenvolvimento.</w:t>
      </w:r>
      <w:r>
        <w:rPr>
          <w:rFonts w:ascii="Garamond" w:hAnsi="Garamond" w:cs="Arial"/>
          <w:lang w:val="pt-PT"/>
        </w:rPr>
        <w:t xml:space="preserve"> </w:t>
      </w:r>
      <w:r w:rsidRPr="00EE7740">
        <w:rPr>
          <w:rFonts w:ascii="Garamond" w:hAnsi="Garamond" w:cs="Arial"/>
          <w:lang w:val="pt-PT"/>
        </w:rPr>
        <w:t>Trata-se de criar condições gerais para garantir os direitos civis, políticos, económicos, sociais e culturais das mulheres e</w:t>
      </w:r>
      <w:r w:rsidR="004A58A7">
        <w:rPr>
          <w:rFonts w:ascii="Garamond" w:hAnsi="Garamond" w:cs="Arial"/>
          <w:lang w:val="pt-PT"/>
        </w:rPr>
        <w:t xml:space="preserve"> dos</w:t>
      </w:r>
      <w:r w:rsidRPr="00EE7740">
        <w:rPr>
          <w:rFonts w:ascii="Garamond" w:hAnsi="Garamond" w:cs="Arial"/>
          <w:lang w:val="pt-PT"/>
        </w:rPr>
        <w:t xml:space="preserve"> </w:t>
      </w:r>
      <w:r>
        <w:rPr>
          <w:rFonts w:ascii="Garamond" w:hAnsi="Garamond" w:cs="Arial"/>
          <w:lang w:val="pt-PT"/>
        </w:rPr>
        <w:t>homens</w:t>
      </w:r>
      <w:r w:rsidRPr="00EE7740">
        <w:rPr>
          <w:rFonts w:ascii="Garamond" w:hAnsi="Garamond" w:cs="Arial"/>
          <w:lang w:val="pt-PT"/>
        </w:rPr>
        <w:t xml:space="preserve">, e uma vida de dignidade e não-discriminação. </w:t>
      </w:r>
      <w:r w:rsidRPr="00EE7740">
        <w:rPr>
          <w:rFonts w:ascii="Garamond" w:hAnsi="Garamond" w:cs="Times New Roman"/>
          <w:lang w:val="pt-PT"/>
        </w:rPr>
        <w:t xml:space="preserve">Elas são necessárias porque a igualdade de género ainda não foi alcançada e os processos </w:t>
      </w:r>
      <w:r w:rsidR="004A58A7">
        <w:rPr>
          <w:rFonts w:ascii="Garamond" w:hAnsi="Garamond" w:cs="Times New Roman"/>
          <w:lang w:val="pt-PT"/>
        </w:rPr>
        <w:t>de</w:t>
      </w:r>
      <w:r w:rsidRPr="00EE7740">
        <w:rPr>
          <w:rFonts w:ascii="Garamond" w:hAnsi="Garamond" w:cs="Times New Roman"/>
          <w:lang w:val="pt-PT"/>
        </w:rPr>
        <w:t xml:space="preserve"> </w:t>
      </w:r>
      <w:proofErr w:type="spellStart"/>
      <w:r w:rsidR="004A58A7">
        <w:rPr>
          <w:rFonts w:ascii="Garamond" w:hAnsi="Garamond" w:cs="Times New Roman"/>
          <w:lang w:val="pt-PT"/>
        </w:rPr>
        <w:t>transversalização</w:t>
      </w:r>
      <w:proofErr w:type="spellEnd"/>
      <w:r w:rsidRPr="00EE7740">
        <w:rPr>
          <w:rFonts w:ascii="Garamond" w:hAnsi="Garamond" w:cs="Times New Roman"/>
          <w:lang w:val="pt-PT"/>
        </w:rPr>
        <w:t xml:space="preserve"> de género ainda não estão suficientemente desenvolvidos e consolidados. </w:t>
      </w:r>
    </w:p>
    <w:p w14:paraId="578883B0" w14:textId="77777777" w:rsidR="00F1265A" w:rsidRPr="00A36E3B" w:rsidRDefault="00F1265A" w:rsidP="00F1265A">
      <w:pPr>
        <w:pStyle w:val="PargrafodaLista"/>
        <w:ind w:left="0"/>
        <w:jc w:val="both"/>
        <w:rPr>
          <w:rFonts w:ascii="Garamond" w:hAnsi="Garamond" w:cs="Times New Roman"/>
          <w:lang w:val="pt-PT"/>
        </w:rPr>
      </w:pPr>
    </w:p>
    <w:p w14:paraId="0B58CD5F" w14:textId="606845D1" w:rsidR="00F1265A" w:rsidRPr="004A58A7" w:rsidRDefault="00F1265A" w:rsidP="00F1265A">
      <w:pPr>
        <w:pStyle w:val="PargrafodaLista"/>
        <w:ind w:left="0"/>
        <w:jc w:val="both"/>
        <w:rPr>
          <w:rFonts w:ascii="Garamond" w:hAnsi="Garamond" w:cs="Times New Roman"/>
          <w:b/>
          <w:iCs/>
          <w:sz w:val="28"/>
          <w:szCs w:val="28"/>
          <w:lang w:val="pt-PT"/>
        </w:rPr>
      </w:pPr>
      <w:r w:rsidRPr="004A58A7">
        <w:rPr>
          <w:rFonts w:ascii="Garamond" w:hAnsi="Garamond" w:cs="Times New Roman"/>
          <w:b/>
          <w:lang w:val="pt-PT"/>
        </w:rPr>
        <w:t>Medidas Especiais Temporárias</w:t>
      </w:r>
      <w:r w:rsidR="004A58A7">
        <w:rPr>
          <w:rFonts w:ascii="Garamond" w:hAnsi="Garamond" w:cs="Times New Roman"/>
          <w:b/>
          <w:lang w:val="pt-PT"/>
        </w:rPr>
        <w:t>:</w:t>
      </w:r>
      <w:r>
        <w:rPr>
          <w:rStyle w:val="Refdenotaderodap"/>
          <w:rFonts w:ascii="Garamond" w:hAnsi="Garamond" w:cs="Times New Roman"/>
          <w:b/>
          <w:sz w:val="28"/>
          <w:szCs w:val="28"/>
          <w:lang w:val="pt-PT"/>
        </w:rPr>
        <w:footnoteReference w:id="8"/>
      </w:r>
      <w:r w:rsidR="004A58A7">
        <w:rPr>
          <w:rFonts w:ascii="Garamond" w:hAnsi="Garamond" w:cs="Times New Roman"/>
          <w:b/>
          <w:iCs/>
          <w:sz w:val="28"/>
          <w:szCs w:val="28"/>
          <w:lang w:val="pt-PT"/>
        </w:rPr>
        <w:t xml:space="preserve"> </w:t>
      </w:r>
      <w:r w:rsidR="004A58A7">
        <w:rPr>
          <w:rFonts w:ascii="Garamond" w:hAnsi="Garamond" w:cs="Calibri"/>
          <w:color w:val="000000" w:themeColor="text1"/>
          <w:lang w:val="pt-PT"/>
        </w:rPr>
        <w:t>a</w:t>
      </w:r>
      <w:r w:rsidRPr="00866C48">
        <w:rPr>
          <w:rFonts w:ascii="Garamond" w:hAnsi="Garamond" w:cs="Calibri"/>
          <w:color w:val="000000" w:themeColor="text1"/>
          <w:lang w:val="pt-PT"/>
        </w:rPr>
        <w:t xml:space="preserve"> </w:t>
      </w:r>
      <w:proofErr w:type="spellStart"/>
      <w:r w:rsidRPr="00866C48">
        <w:rPr>
          <w:rFonts w:ascii="Garamond" w:hAnsi="Garamond" w:cs="Calibri"/>
          <w:color w:val="000000" w:themeColor="text1"/>
          <w:lang w:val="pt-PT"/>
        </w:rPr>
        <w:t>CEDAW</w:t>
      </w:r>
      <w:proofErr w:type="spellEnd"/>
      <w:r w:rsidRPr="00866C48">
        <w:rPr>
          <w:rFonts w:ascii="Garamond" w:hAnsi="Garamond" w:cs="Calibri"/>
          <w:color w:val="000000" w:themeColor="text1"/>
          <w:lang w:val="pt-PT"/>
        </w:rPr>
        <w:t xml:space="preserve"> considera a aplicação de </w:t>
      </w:r>
      <w:r w:rsidRPr="00866C48">
        <w:rPr>
          <w:rFonts w:ascii="Garamond" w:hAnsi="Garamond" w:cs="Calibri"/>
          <w:i/>
          <w:color w:val="000000" w:themeColor="text1"/>
          <w:lang w:val="pt-PT"/>
        </w:rPr>
        <w:t>medidas especiais temporárias</w:t>
      </w:r>
      <w:r w:rsidRPr="00866C48">
        <w:rPr>
          <w:rFonts w:ascii="Garamond" w:hAnsi="Garamond" w:cs="Calibri"/>
          <w:color w:val="000000" w:themeColor="text1"/>
          <w:lang w:val="pt-PT"/>
        </w:rPr>
        <w:t xml:space="preserve"> (frequentemente referidas como medidas de </w:t>
      </w:r>
      <w:proofErr w:type="spellStart"/>
      <w:r w:rsidRPr="00866C48">
        <w:rPr>
          <w:rFonts w:ascii="Garamond" w:hAnsi="Garamond" w:cs="Calibri"/>
          <w:color w:val="000000" w:themeColor="text1"/>
          <w:lang w:val="pt-PT"/>
        </w:rPr>
        <w:t>ação</w:t>
      </w:r>
      <w:proofErr w:type="spellEnd"/>
      <w:r w:rsidRPr="00866C48">
        <w:rPr>
          <w:rFonts w:ascii="Garamond" w:hAnsi="Garamond" w:cs="Calibri"/>
          <w:color w:val="000000" w:themeColor="text1"/>
          <w:lang w:val="pt-PT"/>
        </w:rPr>
        <w:t xml:space="preserve"> afirmativa, de discriminação positiva, entre outros termos) como um</w:t>
      </w:r>
      <w:r>
        <w:rPr>
          <w:rFonts w:ascii="Garamond" w:hAnsi="Garamond" w:cs="Calibri"/>
          <w:color w:val="000000" w:themeColor="text1"/>
          <w:lang w:val="pt-PT"/>
        </w:rPr>
        <w:t xml:space="preserve">a das formas </w:t>
      </w:r>
      <w:r w:rsidRPr="00866C48">
        <w:rPr>
          <w:rFonts w:ascii="Garamond" w:hAnsi="Garamond" w:cs="Calibri"/>
          <w:color w:val="000000" w:themeColor="text1"/>
          <w:lang w:val="pt-PT"/>
        </w:rPr>
        <w:t xml:space="preserve">para alcançar a igualdade de facto, ou substantiva, entre mulheres e homens. </w:t>
      </w:r>
      <w:r w:rsidRPr="00781560">
        <w:rPr>
          <w:rFonts w:ascii="Garamond" w:hAnsi="Garamond" w:cs="Calibri"/>
          <w:color w:val="000000" w:themeColor="text1"/>
          <w:lang w:val="pt-PT"/>
        </w:rPr>
        <w:t xml:space="preserve">Mais do que </w:t>
      </w:r>
      <w:r>
        <w:rPr>
          <w:rFonts w:ascii="Garamond" w:hAnsi="Garamond" w:cs="Calibri"/>
          <w:color w:val="000000" w:themeColor="text1"/>
          <w:lang w:val="pt-PT"/>
        </w:rPr>
        <w:t xml:space="preserve">uma </w:t>
      </w:r>
      <w:r w:rsidRPr="00781560">
        <w:rPr>
          <w:rFonts w:ascii="Garamond" w:hAnsi="Garamond" w:cs="Calibri"/>
          <w:color w:val="000000" w:themeColor="text1"/>
          <w:lang w:val="pt-PT"/>
        </w:rPr>
        <w:t>excepção à norma de não d</w:t>
      </w:r>
      <w:r>
        <w:rPr>
          <w:rFonts w:ascii="Garamond" w:hAnsi="Garamond" w:cs="Calibri"/>
          <w:color w:val="000000" w:themeColor="text1"/>
          <w:lang w:val="pt-PT"/>
        </w:rPr>
        <w:t>i</w:t>
      </w:r>
      <w:r w:rsidRPr="00781560">
        <w:rPr>
          <w:rFonts w:ascii="Garamond" w:hAnsi="Garamond" w:cs="Calibri"/>
          <w:color w:val="000000" w:themeColor="text1"/>
          <w:lang w:val="pt-PT"/>
        </w:rPr>
        <w:t>scriminação, são uma estratégia para alcançar a igualdade</w:t>
      </w:r>
      <w:r>
        <w:rPr>
          <w:rFonts w:ascii="Garamond" w:hAnsi="Garamond" w:cs="Calibri"/>
          <w:color w:val="000000" w:themeColor="text1"/>
          <w:lang w:val="pt-PT"/>
        </w:rPr>
        <w:t>.</w:t>
      </w:r>
    </w:p>
    <w:p w14:paraId="68CB7C8B" w14:textId="77777777" w:rsidR="00F1265A" w:rsidRPr="00866C48" w:rsidRDefault="00F1265A" w:rsidP="00F1265A">
      <w:pPr>
        <w:pStyle w:val="NormalWeb"/>
        <w:shd w:val="clear" w:color="auto" w:fill="FBE4D5" w:themeFill="accent2" w:themeFillTint="33"/>
        <w:spacing w:before="0" w:beforeAutospacing="0" w:after="0" w:afterAutospacing="0"/>
        <w:ind w:left="567" w:right="515"/>
        <w:jc w:val="both"/>
        <w:rPr>
          <w:rFonts w:ascii="Garamond" w:eastAsiaTheme="minorHAnsi" w:hAnsi="Garamond" w:cs="Calibri"/>
          <w:b/>
          <w:bCs/>
          <w:color w:val="000000" w:themeColor="text1"/>
          <w:lang w:val="pt-PT"/>
        </w:rPr>
      </w:pPr>
      <w:r w:rsidRPr="00866C48">
        <w:rPr>
          <w:rFonts w:ascii="Garamond" w:eastAsiaTheme="minorHAnsi" w:hAnsi="Garamond" w:cs="Calibri"/>
          <w:b/>
          <w:bCs/>
          <w:color w:val="000000" w:themeColor="text1"/>
          <w:lang w:val="pt-PT"/>
        </w:rPr>
        <w:t>Artigo 4º</w:t>
      </w:r>
    </w:p>
    <w:p w14:paraId="6175C1D4" w14:textId="77777777" w:rsidR="00F1265A" w:rsidRPr="00866C48" w:rsidRDefault="00F1265A" w:rsidP="00152725">
      <w:pPr>
        <w:pStyle w:val="NormalWeb"/>
        <w:numPr>
          <w:ilvl w:val="0"/>
          <w:numId w:val="7"/>
        </w:numPr>
        <w:shd w:val="clear" w:color="auto" w:fill="FBE4D5" w:themeFill="accent2" w:themeFillTint="33"/>
        <w:tabs>
          <w:tab w:val="left" w:pos="709"/>
          <w:tab w:val="left" w:pos="851"/>
        </w:tabs>
        <w:spacing w:before="0" w:beforeAutospacing="0" w:after="0" w:afterAutospacing="0"/>
        <w:ind w:left="567" w:right="516" w:firstLine="0"/>
        <w:jc w:val="both"/>
        <w:rPr>
          <w:rFonts w:ascii="Garamond" w:eastAsiaTheme="minorHAnsi" w:hAnsi="Garamond" w:cs="Calibri"/>
          <w:color w:val="000000" w:themeColor="text1"/>
          <w:lang w:val="pt-PT"/>
        </w:rPr>
      </w:pPr>
      <w:r w:rsidRPr="00866C48">
        <w:rPr>
          <w:rFonts w:ascii="Garamond" w:eastAsiaTheme="minorHAnsi" w:hAnsi="Garamond" w:cs="Calibri"/>
          <w:color w:val="000000" w:themeColor="text1"/>
          <w:lang w:val="pt-PT"/>
        </w:rPr>
        <w:t xml:space="preserve">A </w:t>
      </w:r>
      <w:proofErr w:type="spellStart"/>
      <w:r w:rsidRPr="00866C48">
        <w:rPr>
          <w:rFonts w:ascii="Garamond" w:eastAsiaTheme="minorHAnsi" w:hAnsi="Garamond" w:cs="Calibri"/>
          <w:color w:val="000000" w:themeColor="text1"/>
          <w:lang w:val="pt-PT"/>
        </w:rPr>
        <w:t>adoção</w:t>
      </w:r>
      <w:proofErr w:type="spellEnd"/>
      <w:r w:rsidRPr="00866C48">
        <w:rPr>
          <w:rFonts w:ascii="Garamond" w:eastAsiaTheme="minorHAnsi" w:hAnsi="Garamond" w:cs="Calibri"/>
          <w:color w:val="000000" w:themeColor="text1"/>
          <w:lang w:val="pt-PT"/>
        </w:rPr>
        <w:t xml:space="preserve"> </w:t>
      </w:r>
      <w:proofErr w:type="spellStart"/>
      <w:r w:rsidRPr="00866C48">
        <w:rPr>
          <w:rFonts w:ascii="Garamond" w:eastAsiaTheme="minorHAnsi" w:hAnsi="Garamond" w:cs="Calibri"/>
          <w:color w:val="000000" w:themeColor="text1"/>
          <w:lang w:val="pt-PT"/>
        </w:rPr>
        <w:t>pelos</w:t>
      </w:r>
      <w:proofErr w:type="spellEnd"/>
      <w:r w:rsidRPr="00866C48">
        <w:rPr>
          <w:rFonts w:ascii="Garamond" w:eastAsiaTheme="minorHAnsi" w:hAnsi="Garamond" w:cs="Calibri"/>
          <w:color w:val="000000" w:themeColor="text1"/>
          <w:lang w:val="pt-PT"/>
        </w:rPr>
        <w:t xml:space="preserve"> Estados-partes de medidas especiais de </w:t>
      </w:r>
      <w:proofErr w:type="spellStart"/>
      <w:r w:rsidRPr="00866C48">
        <w:rPr>
          <w:rFonts w:ascii="Garamond" w:eastAsiaTheme="minorHAnsi" w:hAnsi="Garamond" w:cs="Calibri"/>
          <w:color w:val="000000" w:themeColor="text1"/>
          <w:lang w:val="pt-PT"/>
        </w:rPr>
        <w:t>caráter</w:t>
      </w:r>
      <w:proofErr w:type="spellEnd"/>
      <w:r w:rsidRPr="00866C48">
        <w:rPr>
          <w:rFonts w:ascii="Garamond" w:eastAsiaTheme="minorHAnsi" w:hAnsi="Garamond" w:cs="Calibri"/>
          <w:color w:val="000000" w:themeColor="text1"/>
          <w:lang w:val="pt-PT"/>
        </w:rPr>
        <w:t xml:space="preserve"> temporário destinadas a </w:t>
      </w:r>
      <w:r w:rsidRPr="00866C48">
        <w:rPr>
          <w:rFonts w:ascii="Garamond" w:eastAsiaTheme="minorHAnsi" w:hAnsi="Garamond" w:cs="Calibri"/>
          <w:b/>
          <w:bCs/>
          <w:color w:val="000000" w:themeColor="text1"/>
          <w:lang w:val="pt-PT"/>
        </w:rPr>
        <w:t>acelerar a igualdade de fato</w:t>
      </w:r>
      <w:r w:rsidRPr="00866C48">
        <w:rPr>
          <w:rFonts w:ascii="Garamond" w:eastAsiaTheme="minorHAnsi" w:hAnsi="Garamond" w:cs="Calibri"/>
          <w:color w:val="000000" w:themeColor="text1"/>
          <w:lang w:val="pt-PT"/>
        </w:rPr>
        <w:t xml:space="preserve"> entre o homem e a mulher </w:t>
      </w:r>
      <w:r w:rsidRPr="00866C48">
        <w:rPr>
          <w:rFonts w:ascii="Garamond" w:eastAsiaTheme="minorHAnsi" w:hAnsi="Garamond" w:cs="Calibri"/>
          <w:b/>
          <w:bCs/>
          <w:color w:val="000000" w:themeColor="text1"/>
          <w:lang w:val="pt-PT"/>
        </w:rPr>
        <w:t>não se considerará discriminação</w:t>
      </w:r>
      <w:r w:rsidRPr="00866C48">
        <w:rPr>
          <w:rFonts w:ascii="Garamond" w:eastAsiaTheme="minorHAnsi" w:hAnsi="Garamond" w:cs="Calibri"/>
          <w:color w:val="000000" w:themeColor="text1"/>
          <w:lang w:val="pt-PT"/>
        </w:rPr>
        <w:t xml:space="preserve"> na forma definida nesta Convenção, mas de nenhuma maneira implicará, como consequência, a manutenção de normas desiguais ou separadas; essas </w:t>
      </w:r>
      <w:r w:rsidRPr="00866C48">
        <w:rPr>
          <w:rFonts w:ascii="Garamond" w:eastAsiaTheme="minorHAnsi" w:hAnsi="Garamond" w:cs="Calibri"/>
          <w:b/>
          <w:bCs/>
          <w:color w:val="000000" w:themeColor="text1"/>
          <w:lang w:val="pt-PT"/>
        </w:rPr>
        <w:t xml:space="preserve">medidas cessarão quando os </w:t>
      </w:r>
      <w:proofErr w:type="spellStart"/>
      <w:r w:rsidRPr="00866C48">
        <w:rPr>
          <w:rFonts w:ascii="Garamond" w:eastAsiaTheme="minorHAnsi" w:hAnsi="Garamond" w:cs="Calibri"/>
          <w:b/>
          <w:bCs/>
          <w:color w:val="000000" w:themeColor="text1"/>
          <w:lang w:val="pt-PT"/>
        </w:rPr>
        <w:t>objetivos</w:t>
      </w:r>
      <w:proofErr w:type="spellEnd"/>
      <w:r w:rsidRPr="00866C48">
        <w:rPr>
          <w:rFonts w:ascii="Garamond" w:eastAsiaTheme="minorHAnsi" w:hAnsi="Garamond" w:cs="Calibri"/>
          <w:b/>
          <w:bCs/>
          <w:color w:val="000000" w:themeColor="text1"/>
          <w:lang w:val="pt-PT"/>
        </w:rPr>
        <w:t xml:space="preserve"> de igualdade de oportunidade e tratamento houverem sido alcançados</w:t>
      </w:r>
      <w:r w:rsidRPr="00866C48">
        <w:rPr>
          <w:rFonts w:ascii="Garamond" w:eastAsiaTheme="minorHAnsi" w:hAnsi="Garamond" w:cs="Calibri"/>
          <w:color w:val="000000" w:themeColor="text1"/>
          <w:lang w:val="pt-PT"/>
        </w:rPr>
        <w:t>.</w:t>
      </w:r>
    </w:p>
    <w:p w14:paraId="7D99B9FA" w14:textId="77777777" w:rsidR="00F1265A" w:rsidRPr="002F0DF5" w:rsidRDefault="00F1265A" w:rsidP="00F1265A">
      <w:pPr>
        <w:pStyle w:val="Default"/>
        <w:jc w:val="both"/>
        <w:rPr>
          <w:rFonts w:ascii="Garamond" w:hAnsi="Garamond"/>
        </w:rPr>
      </w:pPr>
      <w:r w:rsidRPr="002F0DF5">
        <w:rPr>
          <w:rFonts w:ascii="Garamond" w:hAnsi="Garamond"/>
        </w:rPr>
        <w:t xml:space="preserve">As medidas especiais temporárias são: </w:t>
      </w:r>
    </w:p>
    <w:p w14:paraId="0D80B578" w14:textId="77777777" w:rsidR="00F1265A" w:rsidRPr="00781560" w:rsidRDefault="00F1265A" w:rsidP="00F1265A">
      <w:pPr>
        <w:pStyle w:val="Default"/>
        <w:jc w:val="both"/>
        <w:rPr>
          <w:rFonts w:ascii="Garamond" w:hAnsi="Garamond"/>
        </w:rPr>
      </w:pPr>
      <w:r w:rsidRPr="00C0147E">
        <w:rPr>
          <w:rFonts w:ascii="Garamond" w:hAnsi="Garamond"/>
          <w:u w:val="single"/>
        </w:rPr>
        <w:t>Temporárias</w:t>
      </w:r>
      <w:r w:rsidRPr="00781560">
        <w:rPr>
          <w:rFonts w:ascii="Garamond" w:hAnsi="Garamond"/>
        </w:rPr>
        <w:t xml:space="preserve"> </w:t>
      </w:r>
      <w:r>
        <w:rPr>
          <w:rFonts w:ascii="Garamond" w:hAnsi="Garamond"/>
        </w:rPr>
        <w:t xml:space="preserve">porque </w:t>
      </w:r>
      <w:r w:rsidRPr="00781560">
        <w:rPr>
          <w:rFonts w:ascii="Garamond" w:hAnsi="Garamond"/>
        </w:rPr>
        <w:t>devem</w:t>
      </w:r>
      <w:r>
        <w:rPr>
          <w:rFonts w:ascii="Garamond" w:hAnsi="Garamond"/>
        </w:rPr>
        <w:t xml:space="preserve"> </w:t>
      </w:r>
      <w:r w:rsidRPr="00781560">
        <w:rPr>
          <w:rFonts w:ascii="Garamond" w:hAnsi="Garamond"/>
        </w:rPr>
        <w:t xml:space="preserve">ser descontinuadas quando os resultados desejados tiverem sido alcançados e mantidos </w:t>
      </w:r>
      <w:r>
        <w:rPr>
          <w:rFonts w:ascii="Garamond" w:hAnsi="Garamond"/>
        </w:rPr>
        <w:t>por certo tempo</w:t>
      </w:r>
      <w:r w:rsidRPr="00781560">
        <w:rPr>
          <w:rFonts w:ascii="Garamond" w:hAnsi="Garamond"/>
        </w:rPr>
        <w:t xml:space="preserve">. </w:t>
      </w:r>
      <w:r>
        <w:rPr>
          <w:rFonts w:ascii="Garamond" w:hAnsi="Garamond"/>
        </w:rPr>
        <w:t>Assim, o c</w:t>
      </w:r>
      <w:r w:rsidRPr="00781560">
        <w:rPr>
          <w:rFonts w:ascii="Garamond" w:hAnsi="Garamond"/>
        </w:rPr>
        <w:t>ritério para terminar, mais do que o tempo, é o sucesso da medida (ter atingido objectivo que foi definido).</w:t>
      </w:r>
      <w:r w:rsidRPr="00781560">
        <w:rPr>
          <w:rFonts w:ascii="Garamond" w:hAnsi="Garamond" w:cs="Calibri"/>
          <w:color w:val="000000" w:themeColor="text1"/>
        </w:rPr>
        <w:t xml:space="preserve"> </w:t>
      </w:r>
      <w:r>
        <w:rPr>
          <w:rFonts w:ascii="Garamond" w:hAnsi="Garamond" w:cs="Calibri"/>
          <w:color w:val="000000" w:themeColor="text1"/>
        </w:rPr>
        <w:t xml:space="preserve">Consequentemente, as medidas especiais temporárias </w:t>
      </w:r>
      <w:r w:rsidRPr="00781560">
        <w:rPr>
          <w:rFonts w:ascii="Garamond" w:hAnsi="Garamond"/>
        </w:rPr>
        <w:t xml:space="preserve">devem incluir metas e </w:t>
      </w:r>
      <w:proofErr w:type="spellStart"/>
      <w:r w:rsidRPr="00781560">
        <w:rPr>
          <w:rFonts w:ascii="Garamond" w:hAnsi="Garamond"/>
        </w:rPr>
        <w:t>objetivos</w:t>
      </w:r>
      <w:proofErr w:type="spellEnd"/>
      <w:r w:rsidRPr="00781560">
        <w:rPr>
          <w:rFonts w:ascii="Garamond" w:hAnsi="Garamond"/>
        </w:rPr>
        <w:t xml:space="preserve"> concretos</w:t>
      </w:r>
      <w:r>
        <w:rPr>
          <w:rFonts w:ascii="Garamond" w:hAnsi="Garamond"/>
        </w:rPr>
        <w:t xml:space="preserve"> </w:t>
      </w:r>
      <w:r w:rsidRPr="00781560">
        <w:rPr>
          <w:rFonts w:ascii="Garamond" w:hAnsi="Garamond"/>
        </w:rPr>
        <w:t xml:space="preserve">e a indicação da instituição responsável </w:t>
      </w:r>
      <w:proofErr w:type="spellStart"/>
      <w:r w:rsidRPr="00781560">
        <w:rPr>
          <w:rFonts w:ascii="Garamond" w:hAnsi="Garamond"/>
        </w:rPr>
        <w:t>pelo</w:t>
      </w:r>
      <w:proofErr w:type="spellEnd"/>
      <w:r w:rsidRPr="00781560">
        <w:rPr>
          <w:rFonts w:ascii="Garamond" w:hAnsi="Garamond"/>
        </w:rPr>
        <w:t xml:space="preserve"> </w:t>
      </w:r>
      <w:r>
        <w:rPr>
          <w:rFonts w:ascii="Garamond" w:hAnsi="Garamond"/>
        </w:rPr>
        <w:t xml:space="preserve">seguimento </w:t>
      </w:r>
      <w:r w:rsidRPr="00781560">
        <w:rPr>
          <w:rFonts w:ascii="Garamond" w:hAnsi="Garamond"/>
        </w:rPr>
        <w:t xml:space="preserve">da implementação </w:t>
      </w:r>
      <w:r>
        <w:rPr>
          <w:rFonts w:ascii="Garamond" w:hAnsi="Garamond"/>
        </w:rPr>
        <w:t xml:space="preserve">da medida </w:t>
      </w:r>
      <w:r w:rsidRPr="00781560">
        <w:rPr>
          <w:rFonts w:ascii="Garamond" w:hAnsi="Garamond"/>
        </w:rPr>
        <w:t xml:space="preserve">e </w:t>
      </w:r>
      <w:r>
        <w:rPr>
          <w:rFonts w:ascii="Garamond" w:hAnsi="Garamond"/>
        </w:rPr>
        <w:t xml:space="preserve">dos </w:t>
      </w:r>
      <w:r w:rsidRPr="00781560">
        <w:rPr>
          <w:rFonts w:ascii="Garamond" w:hAnsi="Garamond"/>
        </w:rPr>
        <w:t>progresso</w:t>
      </w:r>
      <w:r>
        <w:rPr>
          <w:rFonts w:ascii="Garamond" w:hAnsi="Garamond"/>
        </w:rPr>
        <w:t>s alcançados</w:t>
      </w:r>
      <w:r w:rsidRPr="00781560">
        <w:rPr>
          <w:rFonts w:ascii="Garamond" w:hAnsi="Garamond"/>
        </w:rPr>
        <w:t xml:space="preserve">. </w:t>
      </w:r>
      <w:r>
        <w:rPr>
          <w:rFonts w:ascii="Garamond" w:hAnsi="Garamond" w:cs="Calibri"/>
          <w:color w:val="000000" w:themeColor="text1"/>
        </w:rPr>
        <w:t xml:space="preserve"> </w:t>
      </w:r>
    </w:p>
    <w:p w14:paraId="1DBE63A2" w14:textId="77777777" w:rsidR="00F1265A" w:rsidRPr="00781560" w:rsidRDefault="00F1265A" w:rsidP="00F1265A">
      <w:pPr>
        <w:pStyle w:val="Default"/>
        <w:jc w:val="both"/>
        <w:rPr>
          <w:rFonts w:ascii="Garamond" w:hAnsi="Garamond"/>
        </w:rPr>
      </w:pPr>
      <w:r w:rsidRPr="00C0147E">
        <w:rPr>
          <w:rFonts w:ascii="Garamond" w:hAnsi="Garamond"/>
          <w:u w:val="single"/>
        </w:rPr>
        <w:t>Especiais</w:t>
      </w:r>
      <w:r w:rsidRPr="002F0DF5">
        <w:rPr>
          <w:rFonts w:ascii="Garamond" w:hAnsi="Garamond"/>
          <w:b/>
          <w:bCs/>
        </w:rPr>
        <w:t xml:space="preserve"> </w:t>
      </w:r>
      <w:r w:rsidRPr="00781560">
        <w:rPr>
          <w:rFonts w:ascii="Garamond" w:hAnsi="Garamond"/>
        </w:rPr>
        <w:t>no sentido de que se destina</w:t>
      </w:r>
      <w:r>
        <w:rPr>
          <w:rFonts w:ascii="Garamond" w:hAnsi="Garamond"/>
        </w:rPr>
        <w:t>m</w:t>
      </w:r>
      <w:r w:rsidRPr="00781560">
        <w:rPr>
          <w:rFonts w:ascii="Garamond" w:hAnsi="Garamond"/>
        </w:rPr>
        <w:t xml:space="preserve"> a um objectivo específico (não porque as mulheres são especiais, fracas ou vulneráveis).</w:t>
      </w:r>
    </w:p>
    <w:p w14:paraId="2C0109AE" w14:textId="77777777" w:rsidR="00F1265A" w:rsidRDefault="00F1265A" w:rsidP="00F1265A">
      <w:pPr>
        <w:pStyle w:val="Default"/>
        <w:jc w:val="both"/>
        <w:rPr>
          <w:rFonts w:ascii="Garamond" w:hAnsi="Garamond"/>
        </w:rPr>
      </w:pPr>
      <w:r w:rsidRPr="00C0147E">
        <w:rPr>
          <w:rFonts w:ascii="Garamond" w:hAnsi="Garamond"/>
          <w:u w:val="single"/>
        </w:rPr>
        <w:t>Medidas</w:t>
      </w:r>
      <w:r w:rsidRPr="00781560">
        <w:rPr>
          <w:rFonts w:ascii="Garamond" w:hAnsi="Garamond"/>
        </w:rPr>
        <w:t xml:space="preserve"> </w:t>
      </w:r>
      <w:r w:rsidRPr="002F0DF5">
        <w:rPr>
          <w:rFonts w:ascii="Garamond" w:hAnsi="Garamond"/>
        </w:rPr>
        <w:t>engloba uma ampla variedade de medidas legislativas, instrumentos executivos, administrativos e reguladores, políticas e práticas, tais como programas de apoio</w:t>
      </w:r>
      <w:r>
        <w:rPr>
          <w:rFonts w:ascii="Garamond" w:hAnsi="Garamond"/>
        </w:rPr>
        <w:t>,</w:t>
      </w:r>
      <w:r w:rsidRPr="002F0DF5">
        <w:rPr>
          <w:rFonts w:ascii="Garamond" w:hAnsi="Garamond"/>
        </w:rPr>
        <w:t xml:space="preserve"> alocação e/ou realocação de recursos</w:t>
      </w:r>
      <w:r>
        <w:rPr>
          <w:rFonts w:ascii="Garamond" w:hAnsi="Garamond"/>
        </w:rPr>
        <w:t xml:space="preserve">, </w:t>
      </w:r>
      <w:r w:rsidRPr="002F0DF5">
        <w:rPr>
          <w:rFonts w:ascii="Garamond" w:hAnsi="Garamond"/>
        </w:rPr>
        <w:t>tratamento preferencial</w:t>
      </w:r>
      <w:r>
        <w:rPr>
          <w:rFonts w:ascii="Garamond" w:hAnsi="Garamond"/>
        </w:rPr>
        <w:t>,</w:t>
      </w:r>
      <w:r w:rsidRPr="002F0DF5">
        <w:rPr>
          <w:rFonts w:ascii="Garamond" w:hAnsi="Garamond"/>
        </w:rPr>
        <w:t xml:space="preserve"> recrutamento, contratação e promoção </w:t>
      </w:r>
      <w:r>
        <w:rPr>
          <w:rFonts w:ascii="Garamond" w:hAnsi="Garamond"/>
        </w:rPr>
        <w:t xml:space="preserve">direccionados, </w:t>
      </w:r>
      <w:proofErr w:type="spellStart"/>
      <w:r w:rsidRPr="002F0DF5">
        <w:rPr>
          <w:rFonts w:ascii="Garamond" w:hAnsi="Garamond"/>
        </w:rPr>
        <w:t>objetivos</w:t>
      </w:r>
      <w:proofErr w:type="spellEnd"/>
      <w:r w:rsidRPr="002F0DF5">
        <w:rPr>
          <w:rFonts w:ascii="Garamond" w:hAnsi="Garamond"/>
        </w:rPr>
        <w:t xml:space="preserve"> numéricos</w:t>
      </w:r>
      <w:r>
        <w:rPr>
          <w:rFonts w:ascii="Garamond" w:hAnsi="Garamond"/>
        </w:rPr>
        <w:t xml:space="preserve">, </w:t>
      </w:r>
      <w:r w:rsidRPr="002F0DF5">
        <w:rPr>
          <w:rFonts w:ascii="Garamond" w:hAnsi="Garamond"/>
        </w:rPr>
        <w:t>sistemas de cotas</w:t>
      </w:r>
      <w:r>
        <w:rPr>
          <w:rFonts w:ascii="Garamond" w:hAnsi="Garamond"/>
        </w:rPr>
        <w:t xml:space="preserve">, etc. </w:t>
      </w:r>
      <w:r w:rsidRPr="002F0DF5">
        <w:rPr>
          <w:rFonts w:ascii="Garamond" w:hAnsi="Garamond"/>
        </w:rPr>
        <w:t xml:space="preserve">A escolha de uma determinada </w:t>
      </w:r>
      <w:r w:rsidRPr="00DB1FA7">
        <w:rPr>
          <w:rFonts w:ascii="Garamond" w:hAnsi="Garamond"/>
          <w:i/>
          <w:iCs/>
        </w:rPr>
        <w:t>medida</w:t>
      </w:r>
      <w:r w:rsidRPr="002F0DF5">
        <w:rPr>
          <w:rFonts w:ascii="Garamond" w:hAnsi="Garamond"/>
        </w:rPr>
        <w:t xml:space="preserve"> dependerá do contexto em que o artigo 4</w:t>
      </w:r>
      <w:r>
        <w:rPr>
          <w:rFonts w:ascii="Garamond" w:hAnsi="Garamond"/>
        </w:rPr>
        <w:t xml:space="preserve"> (1)</w:t>
      </w:r>
      <w:r w:rsidRPr="002F0DF5">
        <w:rPr>
          <w:rFonts w:ascii="Garamond" w:hAnsi="Garamond"/>
        </w:rPr>
        <w:t xml:space="preserve"> é aplicado e do </w:t>
      </w:r>
      <w:proofErr w:type="spellStart"/>
      <w:r w:rsidRPr="002F0DF5">
        <w:rPr>
          <w:rFonts w:ascii="Garamond" w:hAnsi="Garamond"/>
        </w:rPr>
        <w:t>objetivo</w:t>
      </w:r>
      <w:proofErr w:type="spellEnd"/>
      <w:r w:rsidRPr="002F0DF5">
        <w:rPr>
          <w:rFonts w:ascii="Garamond" w:hAnsi="Garamond"/>
        </w:rPr>
        <w:t xml:space="preserve"> que visa alcançar.</w:t>
      </w:r>
      <w:r>
        <w:rPr>
          <w:rFonts w:ascii="Garamond" w:hAnsi="Garamond"/>
        </w:rPr>
        <w:t xml:space="preserve"> </w:t>
      </w:r>
    </w:p>
    <w:p w14:paraId="3EDD2B28" w14:textId="77777777" w:rsidR="00F1265A" w:rsidRPr="00A4302C" w:rsidRDefault="00F1265A" w:rsidP="00F1265A">
      <w:pPr>
        <w:pStyle w:val="Default"/>
        <w:jc w:val="both"/>
        <w:rPr>
          <w:rFonts w:ascii="Garamond" w:hAnsi="Garamond"/>
        </w:rPr>
      </w:pPr>
      <w:r>
        <w:rPr>
          <w:rFonts w:ascii="Garamond" w:hAnsi="Garamond"/>
        </w:rPr>
        <w:t>Assim, nem todas as</w:t>
      </w:r>
      <w:r w:rsidRPr="00A4302C">
        <w:rPr>
          <w:rFonts w:ascii="Garamond" w:hAnsi="Garamond"/>
        </w:rPr>
        <w:t xml:space="preserve"> políticas sociais </w:t>
      </w:r>
      <w:r>
        <w:rPr>
          <w:rFonts w:ascii="Garamond" w:hAnsi="Garamond"/>
        </w:rPr>
        <w:t xml:space="preserve">que </w:t>
      </w:r>
      <w:r w:rsidRPr="00A4302C">
        <w:rPr>
          <w:rFonts w:ascii="Garamond" w:hAnsi="Garamond"/>
        </w:rPr>
        <w:t>visa</w:t>
      </w:r>
      <w:r>
        <w:rPr>
          <w:rFonts w:ascii="Garamond" w:hAnsi="Garamond"/>
        </w:rPr>
        <w:t xml:space="preserve">m </w:t>
      </w:r>
      <w:r w:rsidRPr="00A4302C">
        <w:rPr>
          <w:rFonts w:ascii="Garamond" w:hAnsi="Garamond"/>
        </w:rPr>
        <w:t>a melhoria da situação das mulheres e meninas</w:t>
      </w:r>
      <w:r>
        <w:rPr>
          <w:rFonts w:ascii="Garamond" w:hAnsi="Garamond"/>
        </w:rPr>
        <w:t xml:space="preserve"> são medidas especiais temporárias: estas são uma das estratégias </w:t>
      </w:r>
      <w:r w:rsidRPr="00237D05">
        <w:rPr>
          <w:rFonts w:ascii="Garamond" w:hAnsi="Garamond"/>
        </w:rPr>
        <w:t>possíveis</w:t>
      </w:r>
      <w:r>
        <w:rPr>
          <w:rFonts w:ascii="Garamond" w:hAnsi="Garamond"/>
        </w:rPr>
        <w:t xml:space="preserve"> para </w:t>
      </w:r>
      <w:r w:rsidRPr="00237D05">
        <w:rPr>
          <w:rFonts w:ascii="Garamond" w:hAnsi="Garamond"/>
          <w:i/>
          <w:iCs/>
        </w:rPr>
        <w:t>acelerar</w:t>
      </w:r>
      <w:r>
        <w:rPr>
          <w:rFonts w:ascii="Garamond" w:hAnsi="Garamond"/>
        </w:rPr>
        <w:t xml:space="preserve"> a igualdade de resultados entre mulheres e homens, </w:t>
      </w:r>
      <w:proofErr w:type="spellStart"/>
      <w:r>
        <w:rPr>
          <w:rFonts w:ascii="Garamond" w:hAnsi="Garamond"/>
        </w:rPr>
        <w:t>pelo</w:t>
      </w:r>
      <w:proofErr w:type="spellEnd"/>
      <w:r>
        <w:rPr>
          <w:rFonts w:ascii="Garamond" w:hAnsi="Garamond"/>
        </w:rPr>
        <w:t xml:space="preserve"> que devem ser aplicadas sempre que se pretende uma rápida evolução </w:t>
      </w:r>
      <w:r w:rsidRPr="00DD3054">
        <w:rPr>
          <w:rFonts w:ascii="Garamond" w:hAnsi="Garamond"/>
        </w:rPr>
        <w:t>ou eliminação de práticas culturais</w:t>
      </w:r>
      <w:r>
        <w:rPr>
          <w:rFonts w:ascii="Garamond" w:hAnsi="Garamond"/>
        </w:rPr>
        <w:t xml:space="preserve">, </w:t>
      </w:r>
      <w:r w:rsidRPr="00DD3054">
        <w:rPr>
          <w:rFonts w:ascii="Garamond" w:hAnsi="Garamond"/>
        </w:rPr>
        <w:t>atitudes e comportamento</w:t>
      </w:r>
      <w:r>
        <w:rPr>
          <w:rFonts w:ascii="Garamond" w:hAnsi="Garamond"/>
        </w:rPr>
        <w:t>s</w:t>
      </w:r>
      <w:r w:rsidRPr="00DD3054">
        <w:rPr>
          <w:rFonts w:ascii="Garamond" w:hAnsi="Garamond"/>
        </w:rPr>
        <w:t xml:space="preserve"> estereotipado</w:t>
      </w:r>
      <w:r>
        <w:rPr>
          <w:rFonts w:ascii="Garamond" w:hAnsi="Garamond"/>
        </w:rPr>
        <w:t>s</w:t>
      </w:r>
      <w:r w:rsidRPr="00DD3054">
        <w:rPr>
          <w:rFonts w:ascii="Garamond" w:hAnsi="Garamond"/>
        </w:rPr>
        <w:t xml:space="preserve"> que coloca</w:t>
      </w:r>
      <w:r>
        <w:rPr>
          <w:rFonts w:ascii="Garamond" w:hAnsi="Garamond"/>
        </w:rPr>
        <w:t>m</w:t>
      </w:r>
      <w:r w:rsidRPr="00DD3054">
        <w:rPr>
          <w:rFonts w:ascii="Garamond" w:hAnsi="Garamond"/>
        </w:rPr>
        <w:t xml:space="preserve"> as mulheres em desvantagem, e</w:t>
      </w:r>
      <w:r>
        <w:rPr>
          <w:rFonts w:ascii="Garamond" w:hAnsi="Garamond"/>
        </w:rPr>
        <w:t>m diversas ár</w:t>
      </w:r>
      <w:r w:rsidRPr="00DD3054">
        <w:rPr>
          <w:rFonts w:ascii="Garamond" w:hAnsi="Garamond"/>
        </w:rPr>
        <w:t xml:space="preserve">eas </w:t>
      </w:r>
      <w:r>
        <w:rPr>
          <w:rFonts w:ascii="Garamond" w:hAnsi="Garamond"/>
        </w:rPr>
        <w:t xml:space="preserve">e com </w:t>
      </w:r>
      <w:r w:rsidRPr="00DD3054">
        <w:rPr>
          <w:rFonts w:ascii="Garamond" w:hAnsi="Garamond"/>
        </w:rPr>
        <w:t>grupos específicos</w:t>
      </w:r>
      <w:r>
        <w:rPr>
          <w:rFonts w:ascii="Garamond" w:hAnsi="Garamond"/>
        </w:rPr>
        <w:t>, em particular as mulheres que sofrem múltiplas discriminações</w:t>
      </w:r>
      <w:r w:rsidRPr="00DD3054">
        <w:rPr>
          <w:rFonts w:ascii="Garamond" w:hAnsi="Garamond"/>
        </w:rPr>
        <w:t xml:space="preserve"> (ex. mulheres rurais</w:t>
      </w:r>
      <w:r>
        <w:rPr>
          <w:rFonts w:ascii="Garamond" w:hAnsi="Garamond"/>
        </w:rPr>
        <w:t>, etc.</w:t>
      </w:r>
      <w:r w:rsidRPr="00DD3054">
        <w:rPr>
          <w:rFonts w:ascii="Garamond" w:hAnsi="Garamond"/>
        </w:rPr>
        <w:t>). Deve</w:t>
      </w:r>
      <w:r>
        <w:rPr>
          <w:rFonts w:ascii="Garamond" w:hAnsi="Garamond"/>
        </w:rPr>
        <w:t>m</w:t>
      </w:r>
      <w:r w:rsidRPr="00DD3054">
        <w:rPr>
          <w:rFonts w:ascii="Garamond" w:hAnsi="Garamond"/>
        </w:rPr>
        <w:t xml:space="preserve"> ser aplicad</w:t>
      </w:r>
      <w:r>
        <w:rPr>
          <w:rFonts w:ascii="Garamond" w:hAnsi="Garamond"/>
        </w:rPr>
        <w:t>as</w:t>
      </w:r>
      <w:r w:rsidRPr="00DD3054">
        <w:rPr>
          <w:rFonts w:ascii="Garamond" w:hAnsi="Garamond"/>
        </w:rPr>
        <w:t xml:space="preserve"> sempre que se </w:t>
      </w:r>
      <w:r>
        <w:rPr>
          <w:rFonts w:ascii="Garamond" w:hAnsi="Garamond"/>
        </w:rPr>
        <w:t xml:space="preserve">pretende </w:t>
      </w:r>
      <w:r w:rsidRPr="00DD3054">
        <w:rPr>
          <w:rFonts w:ascii="Garamond" w:hAnsi="Garamond"/>
        </w:rPr>
        <w:t xml:space="preserve">acelerar a igualdade de participação e </w:t>
      </w:r>
      <w:r>
        <w:rPr>
          <w:rFonts w:ascii="Garamond" w:hAnsi="Garamond"/>
        </w:rPr>
        <w:t xml:space="preserve">a </w:t>
      </w:r>
      <w:r w:rsidRPr="00DD3054">
        <w:rPr>
          <w:rFonts w:ascii="Garamond" w:hAnsi="Garamond"/>
        </w:rPr>
        <w:t xml:space="preserve">redistribuição de </w:t>
      </w:r>
      <w:r>
        <w:rPr>
          <w:rFonts w:ascii="Garamond" w:hAnsi="Garamond"/>
        </w:rPr>
        <w:t xml:space="preserve">responsabilidades </w:t>
      </w:r>
      <w:r w:rsidRPr="00DD3054">
        <w:rPr>
          <w:rFonts w:ascii="Garamond" w:hAnsi="Garamond"/>
        </w:rPr>
        <w:t>e recursos</w:t>
      </w:r>
      <w:r>
        <w:rPr>
          <w:rFonts w:ascii="Garamond" w:hAnsi="Garamond"/>
        </w:rPr>
        <w:t>, tendo o Estado parte a obrigação de justificar o porquê da sua não aplicação.</w:t>
      </w:r>
    </w:p>
    <w:p w14:paraId="45CD7A4B" w14:textId="77777777" w:rsidR="00F1265A" w:rsidRDefault="00F1265A" w:rsidP="00F1265A">
      <w:pPr>
        <w:pStyle w:val="Default"/>
        <w:jc w:val="both"/>
        <w:rPr>
          <w:rFonts w:ascii="Garamond" w:hAnsi="Garamond"/>
        </w:rPr>
      </w:pPr>
    </w:p>
    <w:p w14:paraId="6665268B" w14:textId="0EE92560" w:rsidR="00F1265A" w:rsidRDefault="00F1265A" w:rsidP="00F1265A">
      <w:pPr>
        <w:jc w:val="both"/>
        <w:rPr>
          <w:rFonts w:ascii="Garamond" w:eastAsia="Times New Roman" w:hAnsi="Garamond" w:cs="Arial"/>
          <w:color w:val="403D39"/>
          <w:shd w:val="clear" w:color="auto" w:fill="FFFFFF"/>
          <w:lang w:val="pt-PT"/>
        </w:rPr>
      </w:pPr>
      <w:proofErr w:type="spellStart"/>
      <w:r w:rsidRPr="004D5FD9">
        <w:rPr>
          <w:rFonts w:ascii="Garamond" w:hAnsi="Garamond" w:cs="Times New Roman"/>
          <w:b/>
          <w:lang w:val="pt-PT"/>
        </w:rPr>
        <w:t>Interse</w:t>
      </w:r>
      <w:r>
        <w:rPr>
          <w:rFonts w:ascii="Garamond" w:hAnsi="Garamond" w:cs="Times New Roman"/>
          <w:b/>
          <w:lang w:val="pt-PT"/>
        </w:rPr>
        <w:t>c</w:t>
      </w:r>
      <w:r w:rsidRPr="004D5FD9">
        <w:rPr>
          <w:rFonts w:ascii="Garamond" w:hAnsi="Garamond" w:cs="Times New Roman"/>
          <w:b/>
          <w:lang w:val="pt-PT"/>
        </w:rPr>
        <w:t>c</w:t>
      </w:r>
      <w:r>
        <w:rPr>
          <w:rFonts w:ascii="Garamond" w:hAnsi="Garamond" w:cs="Times New Roman"/>
          <w:b/>
          <w:lang w:val="pt-PT"/>
        </w:rPr>
        <w:t>ionalidade</w:t>
      </w:r>
      <w:proofErr w:type="spellEnd"/>
      <w:r w:rsidRPr="004D5FD9">
        <w:rPr>
          <w:rFonts w:ascii="Garamond" w:hAnsi="Garamond" w:cs="Times New Roman"/>
          <w:lang w:val="pt-PT"/>
        </w:rPr>
        <w:t>:</w:t>
      </w:r>
      <w:r>
        <w:rPr>
          <w:rFonts w:ascii="Garamond" w:hAnsi="Garamond" w:cs="Times New Roman"/>
          <w:lang w:val="pt-PT"/>
        </w:rPr>
        <w:t xml:space="preserve"> </w:t>
      </w:r>
      <w:r w:rsidRPr="005C2D32">
        <w:rPr>
          <w:rFonts w:ascii="Garamond" w:hAnsi="Garamond" w:cs="Times New Roman"/>
          <w:color w:val="000000" w:themeColor="text1"/>
          <w:lang w:val="pt-PT"/>
        </w:rPr>
        <w:t xml:space="preserve">a discriminação e as desigualdades resultam da </w:t>
      </w:r>
      <w:proofErr w:type="spellStart"/>
      <w:r w:rsidRPr="005C2D32">
        <w:rPr>
          <w:rFonts w:ascii="Garamond" w:hAnsi="Garamond" w:cs="Times New Roman"/>
          <w:color w:val="000000" w:themeColor="text1"/>
          <w:lang w:val="pt-PT"/>
        </w:rPr>
        <w:t>interseção</w:t>
      </w:r>
      <w:proofErr w:type="spellEnd"/>
      <w:r w:rsidRPr="005C2D32">
        <w:rPr>
          <w:rFonts w:ascii="Garamond" w:hAnsi="Garamond" w:cs="Times New Roman"/>
          <w:color w:val="000000" w:themeColor="text1"/>
          <w:lang w:val="pt-PT"/>
        </w:rPr>
        <w:t xml:space="preserve"> de vários </w:t>
      </w:r>
      <w:proofErr w:type="spellStart"/>
      <w:r w:rsidRPr="005C2D32">
        <w:rPr>
          <w:rFonts w:ascii="Garamond" w:hAnsi="Garamond" w:cs="Times New Roman"/>
          <w:color w:val="000000" w:themeColor="text1"/>
          <w:lang w:val="pt-PT"/>
        </w:rPr>
        <w:t>fatores</w:t>
      </w:r>
      <w:proofErr w:type="spellEnd"/>
      <w:r w:rsidRPr="005C2D32">
        <w:rPr>
          <w:rFonts w:ascii="Garamond" w:hAnsi="Garamond" w:cs="Times New Roman"/>
          <w:color w:val="000000" w:themeColor="text1"/>
          <w:lang w:val="pt-PT"/>
        </w:rPr>
        <w:t xml:space="preserve"> e as medidas que buscam corrigi-las t</w:t>
      </w:r>
      <w:r w:rsidR="00C0147E">
        <w:rPr>
          <w:rFonts w:ascii="Garamond" w:hAnsi="Garamond" w:cs="Times New Roman"/>
          <w:color w:val="000000" w:themeColor="text1"/>
          <w:lang w:val="pt-PT"/>
        </w:rPr>
        <w:t>ê</w:t>
      </w:r>
      <w:r w:rsidRPr="005C2D32">
        <w:rPr>
          <w:rFonts w:ascii="Garamond" w:hAnsi="Garamond" w:cs="Times New Roman"/>
          <w:color w:val="000000" w:themeColor="text1"/>
          <w:lang w:val="pt-PT"/>
        </w:rPr>
        <w:t xml:space="preserve">m </w:t>
      </w:r>
      <w:proofErr w:type="gramStart"/>
      <w:r w:rsidRPr="005C2D32">
        <w:rPr>
          <w:rFonts w:ascii="Garamond" w:hAnsi="Garamond" w:cs="Times New Roman"/>
          <w:color w:val="000000" w:themeColor="text1"/>
          <w:lang w:val="pt-PT"/>
        </w:rPr>
        <w:t>que</w:t>
      </w:r>
      <w:proofErr w:type="gramEnd"/>
      <w:r w:rsidRPr="005C2D32">
        <w:rPr>
          <w:rFonts w:ascii="Garamond" w:hAnsi="Garamond" w:cs="Times New Roman"/>
          <w:color w:val="000000" w:themeColor="text1"/>
          <w:lang w:val="pt-PT"/>
        </w:rPr>
        <w:t xml:space="preserve"> ter em conta as desvantagens que ocorrem no cruzamento de sexo com outras variáveis, como idade, condição económica, prov</w:t>
      </w:r>
      <w:r w:rsidR="00C0147E">
        <w:rPr>
          <w:rFonts w:ascii="Garamond" w:hAnsi="Garamond" w:cs="Times New Roman"/>
          <w:color w:val="000000" w:themeColor="text1"/>
          <w:lang w:val="pt-PT"/>
        </w:rPr>
        <w:t>eniên</w:t>
      </w:r>
      <w:r w:rsidRPr="005C2D32">
        <w:rPr>
          <w:rFonts w:ascii="Garamond" w:hAnsi="Garamond" w:cs="Times New Roman"/>
          <w:color w:val="000000" w:themeColor="text1"/>
          <w:lang w:val="pt-PT"/>
        </w:rPr>
        <w:t xml:space="preserve">cia geográfica, deficiência, orientação sexual e identidade de género, imigração ou outras. </w:t>
      </w:r>
      <w:r w:rsidRPr="005C2D32">
        <w:rPr>
          <w:rFonts w:ascii="Garamond" w:eastAsia="Times New Roman" w:hAnsi="Garamond" w:cs="Arial"/>
          <w:color w:val="000000" w:themeColor="text1"/>
          <w:shd w:val="clear" w:color="auto" w:fill="FFFFFF"/>
          <w:lang w:val="pt-PT"/>
        </w:rPr>
        <w:t xml:space="preserve">Responde </w:t>
      </w:r>
      <w:proofErr w:type="spellStart"/>
      <w:r w:rsidRPr="005C2D32">
        <w:rPr>
          <w:rFonts w:ascii="Garamond" w:eastAsia="Times New Roman" w:hAnsi="Garamond" w:cs="Arial"/>
          <w:color w:val="000000" w:themeColor="text1"/>
          <w:shd w:val="clear" w:color="auto" w:fill="FFFFFF"/>
          <w:lang w:val="pt-PT"/>
        </w:rPr>
        <w:t>diretamente</w:t>
      </w:r>
      <w:proofErr w:type="spellEnd"/>
      <w:r w:rsidRPr="005C2D32">
        <w:rPr>
          <w:rFonts w:ascii="Garamond" w:eastAsia="Times New Roman" w:hAnsi="Garamond" w:cs="Arial"/>
          <w:color w:val="000000" w:themeColor="text1"/>
          <w:shd w:val="clear" w:color="auto" w:fill="FFFFFF"/>
          <w:lang w:val="pt-PT"/>
        </w:rPr>
        <w:t xml:space="preserve"> </w:t>
      </w:r>
      <w:r w:rsidR="00C0147E">
        <w:rPr>
          <w:rFonts w:ascii="Garamond" w:eastAsia="Times New Roman" w:hAnsi="Garamond" w:cs="Arial"/>
          <w:color w:val="000000" w:themeColor="text1"/>
          <w:shd w:val="clear" w:color="auto" w:fill="FFFFFF"/>
          <w:lang w:val="pt-PT"/>
        </w:rPr>
        <w:t>à</w:t>
      </w:r>
      <w:r w:rsidRPr="005C2D32">
        <w:rPr>
          <w:rFonts w:ascii="Garamond" w:eastAsia="Times New Roman" w:hAnsi="Garamond" w:cs="Arial"/>
          <w:color w:val="000000" w:themeColor="text1"/>
          <w:shd w:val="clear" w:color="auto" w:fill="FFFFFF"/>
          <w:lang w:val="pt-PT"/>
        </w:rPr>
        <w:t xml:space="preserve"> </w:t>
      </w:r>
      <w:proofErr w:type="spellStart"/>
      <w:r w:rsidRPr="005C2D32">
        <w:rPr>
          <w:rFonts w:ascii="Garamond" w:eastAsia="Times New Roman" w:hAnsi="Garamond" w:cs="Arial"/>
          <w:color w:val="000000" w:themeColor="text1"/>
          <w:shd w:val="clear" w:color="auto" w:fill="FFFFFF"/>
          <w:lang w:val="pt-PT"/>
        </w:rPr>
        <w:t>perspetiva</w:t>
      </w:r>
      <w:proofErr w:type="spellEnd"/>
      <w:r w:rsidRPr="005C2D32">
        <w:rPr>
          <w:rFonts w:ascii="Garamond" w:eastAsia="Times New Roman" w:hAnsi="Garamond" w:cs="Arial"/>
          <w:color w:val="000000" w:themeColor="text1"/>
          <w:shd w:val="clear" w:color="auto" w:fill="FFFFFF"/>
          <w:lang w:val="pt-PT"/>
        </w:rPr>
        <w:t xml:space="preserve"> da interdependência, indivisibilidade e universalidade dos direitos humanos e esta alinhado</w:t>
      </w:r>
      <w:r>
        <w:rPr>
          <w:rFonts w:ascii="Garamond" w:eastAsia="Times New Roman" w:hAnsi="Garamond" w:cs="Arial"/>
          <w:color w:val="000000" w:themeColor="text1"/>
          <w:shd w:val="clear" w:color="auto" w:fill="FFFFFF"/>
          <w:lang w:val="pt-PT"/>
        </w:rPr>
        <w:t xml:space="preserve"> com o </w:t>
      </w:r>
      <w:r w:rsidRPr="005C2D32">
        <w:rPr>
          <w:rFonts w:ascii="Garamond" w:eastAsia="Times New Roman" w:hAnsi="Garamond" w:cs="Arial"/>
          <w:color w:val="000000" w:themeColor="text1"/>
          <w:shd w:val="clear" w:color="auto" w:fill="FFFFFF"/>
          <w:lang w:val="pt-PT"/>
        </w:rPr>
        <w:t>princípio de “</w:t>
      </w:r>
      <w:r w:rsidRPr="00C0147E">
        <w:rPr>
          <w:rFonts w:ascii="Garamond" w:eastAsia="Times New Roman" w:hAnsi="Garamond" w:cs="Arial"/>
          <w:b/>
          <w:bCs/>
          <w:i/>
          <w:iCs/>
          <w:color w:val="000000" w:themeColor="text1"/>
          <w:shd w:val="clear" w:color="auto" w:fill="FFFFFF"/>
          <w:lang w:val="pt-PT"/>
        </w:rPr>
        <w:t>não deixar ninguém para trás</w:t>
      </w:r>
      <w:r w:rsidRPr="005C2D32">
        <w:rPr>
          <w:rFonts w:ascii="Garamond" w:eastAsia="Times New Roman" w:hAnsi="Garamond" w:cs="Arial"/>
          <w:color w:val="000000" w:themeColor="text1"/>
          <w:shd w:val="clear" w:color="auto" w:fill="FFFFFF"/>
          <w:lang w:val="pt-PT"/>
        </w:rPr>
        <w:t xml:space="preserve">” da Agenda 2030. </w:t>
      </w:r>
      <w:r w:rsidR="00C0147E">
        <w:rPr>
          <w:rFonts w:ascii="Garamond" w:eastAsia="Times New Roman" w:hAnsi="Garamond" w:cs="Arial"/>
          <w:color w:val="000000" w:themeColor="text1"/>
          <w:shd w:val="clear" w:color="auto" w:fill="FFFFFF"/>
          <w:lang w:val="pt-PT"/>
        </w:rPr>
        <w:t xml:space="preserve">É necessário </w:t>
      </w:r>
      <w:r>
        <w:rPr>
          <w:rFonts w:ascii="Garamond" w:eastAsia="Times New Roman" w:hAnsi="Garamond" w:cs="Arial"/>
          <w:color w:val="000000" w:themeColor="text1"/>
          <w:shd w:val="clear" w:color="auto" w:fill="FFFFFF"/>
          <w:lang w:val="pt-PT"/>
        </w:rPr>
        <w:t xml:space="preserve">reconhecer e </w:t>
      </w:r>
      <w:r w:rsidRPr="005C2D32">
        <w:rPr>
          <w:rFonts w:ascii="Garamond" w:eastAsia="Times New Roman" w:hAnsi="Garamond" w:cs="Arial"/>
          <w:color w:val="000000" w:themeColor="text1"/>
          <w:shd w:val="clear" w:color="auto" w:fill="FFFFFF"/>
          <w:lang w:val="pt-PT"/>
        </w:rPr>
        <w:t xml:space="preserve">priorizar </w:t>
      </w:r>
      <w:proofErr w:type="spellStart"/>
      <w:r w:rsidRPr="005C2D32">
        <w:rPr>
          <w:rFonts w:ascii="Garamond" w:eastAsia="Times New Roman" w:hAnsi="Garamond" w:cs="Arial"/>
          <w:color w:val="000000" w:themeColor="text1"/>
          <w:shd w:val="clear" w:color="auto" w:fill="FFFFFF"/>
          <w:lang w:val="pt-PT"/>
        </w:rPr>
        <w:t>ações</w:t>
      </w:r>
      <w:proofErr w:type="spellEnd"/>
      <w:r w:rsidRPr="005C2D32">
        <w:rPr>
          <w:rFonts w:ascii="Garamond" w:eastAsia="Times New Roman" w:hAnsi="Garamond" w:cs="Arial"/>
          <w:color w:val="000000" w:themeColor="text1"/>
          <w:shd w:val="clear" w:color="auto" w:fill="FFFFFF"/>
          <w:lang w:val="pt-PT"/>
        </w:rPr>
        <w:t xml:space="preserve"> e políticas orientadas para </w:t>
      </w:r>
      <w:r>
        <w:rPr>
          <w:rFonts w:ascii="Garamond" w:eastAsia="Times New Roman" w:hAnsi="Garamond" w:cs="Arial"/>
          <w:color w:val="000000" w:themeColor="text1"/>
          <w:shd w:val="clear" w:color="auto" w:fill="FFFFFF"/>
          <w:lang w:val="pt-PT"/>
        </w:rPr>
        <w:t>os desafios</w:t>
      </w:r>
      <w:r w:rsidRPr="005C2D32">
        <w:rPr>
          <w:rFonts w:ascii="Garamond" w:eastAsia="Times New Roman" w:hAnsi="Garamond" w:cs="Arial"/>
          <w:color w:val="000000" w:themeColor="text1"/>
          <w:shd w:val="clear" w:color="auto" w:fill="FFFFFF"/>
          <w:lang w:val="pt-PT"/>
        </w:rPr>
        <w:t xml:space="preserve"> específic</w:t>
      </w:r>
      <w:r>
        <w:rPr>
          <w:rFonts w:ascii="Garamond" w:eastAsia="Times New Roman" w:hAnsi="Garamond" w:cs="Arial"/>
          <w:color w:val="000000" w:themeColor="text1"/>
          <w:shd w:val="clear" w:color="auto" w:fill="FFFFFF"/>
          <w:lang w:val="pt-PT"/>
        </w:rPr>
        <w:t>o</w:t>
      </w:r>
      <w:r w:rsidRPr="005C2D32">
        <w:rPr>
          <w:rFonts w:ascii="Garamond" w:eastAsia="Times New Roman" w:hAnsi="Garamond" w:cs="Arial"/>
          <w:color w:val="000000" w:themeColor="text1"/>
          <w:shd w:val="clear" w:color="auto" w:fill="FFFFFF"/>
          <w:lang w:val="pt-PT"/>
        </w:rPr>
        <w:t xml:space="preserve">s </w:t>
      </w:r>
      <w:r>
        <w:rPr>
          <w:rFonts w:ascii="Garamond" w:eastAsia="Times New Roman" w:hAnsi="Garamond" w:cs="Arial"/>
          <w:color w:val="000000" w:themeColor="text1"/>
          <w:shd w:val="clear" w:color="auto" w:fill="FFFFFF"/>
          <w:lang w:val="pt-PT"/>
        </w:rPr>
        <w:t xml:space="preserve">de grupos mais vulneráveis e que sofrem </w:t>
      </w:r>
      <w:r w:rsidR="00C0147E">
        <w:rPr>
          <w:rFonts w:ascii="Garamond" w:eastAsia="Times New Roman" w:hAnsi="Garamond" w:cs="Arial"/>
          <w:color w:val="000000" w:themeColor="text1"/>
          <w:shd w:val="clear" w:color="auto" w:fill="FFFFFF"/>
          <w:lang w:val="pt-PT"/>
        </w:rPr>
        <w:t xml:space="preserve">discriminações </w:t>
      </w:r>
      <w:r>
        <w:rPr>
          <w:rFonts w:ascii="Garamond" w:eastAsia="Times New Roman" w:hAnsi="Garamond" w:cs="Arial"/>
          <w:color w:val="000000" w:themeColor="text1"/>
          <w:shd w:val="clear" w:color="auto" w:fill="FFFFFF"/>
          <w:lang w:val="pt-PT"/>
        </w:rPr>
        <w:t xml:space="preserve">múltiplas, como casos de mulheres imigrantes, mulheres com deficiência, mulheres empregadas domésticas, mulheres vivendo com VIH-SIDA, mulheres rurais, entre outras. </w:t>
      </w:r>
      <w:r w:rsidRPr="005C2D32">
        <w:rPr>
          <w:rFonts w:ascii="Garamond" w:eastAsia="Times New Roman" w:hAnsi="Garamond" w:cs="Arial"/>
          <w:color w:val="000000" w:themeColor="text1"/>
          <w:shd w:val="clear" w:color="auto" w:fill="FFFFFF"/>
          <w:lang w:val="pt-PT"/>
        </w:rPr>
        <w:t xml:space="preserve">Neste intento, </w:t>
      </w:r>
      <w:r>
        <w:rPr>
          <w:rFonts w:ascii="Garamond" w:eastAsia="Times New Roman" w:hAnsi="Garamond" w:cs="Arial"/>
          <w:color w:val="000000" w:themeColor="text1"/>
          <w:shd w:val="clear" w:color="auto" w:fill="FFFFFF"/>
          <w:lang w:val="pt-PT"/>
        </w:rPr>
        <w:t xml:space="preserve">reconhece-se igualmente o contributo fundamental da </w:t>
      </w:r>
      <w:r w:rsidRPr="005C2D32">
        <w:rPr>
          <w:rFonts w:ascii="Garamond" w:eastAsia="Times New Roman" w:hAnsi="Garamond" w:cs="Arial"/>
          <w:color w:val="000000" w:themeColor="text1"/>
          <w:shd w:val="clear" w:color="auto" w:fill="FFFFFF"/>
          <w:lang w:val="pt-PT"/>
        </w:rPr>
        <w:t>produção, utilização e divulgação de dados desagregados</w:t>
      </w:r>
      <w:r>
        <w:rPr>
          <w:rFonts w:ascii="Garamond" w:eastAsia="Times New Roman" w:hAnsi="Garamond" w:cs="Arial"/>
          <w:color w:val="000000" w:themeColor="text1"/>
          <w:shd w:val="clear" w:color="auto" w:fill="FFFFFF"/>
          <w:lang w:val="pt-PT"/>
        </w:rPr>
        <w:t xml:space="preserve">, </w:t>
      </w:r>
      <w:r w:rsidRPr="005C2D32">
        <w:rPr>
          <w:rFonts w:ascii="Garamond" w:eastAsia="Times New Roman" w:hAnsi="Garamond" w:cs="Arial"/>
          <w:color w:val="000000" w:themeColor="text1"/>
          <w:shd w:val="clear" w:color="auto" w:fill="FFFFFF"/>
          <w:lang w:val="pt-PT"/>
        </w:rPr>
        <w:t xml:space="preserve">na identificação de brechas e problemas que </w:t>
      </w:r>
      <w:proofErr w:type="spellStart"/>
      <w:r w:rsidRPr="005C2D32">
        <w:rPr>
          <w:rFonts w:ascii="Garamond" w:eastAsia="Times New Roman" w:hAnsi="Garamond" w:cs="Arial"/>
          <w:color w:val="000000" w:themeColor="text1"/>
          <w:shd w:val="clear" w:color="auto" w:fill="FFFFFF"/>
          <w:lang w:val="pt-PT"/>
        </w:rPr>
        <w:t>afetam</w:t>
      </w:r>
      <w:proofErr w:type="spellEnd"/>
      <w:r w:rsidRPr="005C2D32">
        <w:rPr>
          <w:rFonts w:ascii="Garamond" w:eastAsia="Times New Roman" w:hAnsi="Garamond" w:cs="Arial"/>
          <w:color w:val="000000" w:themeColor="text1"/>
          <w:shd w:val="clear" w:color="auto" w:fill="FFFFFF"/>
          <w:lang w:val="pt-PT"/>
        </w:rPr>
        <w:t xml:space="preserve"> de forma especifica determinados grupos mais vulneráveis</w:t>
      </w:r>
      <w:r>
        <w:rPr>
          <w:rFonts w:ascii="Garamond" w:eastAsia="Times New Roman" w:hAnsi="Garamond" w:cs="Arial"/>
          <w:color w:val="000000" w:themeColor="text1"/>
          <w:shd w:val="clear" w:color="auto" w:fill="FFFFFF"/>
          <w:lang w:val="pt-PT"/>
        </w:rPr>
        <w:t xml:space="preserve"> e na definição de metas</w:t>
      </w:r>
      <w:r w:rsidRPr="005C2D32">
        <w:rPr>
          <w:rFonts w:ascii="Garamond" w:eastAsia="Times New Roman" w:hAnsi="Garamond" w:cs="Arial"/>
          <w:color w:val="000000" w:themeColor="text1"/>
          <w:shd w:val="clear" w:color="auto" w:fill="FFFFFF"/>
          <w:lang w:val="pt-PT"/>
        </w:rPr>
        <w:t xml:space="preserve">. Assim, o fortalecimento das capacidades de produção de dados desagregados por várias variáveis e em todas as áreas, e </w:t>
      </w:r>
      <w:r>
        <w:rPr>
          <w:rFonts w:ascii="Garamond" w:eastAsia="Times New Roman" w:hAnsi="Garamond" w:cs="Arial"/>
          <w:color w:val="000000" w:themeColor="text1"/>
          <w:shd w:val="clear" w:color="auto" w:fill="FFFFFF"/>
          <w:lang w:val="pt-PT"/>
        </w:rPr>
        <w:t>de</w:t>
      </w:r>
      <w:r w:rsidRPr="005C2D32">
        <w:rPr>
          <w:rFonts w:ascii="Garamond" w:eastAsia="Times New Roman" w:hAnsi="Garamond" w:cs="Arial"/>
          <w:color w:val="000000" w:themeColor="text1"/>
          <w:shd w:val="clear" w:color="auto" w:fill="FFFFFF"/>
          <w:lang w:val="pt-PT"/>
        </w:rPr>
        <w:t xml:space="preserve"> produção de analises de género </w:t>
      </w:r>
      <w:r>
        <w:rPr>
          <w:rFonts w:ascii="Garamond" w:eastAsia="Times New Roman" w:hAnsi="Garamond" w:cs="Arial"/>
          <w:color w:val="000000" w:themeColor="text1"/>
          <w:shd w:val="clear" w:color="auto" w:fill="FFFFFF"/>
          <w:lang w:val="pt-PT"/>
        </w:rPr>
        <w:t>e também prioridade e parte integrante da estratégia</w:t>
      </w:r>
      <w:r w:rsidRPr="005C2D32">
        <w:rPr>
          <w:rFonts w:ascii="Garamond" w:eastAsia="Times New Roman" w:hAnsi="Garamond" w:cs="Arial"/>
          <w:color w:val="000000" w:themeColor="text1"/>
          <w:shd w:val="clear" w:color="auto" w:fill="FFFFFF"/>
          <w:lang w:val="pt-PT"/>
        </w:rPr>
        <w:t xml:space="preserve">.  </w:t>
      </w:r>
    </w:p>
    <w:p w14:paraId="5184A133" w14:textId="77777777" w:rsidR="00F1265A" w:rsidRPr="007106FB" w:rsidRDefault="00F1265A" w:rsidP="00F1265A">
      <w:pPr>
        <w:jc w:val="both"/>
        <w:rPr>
          <w:rFonts w:ascii="Garamond" w:eastAsia="Times New Roman" w:hAnsi="Garamond" w:cs="Arial"/>
          <w:color w:val="403D39"/>
          <w:shd w:val="clear" w:color="auto" w:fill="FFFFFF"/>
          <w:lang w:val="pt-PT"/>
        </w:rPr>
      </w:pPr>
    </w:p>
    <w:p w14:paraId="08232C9B" w14:textId="15633D5A" w:rsidR="00F1265A" w:rsidRDefault="00F1265A" w:rsidP="00F1265A">
      <w:pPr>
        <w:spacing w:after="240"/>
        <w:contextualSpacing/>
        <w:jc w:val="both"/>
        <w:rPr>
          <w:rFonts w:ascii="Garamond" w:hAnsi="Garamond"/>
          <w:lang w:val="pt-PT"/>
        </w:rPr>
      </w:pPr>
      <w:bookmarkStart w:id="21" w:name="_Hlk31810654"/>
      <w:r w:rsidRPr="00C84163">
        <w:rPr>
          <w:rFonts w:ascii="Garamond" w:hAnsi="Garamond"/>
          <w:b/>
          <w:lang w:val="pt-PT"/>
        </w:rPr>
        <w:t>Territorialização:</w:t>
      </w:r>
      <w:r w:rsidRPr="00C84163">
        <w:rPr>
          <w:rFonts w:ascii="GothamLight" w:hAnsi="GothamLight"/>
          <w:sz w:val="20"/>
          <w:szCs w:val="20"/>
          <w:lang w:val="pt-PT"/>
        </w:rPr>
        <w:t xml:space="preserve"> </w:t>
      </w:r>
      <w:r w:rsidR="00C0147E">
        <w:rPr>
          <w:rFonts w:ascii="Garamond" w:hAnsi="Garamond"/>
          <w:lang w:val="pt-PT"/>
        </w:rPr>
        <w:t>a</w:t>
      </w:r>
      <w:r w:rsidRPr="00C84163">
        <w:rPr>
          <w:rFonts w:ascii="Garamond" w:hAnsi="Garamond"/>
          <w:lang w:val="pt-PT"/>
        </w:rPr>
        <w:t xml:space="preserve"> redução das desigualdades e das assimetrias regionais é matéria de consenso a nível dos decisores políticos e constitui um compromisso de Cabo Verde, enquanto país signatário da Agenda 2030, que propugna que ninguém </w:t>
      </w:r>
      <w:proofErr w:type="spellStart"/>
      <w:r w:rsidRPr="00C84163">
        <w:rPr>
          <w:rFonts w:ascii="Garamond" w:hAnsi="Garamond"/>
          <w:lang w:val="pt-PT"/>
        </w:rPr>
        <w:t>ﬁcará</w:t>
      </w:r>
      <w:proofErr w:type="spellEnd"/>
      <w:r w:rsidRPr="00C84163">
        <w:rPr>
          <w:rFonts w:ascii="Garamond" w:hAnsi="Garamond"/>
          <w:lang w:val="pt-PT"/>
        </w:rPr>
        <w:t xml:space="preserve"> para trás. </w:t>
      </w:r>
      <w:r w:rsidRPr="00C84163">
        <w:rPr>
          <w:rFonts w:ascii="Garamond" w:hAnsi="Garamond"/>
          <w:i/>
          <w:lang w:val="pt-PT"/>
        </w:rPr>
        <w:t>A regionalização do Plano Estratégico de Desenvolvimento Sustentável 2017-2021 e a firme aposta do Governo na territorialização oferecem uma excelente oportunidade para se preparar as economias, a administração e a sociedade das regiões para a regionalização, mas, também, dotará o Governo e as autoridades locais de mecanismos de dialogo técnico e politico e de discriminação positiva consentida, visando reduzir as assimetrias, valorizar as potencialidades das ilhas, mas, sobretudo, a visão local do desenvolvimento e as capacidades endógenas.</w:t>
      </w:r>
      <w:r w:rsidRPr="00C84163">
        <w:rPr>
          <w:rFonts w:ascii="Garamond" w:hAnsi="Garamond"/>
          <w:lang w:val="pt-PT"/>
        </w:rPr>
        <w:t xml:space="preserve"> A </w:t>
      </w:r>
      <w:proofErr w:type="spellStart"/>
      <w:r w:rsidRPr="00C84163">
        <w:rPr>
          <w:rFonts w:ascii="Garamond" w:hAnsi="Garamond"/>
          <w:lang w:val="pt-PT"/>
        </w:rPr>
        <w:t>transversalização</w:t>
      </w:r>
      <w:proofErr w:type="spellEnd"/>
      <w:r w:rsidRPr="00C84163">
        <w:rPr>
          <w:rFonts w:ascii="Garamond" w:hAnsi="Garamond"/>
          <w:lang w:val="pt-PT"/>
        </w:rPr>
        <w:t xml:space="preserve"> da igualdade de género e por isso e igualmente fundamental no contexto do processo de regionalização, já que permitira abordar, localmente e de forma mais </w:t>
      </w:r>
      <w:proofErr w:type="spellStart"/>
      <w:r w:rsidRPr="00C84163">
        <w:rPr>
          <w:rFonts w:ascii="Garamond" w:hAnsi="Garamond"/>
          <w:lang w:val="pt-PT"/>
        </w:rPr>
        <w:t>direta</w:t>
      </w:r>
      <w:proofErr w:type="spellEnd"/>
      <w:r w:rsidRPr="00C84163">
        <w:rPr>
          <w:rFonts w:ascii="Garamond" w:hAnsi="Garamond"/>
          <w:lang w:val="pt-PT"/>
        </w:rPr>
        <w:t xml:space="preserve">, as desigualdades e assimetrias regionais de género, levando os serviços e os direitos mais perto das pessoas, e elaborando políticas e programas contextualizadas a nível das necessidades, aspirações e potencialidades locais. Entende-se que </w:t>
      </w:r>
      <w:r w:rsidR="00C0147E">
        <w:rPr>
          <w:rFonts w:ascii="Garamond" w:hAnsi="Garamond"/>
          <w:lang w:val="pt-PT"/>
        </w:rPr>
        <w:t>é</w:t>
      </w:r>
      <w:r w:rsidRPr="00C84163">
        <w:rPr>
          <w:rFonts w:ascii="Garamond" w:hAnsi="Garamond"/>
          <w:lang w:val="pt-PT"/>
        </w:rPr>
        <w:t xml:space="preserve"> uma oportunidade de gerar mais oportunidades económicas locais para as mulheres e meninas. Adicionalmente, a procura de parcerias continua a ser crucial para Cabo Verde, sendo a integração da igualdade de género um critério incontornável na mobilização de financiamento e no estabelecimento de novas parcerias, como por exemplo a cooperação sul-sul. Há assim necessidade de reforço de capacidades a vários níveis, para a formulação de </w:t>
      </w:r>
      <w:proofErr w:type="spellStart"/>
      <w:r w:rsidRPr="00C84163">
        <w:rPr>
          <w:rFonts w:ascii="Garamond" w:hAnsi="Garamond"/>
          <w:lang w:val="pt-PT"/>
        </w:rPr>
        <w:t>projetos</w:t>
      </w:r>
      <w:proofErr w:type="spellEnd"/>
      <w:r w:rsidRPr="00C84163">
        <w:rPr>
          <w:rFonts w:ascii="Garamond" w:hAnsi="Garamond"/>
          <w:lang w:val="pt-PT"/>
        </w:rPr>
        <w:t xml:space="preserve"> de investimento que integram uma abordagem de género, desde a análise de género, sua integração no ciclo de </w:t>
      </w:r>
      <w:proofErr w:type="spellStart"/>
      <w:r w:rsidRPr="00C84163">
        <w:rPr>
          <w:rFonts w:ascii="Garamond" w:hAnsi="Garamond"/>
          <w:lang w:val="pt-PT"/>
        </w:rPr>
        <w:t>projetos</w:t>
      </w:r>
      <w:proofErr w:type="spellEnd"/>
      <w:r w:rsidRPr="00C84163">
        <w:rPr>
          <w:rFonts w:ascii="Garamond" w:hAnsi="Garamond"/>
          <w:lang w:val="pt-PT"/>
        </w:rPr>
        <w:t xml:space="preserve">, </w:t>
      </w:r>
      <w:proofErr w:type="spellStart"/>
      <w:r w:rsidRPr="00C84163">
        <w:rPr>
          <w:rFonts w:ascii="Garamond" w:hAnsi="Garamond"/>
          <w:lang w:val="pt-PT"/>
        </w:rPr>
        <w:t>aspetos</w:t>
      </w:r>
      <w:proofErr w:type="spellEnd"/>
      <w:r w:rsidRPr="00C84163">
        <w:rPr>
          <w:rFonts w:ascii="Garamond" w:hAnsi="Garamond"/>
          <w:lang w:val="pt-PT"/>
        </w:rPr>
        <w:t xml:space="preserve"> orçamentais e de seguimento e avaliação.</w:t>
      </w:r>
    </w:p>
    <w:bookmarkEnd w:id="21"/>
    <w:p w14:paraId="1B3575CC" w14:textId="77777777" w:rsidR="00C0147E" w:rsidRPr="00C84163" w:rsidRDefault="00C0147E" w:rsidP="00F1265A">
      <w:pPr>
        <w:spacing w:after="240"/>
        <w:contextualSpacing/>
        <w:jc w:val="both"/>
        <w:rPr>
          <w:rFonts w:ascii="Garamond" w:hAnsi="Garamond"/>
          <w:lang w:val="pt-PT"/>
        </w:rPr>
      </w:pPr>
    </w:p>
    <w:p w14:paraId="4872FD0A" w14:textId="702394C5" w:rsidR="00F1265A" w:rsidRPr="00C84163" w:rsidRDefault="00F1265A" w:rsidP="00F1265A">
      <w:pPr>
        <w:spacing w:after="240"/>
        <w:jc w:val="both"/>
        <w:rPr>
          <w:rFonts w:ascii="Garamond" w:hAnsi="Garamond"/>
          <w:lang w:val="pt-PT"/>
        </w:rPr>
      </w:pPr>
      <w:r w:rsidRPr="004D5FD9">
        <w:rPr>
          <w:rFonts w:ascii="Garamond" w:hAnsi="Garamond" w:cs="Times New Roman"/>
          <w:b/>
          <w:lang w:val="pt-PT"/>
        </w:rPr>
        <w:t>Parcerias:</w:t>
      </w:r>
      <w:r w:rsidRPr="00CE268E">
        <w:rPr>
          <w:rFonts w:ascii="Garamond" w:hAnsi="Garamond" w:cs="Times New Roman"/>
          <w:b/>
          <w:lang w:val="pt-PT"/>
        </w:rPr>
        <w:t xml:space="preserve"> </w:t>
      </w:r>
      <w:r w:rsidR="00C0147E">
        <w:rPr>
          <w:rFonts w:ascii="Garamond" w:hAnsi="Garamond" w:cs="Times New Roman"/>
          <w:lang w:val="pt-PT"/>
        </w:rPr>
        <w:t>n</w:t>
      </w:r>
      <w:r w:rsidRPr="00C84163">
        <w:rPr>
          <w:rFonts w:ascii="Garamond" w:hAnsi="Garamond" w:cs="Times New Roman"/>
          <w:lang w:val="pt-PT"/>
        </w:rPr>
        <w:t>uma l</w:t>
      </w:r>
      <w:r w:rsidR="0098281C">
        <w:rPr>
          <w:rFonts w:ascii="Garamond" w:hAnsi="Garamond" w:cs="Times New Roman"/>
          <w:lang w:val="pt-PT"/>
        </w:rPr>
        <w:t>ó</w:t>
      </w:r>
      <w:r w:rsidRPr="00C84163">
        <w:rPr>
          <w:rFonts w:ascii="Garamond" w:hAnsi="Garamond" w:cs="Times New Roman"/>
          <w:lang w:val="pt-PT"/>
        </w:rPr>
        <w:t xml:space="preserve">gica de </w:t>
      </w:r>
      <w:proofErr w:type="spellStart"/>
      <w:r w:rsidRPr="00C84163">
        <w:rPr>
          <w:rFonts w:ascii="Garamond" w:hAnsi="Garamond" w:cs="Times New Roman"/>
          <w:lang w:val="pt-PT"/>
        </w:rPr>
        <w:t>corresponsabilização</w:t>
      </w:r>
      <w:proofErr w:type="spellEnd"/>
      <w:r w:rsidRPr="00C84163">
        <w:rPr>
          <w:rFonts w:ascii="Garamond" w:hAnsi="Garamond" w:cs="Times New Roman"/>
          <w:lang w:val="pt-PT"/>
        </w:rPr>
        <w:t xml:space="preserve">, partilha de conhecimento, capitalização dos recursos e sustentabilidade dos resultados, o Governo privilegia as parcerias para a implementação </w:t>
      </w:r>
      <w:proofErr w:type="spellStart"/>
      <w:r w:rsidRPr="00C84163">
        <w:rPr>
          <w:rFonts w:ascii="Garamond" w:hAnsi="Garamond" w:cs="Times New Roman"/>
          <w:lang w:val="pt-PT"/>
        </w:rPr>
        <w:t>efetiva</w:t>
      </w:r>
      <w:proofErr w:type="spellEnd"/>
      <w:r w:rsidRPr="00C84163">
        <w:rPr>
          <w:rFonts w:ascii="Garamond" w:hAnsi="Garamond" w:cs="Times New Roman"/>
          <w:lang w:val="pt-PT"/>
        </w:rPr>
        <w:t xml:space="preserve"> do </w:t>
      </w:r>
      <w:proofErr w:type="spellStart"/>
      <w:r w:rsidRPr="00C84163">
        <w:rPr>
          <w:rFonts w:ascii="Garamond" w:hAnsi="Garamond" w:cs="Times New Roman"/>
          <w:lang w:val="pt-PT"/>
        </w:rPr>
        <w:t>PNIG</w:t>
      </w:r>
      <w:proofErr w:type="spellEnd"/>
      <w:r w:rsidRPr="00C84163">
        <w:rPr>
          <w:rFonts w:ascii="Garamond" w:hAnsi="Garamond" w:cs="Times New Roman"/>
          <w:lang w:val="pt-PT"/>
        </w:rPr>
        <w:t xml:space="preserve"> 2019-202</w:t>
      </w:r>
      <w:r w:rsidR="00861830">
        <w:rPr>
          <w:rFonts w:ascii="Garamond" w:hAnsi="Garamond" w:cs="Times New Roman"/>
          <w:lang w:val="pt-PT"/>
        </w:rPr>
        <w:t>3</w:t>
      </w:r>
      <w:r w:rsidRPr="00C84163">
        <w:rPr>
          <w:rFonts w:ascii="Garamond" w:hAnsi="Garamond" w:cs="Times New Roman"/>
          <w:lang w:val="pt-PT"/>
        </w:rPr>
        <w:t xml:space="preserve">. Partindo da premissa que as questões de género são transversais a todas as áreas de desenvolvimento, o sucesso da implementação deste plano dependera grandemente do trabalho em rede, das sinergias e da colaboração e parceria </w:t>
      </w:r>
      <w:proofErr w:type="spellStart"/>
      <w:r w:rsidRPr="00C84163">
        <w:rPr>
          <w:rFonts w:ascii="Garamond" w:hAnsi="Garamond" w:cs="Times New Roman"/>
          <w:lang w:val="pt-PT"/>
        </w:rPr>
        <w:t>efetiva</w:t>
      </w:r>
      <w:proofErr w:type="spellEnd"/>
      <w:r w:rsidRPr="00C84163">
        <w:rPr>
          <w:rFonts w:ascii="Garamond" w:hAnsi="Garamond" w:cs="Times New Roman"/>
          <w:lang w:val="pt-PT"/>
        </w:rPr>
        <w:t xml:space="preserve"> entre vários </w:t>
      </w:r>
      <w:proofErr w:type="spellStart"/>
      <w:r w:rsidRPr="00C84163">
        <w:rPr>
          <w:rFonts w:ascii="Garamond" w:hAnsi="Garamond" w:cs="Times New Roman"/>
          <w:lang w:val="pt-PT"/>
        </w:rPr>
        <w:t>atores</w:t>
      </w:r>
      <w:proofErr w:type="spellEnd"/>
      <w:r w:rsidRPr="00C84163">
        <w:rPr>
          <w:rFonts w:ascii="Garamond" w:hAnsi="Garamond" w:cs="Times New Roman"/>
          <w:lang w:val="pt-PT"/>
        </w:rPr>
        <w:t xml:space="preserve"> e a diferentes níveis. As causas das desigualdades de género são complexas </w:t>
      </w:r>
      <w:r w:rsidRPr="00C84163">
        <w:rPr>
          <w:rFonts w:ascii="Garamond" w:hAnsi="Garamond" w:cs="Calibri"/>
          <w:color w:val="141414"/>
          <w:lang w:val="pt-PT"/>
        </w:rPr>
        <w:t xml:space="preserve">e multifacetadas e por tal, exigem </w:t>
      </w:r>
      <w:r w:rsidRPr="00C84163">
        <w:rPr>
          <w:rFonts w:ascii="Garamond" w:eastAsia="Times New Roman" w:hAnsi="Garamond" w:cs="Arial"/>
          <w:color w:val="403D39"/>
          <w:shd w:val="clear" w:color="auto" w:fill="FFFFFF"/>
          <w:lang w:val="pt-PT"/>
        </w:rPr>
        <w:t xml:space="preserve">a construção conjunta de </w:t>
      </w:r>
      <w:proofErr w:type="spellStart"/>
      <w:r w:rsidRPr="00C84163">
        <w:rPr>
          <w:rFonts w:ascii="Garamond" w:eastAsia="Times New Roman" w:hAnsi="Garamond" w:cs="Arial"/>
          <w:color w:val="403D39"/>
          <w:shd w:val="clear" w:color="auto" w:fill="FFFFFF"/>
          <w:lang w:val="pt-PT"/>
        </w:rPr>
        <w:t>ações</w:t>
      </w:r>
      <w:proofErr w:type="spellEnd"/>
      <w:r w:rsidRPr="00C84163">
        <w:rPr>
          <w:rFonts w:ascii="Garamond" w:eastAsia="Times New Roman" w:hAnsi="Garamond" w:cs="Arial"/>
          <w:color w:val="403D39"/>
          <w:shd w:val="clear" w:color="auto" w:fill="FFFFFF"/>
          <w:lang w:val="pt-PT"/>
        </w:rPr>
        <w:t xml:space="preserve"> e políticas entre diferentes </w:t>
      </w:r>
      <w:proofErr w:type="spellStart"/>
      <w:r w:rsidRPr="00C84163">
        <w:rPr>
          <w:rFonts w:ascii="Garamond" w:eastAsia="Times New Roman" w:hAnsi="Garamond" w:cs="Arial"/>
          <w:color w:val="403D39"/>
          <w:shd w:val="clear" w:color="auto" w:fill="FFFFFF"/>
          <w:lang w:val="pt-PT"/>
        </w:rPr>
        <w:t>setores</w:t>
      </w:r>
      <w:proofErr w:type="spellEnd"/>
      <w:r w:rsidRPr="00C84163">
        <w:rPr>
          <w:rFonts w:ascii="Garamond" w:eastAsia="Times New Roman" w:hAnsi="Garamond" w:cs="Arial"/>
          <w:color w:val="403D39"/>
          <w:shd w:val="clear" w:color="auto" w:fill="FFFFFF"/>
          <w:lang w:val="pt-PT"/>
        </w:rPr>
        <w:t xml:space="preserve">, tais como saúde, </w:t>
      </w:r>
      <w:proofErr w:type="spellStart"/>
      <w:r w:rsidRPr="00C84163">
        <w:rPr>
          <w:rFonts w:ascii="Garamond" w:eastAsia="Times New Roman" w:hAnsi="Garamond" w:cs="Arial"/>
          <w:color w:val="403D39"/>
          <w:shd w:val="clear" w:color="auto" w:fill="FFFFFF"/>
          <w:lang w:val="pt-PT"/>
        </w:rPr>
        <w:t>proteção</w:t>
      </w:r>
      <w:proofErr w:type="spellEnd"/>
      <w:r w:rsidRPr="00C84163">
        <w:rPr>
          <w:rFonts w:ascii="Garamond" w:eastAsia="Times New Roman" w:hAnsi="Garamond" w:cs="Arial"/>
          <w:color w:val="403D39"/>
          <w:shd w:val="clear" w:color="auto" w:fill="FFFFFF"/>
          <w:lang w:val="pt-PT"/>
        </w:rPr>
        <w:t xml:space="preserve"> social, justiça e outros. A implementação do plano será estribada em parcerias e diálogo continuo com diferentes </w:t>
      </w:r>
      <w:proofErr w:type="spellStart"/>
      <w:r w:rsidRPr="00C84163">
        <w:rPr>
          <w:rFonts w:ascii="Garamond" w:eastAsia="Times New Roman" w:hAnsi="Garamond" w:cs="Arial"/>
          <w:color w:val="403D39"/>
          <w:shd w:val="clear" w:color="auto" w:fill="FFFFFF"/>
          <w:lang w:val="pt-PT"/>
        </w:rPr>
        <w:t>atores</w:t>
      </w:r>
      <w:proofErr w:type="spellEnd"/>
      <w:r w:rsidRPr="00C84163">
        <w:rPr>
          <w:rFonts w:ascii="Garamond" w:eastAsia="Times New Roman" w:hAnsi="Garamond" w:cs="Arial"/>
          <w:color w:val="403D39"/>
          <w:shd w:val="clear" w:color="auto" w:fill="FFFFFF"/>
          <w:lang w:val="pt-PT"/>
        </w:rPr>
        <w:t xml:space="preserve"> implicados, nomeadamente, os sectores e instituições governamentais, organizações da sociedade civil organizada, academia, sector privado, autarquias, parlamento, entre outros. Procurar</w:t>
      </w:r>
      <w:r w:rsidR="00C0147E">
        <w:rPr>
          <w:rFonts w:ascii="Garamond" w:eastAsia="Times New Roman" w:hAnsi="Garamond" w:cs="Arial"/>
          <w:color w:val="403D39"/>
          <w:shd w:val="clear" w:color="auto" w:fill="FFFFFF"/>
          <w:lang w:val="pt-PT"/>
        </w:rPr>
        <w:t>á</w:t>
      </w:r>
      <w:r w:rsidRPr="00C84163">
        <w:rPr>
          <w:rFonts w:ascii="Garamond" w:eastAsia="Times New Roman" w:hAnsi="Garamond" w:cs="Arial"/>
          <w:color w:val="403D39"/>
          <w:shd w:val="clear" w:color="auto" w:fill="FFFFFF"/>
          <w:lang w:val="pt-PT"/>
        </w:rPr>
        <w:t xml:space="preserve"> igualmente reforçar as parcerias entre países, com atenção especial as parceria sul-sul, com organizações internacionais e outras, na procura de conhecimento e de trocas de experiências e assistência técnica que possam apoiar na prossecução dos resultados preconizados. </w:t>
      </w:r>
      <w:r w:rsidRPr="00C84163">
        <w:rPr>
          <w:rFonts w:ascii="Garamond" w:hAnsi="Garamond"/>
          <w:lang w:val="pt-PT"/>
        </w:rPr>
        <w:t>Adicionalmente, a procura de parcerias continua a ser crucial para Cabo Verde, sendo a integração da igualdade de género um critério incontornável na mobilização de financiamento e no estabelecimento de novas parcerias.</w:t>
      </w:r>
    </w:p>
    <w:p w14:paraId="1D4ECE98" w14:textId="77777777" w:rsidR="00F1265A" w:rsidRPr="00C0147E" w:rsidRDefault="00F1265A" w:rsidP="00C0147E">
      <w:pPr>
        <w:pStyle w:val="Ttulo2"/>
        <w:jc w:val="both"/>
        <w:rPr>
          <w:rFonts w:ascii="Garamond" w:hAnsi="Garamond" w:cs="Times New Roman"/>
          <w:b/>
          <w:color w:val="auto"/>
          <w:sz w:val="28"/>
          <w:szCs w:val="28"/>
          <w:lang w:val="pt-PT"/>
        </w:rPr>
      </w:pPr>
      <w:bookmarkStart w:id="22" w:name="_Toc32858126"/>
      <w:r w:rsidRPr="00C0147E">
        <w:rPr>
          <w:rFonts w:ascii="Garamond" w:hAnsi="Garamond" w:cs="Times New Roman"/>
          <w:b/>
          <w:color w:val="auto"/>
          <w:sz w:val="28"/>
          <w:szCs w:val="28"/>
          <w:lang w:val="pt-PT"/>
        </w:rPr>
        <w:t xml:space="preserve">Visão e Missão do </w:t>
      </w:r>
      <w:proofErr w:type="spellStart"/>
      <w:r w:rsidRPr="00C0147E">
        <w:rPr>
          <w:rFonts w:ascii="Garamond" w:hAnsi="Garamond" w:cs="Times New Roman"/>
          <w:b/>
          <w:color w:val="auto"/>
          <w:sz w:val="28"/>
          <w:szCs w:val="28"/>
          <w:lang w:val="pt-PT"/>
        </w:rPr>
        <w:t>PNIG</w:t>
      </w:r>
      <w:bookmarkEnd w:id="22"/>
      <w:proofErr w:type="spellEnd"/>
    </w:p>
    <w:p w14:paraId="1ECAA393" w14:textId="77777777" w:rsidR="00C85792" w:rsidRDefault="00C85792" w:rsidP="00F1265A">
      <w:pPr>
        <w:pStyle w:val="PargrafodaLista"/>
        <w:spacing w:line="276" w:lineRule="auto"/>
        <w:ind w:left="0"/>
        <w:jc w:val="both"/>
        <w:rPr>
          <w:rFonts w:ascii="Garamond" w:hAnsi="Garamond" w:cs="Times New Roman"/>
          <w:bCs/>
          <w:sz w:val="28"/>
          <w:szCs w:val="28"/>
          <w:u w:val="single"/>
          <w:lang w:val="pt-PT"/>
        </w:rPr>
      </w:pPr>
    </w:p>
    <w:p w14:paraId="1F53005F" w14:textId="47B25098" w:rsidR="00F1265A" w:rsidRPr="00C0147E" w:rsidRDefault="00F1265A" w:rsidP="00F1265A">
      <w:pPr>
        <w:pStyle w:val="PargrafodaLista"/>
        <w:spacing w:line="276" w:lineRule="auto"/>
        <w:ind w:left="0"/>
        <w:jc w:val="both"/>
        <w:rPr>
          <w:rFonts w:ascii="Garamond" w:hAnsi="Garamond" w:cs="Times New Roman"/>
          <w:bCs/>
          <w:sz w:val="28"/>
          <w:szCs w:val="28"/>
          <w:u w:val="single"/>
          <w:lang w:val="pt-PT"/>
        </w:rPr>
      </w:pPr>
      <w:r w:rsidRPr="00C0147E">
        <w:rPr>
          <w:rFonts w:ascii="Garamond" w:hAnsi="Garamond" w:cs="Times New Roman"/>
          <w:bCs/>
          <w:sz w:val="28"/>
          <w:szCs w:val="28"/>
          <w:u w:val="single"/>
          <w:lang w:val="pt-PT"/>
        </w:rPr>
        <w:t>Visão</w:t>
      </w:r>
    </w:p>
    <w:p w14:paraId="4E41FEF9" w14:textId="6D4E9618" w:rsidR="00F1265A" w:rsidRPr="000C7A40" w:rsidRDefault="00F1265A" w:rsidP="00F1265A">
      <w:pPr>
        <w:jc w:val="both"/>
        <w:rPr>
          <w:rFonts w:ascii="Garamond" w:hAnsi="Garamond"/>
          <w:i/>
          <w:lang w:val="pt-PT"/>
        </w:rPr>
      </w:pPr>
      <w:r w:rsidRPr="000C7A40">
        <w:rPr>
          <w:rFonts w:ascii="Garamond" w:hAnsi="Garamond"/>
          <w:lang w:val="pt-PT"/>
        </w:rPr>
        <w:t xml:space="preserve">Alinhada com a visão do programa do Governo e do </w:t>
      </w:r>
      <w:proofErr w:type="spellStart"/>
      <w:r w:rsidRPr="000C7A40">
        <w:rPr>
          <w:rFonts w:ascii="Garamond" w:hAnsi="Garamond"/>
          <w:lang w:val="pt-PT"/>
        </w:rPr>
        <w:t>PEDS</w:t>
      </w:r>
      <w:proofErr w:type="spellEnd"/>
      <w:r w:rsidRPr="000C7A40">
        <w:rPr>
          <w:rFonts w:ascii="Garamond" w:hAnsi="Garamond"/>
          <w:lang w:val="pt-PT"/>
        </w:rPr>
        <w:t xml:space="preserve">, a </w:t>
      </w:r>
      <w:r w:rsidRPr="000C7A40">
        <w:rPr>
          <w:rFonts w:ascii="Garamond" w:hAnsi="Garamond"/>
          <w:b/>
          <w:lang w:val="pt-PT"/>
        </w:rPr>
        <w:t>visão</w:t>
      </w:r>
      <w:r w:rsidRPr="000C7A40">
        <w:rPr>
          <w:rFonts w:ascii="Garamond" w:hAnsi="Garamond"/>
          <w:lang w:val="pt-PT"/>
        </w:rPr>
        <w:t xml:space="preserve"> do </w:t>
      </w:r>
      <w:proofErr w:type="spellStart"/>
      <w:r w:rsidRPr="000C7A40">
        <w:rPr>
          <w:rFonts w:ascii="Garamond" w:hAnsi="Garamond"/>
          <w:lang w:val="pt-PT"/>
        </w:rPr>
        <w:t>PNIG</w:t>
      </w:r>
      <w:proofErr w:type="spellEnd"/>
      <w:r w:rsidRPr="000C7A40">
        <w:rPr>
          <w:rFonts w:ascii="Garamond" w:hAnsi="Garamond"/>
          <w:lang w:val="pt-PT"/>
        </w:rPr>
        <w:t xml:space="preserve"> </w:t>
      </w:r>
      <w:r w:rsidR="003C4BDB">
        <w:rPr>
          <w:rFonts w:ascii="Garamond" w:hAnsi="Garamond"/>
          <w:lang w:val="pt-PT"/>
        </w:rPr>
        <w:t>é</w:t>
      </w:r>
      <w:r w:rsidRPr="000C7A40">
        <w:rPr>
          <w:rFonts w:ascii="Garamond" w:hAnsi="Garamond"/>
          <w:lang w:val="pt-PT"/>
        </w:rPr>
        <w:t xml:space="preserve"> de </w:t>
      </w:r>
      <w:r w:rsidRPr="000C7A40">
        <w:rPr>
          <w:rFonts w:ascii="Garamond" w:hAnsi="Garamond"/>
          <w:i/>
          <w:lang w:val="pt-PT"/>
        </w:rPr>
        <w:t xml:space="preserve">Um Cabo Verde desenvolvido, inclusivo, democrático, aberto ao mundo, moderno, seguro, onde imperam o pleno emprego e a liberdade plena </w:t>
      </w:r>
      <w:r w:rsidRPr="008E7730">
        <w:rPr>
          <w:rFonts w:ascii="Garamond" w:hAnsi="Garamond"/>
          <w:b/>
          <w:i/>
          <w:lang w:val="pt-PT"/>
        </w:rPr>
        <w:t>para todos e todas</w:t>
      </w:r>
      <w:r w:rsidRPr="000C7A40">
        <w:rPr>
          <w:rFonts w:ascii="Garamond" w:hAnsi="Garamond"/>
          <w:i/>
          <w:lang w:val="pt-PT"/>
        </w:rPr>
        <w:t xml:space="preserve">. </w:t>
      </w:r>
    </w:p>
    <w:p w14:paraId="54DF74B7" w14:textId="77777777" w:rsidR="00F1265A" w:rsidRPr="008E7730" w:rsidRDefault="00F1265A" w:rsidP="00F1265A">
      <w:pPr>
        <w:jc w:val="both"/>
        <w:rPr>
          <w:rFonts w:ascii="Garamond" w:hAnsi="Garamond" w:cs="Times New Roman"/>
          <w:i/>
          <w:lang w:val="pt-PT"/>
        </w:rPr>
      </w:pPr>
      <w:r w:rsidRPr="000C7A40">
        <w:rPr>
          <w:rFonts w:ascii="Garamond" w:hAnsi="Garamond"/>
          <w:lang w:val="pt-PT"/>
        </w:rPr>
        <w:t xml:space="preserve"> </w:t>
      </w:r>
    </w:p>
    <w:p w14:paraId="1B8D7DA7" w14:textId="77777777" w:rsidR="00F1265A" w:rsidRPr="00C0147E" w:rsidRDefault="00F1265A" w:rsidP="00F1265A">
      <w:pPr>
        <w:pStyle w:val="PargrafodaLista"/>
        <w:spacing w:line="276" w:lineRule="auto"/>
        <w:ind w:left="0"/>
        <w:jc w:val="both"/>
        <w:rPr>
          <w:rFonts w:ascii="Garamond" w:hAnsi="Garamond" w:cs="Times New Roman"/>
          <w:bCs/>
          <w:sz w:val="28"/>
          <w:szCs w:val="28"/>
          <w:u w:val="single"/>
          <w:lang w:val="pt-PT"/>
        </w:rPr>
      </w:pPr>
      <w:r w:rsidRPr="00C0147E">
        <w:rPr>
          <w:rFonts w:ascii="Garamond" w:hAnsi="Garamond" w:cs="Times New Roman"/>
          <w:bCs/>
          <w:sz w:val="28"/>
          <w:szCs w:val="28"/>
          <w:u w:val="single"/>
          <w:lang w:val="pt-PT"/>
        </w:rPr>
        <w:t>Missão</w:t>
      </w:r>
    </w:p>
    <w:p w14:paraId="1E1A3C19" w14:textId="77777777" w:rsidR="00F1265A" w:rsidRPr="000C7A40" w:rsidRDefault="00F1265A" w:rsidP="00F1265A">
      <w:pPr>
        <w:pStyle w:val="PargrafodaLista"/>
        <w:spacing w:line="276" w:lineRule="auto"/>
        <w:ind w:left="0"/>
        <w:jc w:val="both"/>
        <w:rPr>
          <w:rFonts w:ascii="Garamond" w:hAnsi="Garamond" w:cs="Times New Roman"/>
          <w:b/>
          <w:lang w:val="pt-PT"/>
        </w:rPr>
      </w:pPr>
      <w:r w:rsidRPr="000C7A40">
        <w:rPr>
          <w:rFonts w:ascii="Garamond" w:hAnsi="Garamond"/>
          <w:i/>
          <w:iCs/>
          <w:lang w:val="pt-PT"/>
        </w:rPr>
        <w:t>Contribuir de forma integral para a promoção da igualdade de direitos, deveres e oportunidades para homens e mulheres e ao empoderamento das mulheres.</w:t>
      </w:r>
    </w:p>
    <w:p w14:paraId="6F80490C" w14:textId="77777777" w:rsidR="00F1265A" w:rsidRPr="000C7A40" w:rsidRDefault="00F1265A" w:rsidP="00F1265A">
      <w:pPr>
        <w:pStyle w:val="PargrafodaLista"/>
        <w:spacing w:line="276" w:lineRule="auto"/>
        <w:jc w:val="both"/>
        <w:rPr>
          <w:rFonts w:ascii="Garamond" w:hAnsi="Garamond" w:cs="Times New Roman"/>
          <w:b/>
          <w:lang w:val="pt-PT"/>
        </w:rPr>
      </w:pPr>
    </w:p>
    <w:p w14:paraId="277F3384" w14:textId="654F5B90" w:rsidR="00F1265A" w:rsidRPr="001E3A97" w:rsidRDefault="00F1265A" w:rsidP="001E3A97">
      <w:pPr>
        <w:pStyle w:val="Ttulo2"/>
        <w:jc w:val="both"/>
        <w:rPr>
          <w:rFonts w:ascii="Garamond" w:hAnsi="Garamond" w:cs="Times New Roman"/>
          <w:b/>
          <w:color w:val="auto"/>
          <w:sz w:val="28"/>
          <w:szCs w:val="28"/>
          <w:lang w:val="pt-PT"/>
        </w:rPr>
      </w:pPr>
      <w:bookmarkStart w:id="23" w:name="_Toc32858127"/>
      <w:r w:rsidRPr="001E3A97">
        <w:rPr>
          <w:rFonts w:ascii="Garamond" w:hAnsi="Garamond" w:cs="Times New Roman"/>
          <w:b/>
          <w:color w:val="auto"/>
          <w:sz w:val="28"/>
          <w:szCs w:val="28"/>
          <w:lang w:val="pt-PT"/>
        </w:rPr>
        <w:t>Eixos Prioritários</w:t>
      </w:r>
      <w:bookmarkEnd w:id="23"/>
      <w:r w:rsidRPr="001E3A97">
        <w:rPr>
          <w:rFonts w:ascii="Garamond" w:hAnsi="Garamond" w:cs="Times New Roman"/>
          <w:b/>
          <w:color w:val="auto"/>
          <w:sz w:val="28"/>
          <w:szCs w:val="28"/>
          <w:lang w:val="pt-PT"/>
        </w:rPr>
        <w:t xml:space="preserve"> </w:t>
      </w:r>
    </w:p>
    <w:p w14:paraId="55E826FE" w14:textId="77777777" w:rsidR="00F1265A" w:rsidRDefault="00F1265A" w:rsidP="00F1265A">
      <w:pPr>
        <w:pStyle w:val="PargrafodaLista"/>
        <w:spacing w:line="276" w:lineRule="auto"/>
        <w:jc w:val="both"/>
        <w:rPr>
          <w:rFonts w:ascii="Garamond" w:hAnsi="Garamond" w:cs="Times New Roman"/>
          <w:b/>
          <w:color w:val="FF0000"/>
          <w:sz w:val="28"/>
          <w:szCs w:val="28"/>
          <w:lang w:val="pt-PT"/>
        </w:rPr>
      </w:pPr>
    </w:p>
    <w:p w14:paraId="462CC886" w14:textId="77777777" w:rsidR="00F1265A" w:rsidRPr="000C7A40" w:rsidRDefault="00F1265A" w:rsidP="00F1265A">
      <w:pPr>
        <w:jc w:val="both"/>
        <w:rPr>
          <w:rFonts w:ascii="Garamond" w:hAnsi="Garamond" w:cs="Times New Roman"/>
          <w:b/>
          <w:color w:val="FF0000"/>
          <w:lang w:val="pt-PT"/>
        </w:rPr>
      </w:pPr>
      <w:r>
        <w:rPr>
          <w:rFonts w:ascii="Garamond" w:hAnsi="Garamond"/>
          <w:lang w:val="pt-PT" w:eastAsia="fr-CH"/>
        </w:rPr>
        <w:t xml:space="preserve">Considerando o contexto e </w:t>
      </w:r>
      <w:r w:rsidRPr="000C7A40">
        <w:rPr>
          <w:rFonts w:ascii="Garamond" w:hAnsi="Garamond"/>
          <w:lang w:val="pt-PT" w:eastAsia="fr-CH"/>
        </w:rPr>
        <w:t xml:space="preserve">os principais problemas e desafios identificados, foram identificados seis eixos prioritários intrinsecamente alinhados com os eixos de intervenção do </w:t>
      </w:r>
      <w:proofErr w:type="spellStart"/>
      <w:r w:rsidRPr="000C7A40">
        <w:rPr>
          <w:rFonts w:ascii="Garamond" w:hAnsi="Garamond"/>
          <w:lang w:val="pt-PT" w:eastAsia="fr-CH"/>
        </w:rPr>
        <w:t>PEDS</w:t>
      </w:r>
      <w:proofErr w:type="spellEnd"/>
      <w:r w:rsidRPr="000C7A40">
        <w:rPr>
          <w:rFonts w:ascii="Garamond" w:hAnsi="Garamond"/>
          <w:lang w:val="pt-PT" w:eastAsia="fr-CH"/>
        </w:rPr>
        <w:t>, relativamente a igualdade de género</w:t>
      </w:r>
      <w:r>
        <w:rPr>
          <w:rFonts w:ascii="Garamond" w:hAnsi="Garamond"/>
          <w:lang w:val="pt-PT" w:eastAsia="fr-CH"/>
        </w:rPr>
        <w:t>:</w:t>
      </w:r>
    </w:p>
    <w:p w14:paraId="3F1585E3" w14:textId="77777777" w:rsidR="00F1265A" w:rsidRDefault="00F1265A" w:rsidP="00F1265A">
      <w:pPr>
        <w:spacing w:line="276" w:lineRule="auto"/>
        <w:jc w:val="both"/>
        <w:rPr>
          <w:rFonts w:ascii="Garamond" w:hAnsi="Garamond" w:cs="Times New Roman"/>
          <w:b/>
          <w:color w:val="FF0000"/>
          <w:sz w:val="28"/>
          <w:szCs w:val="28"/>
          <w:lang w:val="pt-PT"/>
        </w:rPr>
      </w:pPr>
    </w:p>
    <w:p w14:paraId="37BE1AB3" w14:textId="16A502A5" w:rsidR="00F1265A" w:rsidRPr="00004E79" w:rsidRDefault="00F1265A" w:rsidP="00152725">
      <w:pPr>
        <w:pStyle w:val="PargrafodaLista"/>
        <w:numPr>
          <w:ilvl w:val="0"/>
          <w:numId w:val="6"/>
        </w:numPr>
        <w:spacing w:line="276" w:lineRule="auto"/>
        <w:jc w:val="both"/>
        <w:rPr>
          <w:rFonts w:ascii="Garamond" w:hAnsi="Garamond" w:cs="Times New Roman"/>
          <w:b/>
          <w:color w:val="000000" w:themeColor="text1"/>
          <w:lang w:val="pt-PT"/>
        </w:rPr>
      </w:pPr>
      <w:r w:rsidRPr="00004E79">
        <w:rPr>
          <w:rFonts w:ascii="Garamond" w:hAnsi="Garamond" w:cs="Times New Roman"/>
          <w:b/>
          <w:color w:val="000000" w:themeColor="text1"/>
          <w:lang w:val="pt-PT"/>
        </w:rPr>
        <w:t>Empoderamento Econ</w:t>
      </w:r>
      <w:r w:rsidR="00290FAA">
        <w:rPr>
          <w:rFonts w:ascii="Garamond" w:hAnsi="Garamond" w:cs="Times New Roman"/>
          <w:b/>
          <w:color w:val="000000" w:themeColor="text1"/>
          <w:lang w:val="pt-PT"/>
        </w:rPr>
        <w:t>ó</w:t>
      </w:r>
      <w:r w:rsidRPr="00004E79">
        <w:rPr>
          <w:rFonts w:ascii="Garamond" w:hAnsi="Garamond" w:cs="Times New Roman"/>
          <w:b/>
          <w:color w:val="000000" w:themeColor="text1"/>
          <w:lang w:val="pt-PT"/>
        </w:rPr>
        <w:t xml:space="preserve">mico </w:t>
      </w:r>
      <w:r w:rsidRPr="00572B11">
        <w:rPr>
          <w:rFonts w:ascii="Garamond" w:hAnsi="Garamond" w:cs="Times New Roman"/>
          <w:b/>
          <w:lang w:val="pt-PT"/>
        </w:rPr>
        <w:t>e Igualdade no Trabalho</w:t>
      </w:r>
    </w:p>
    <w:p w14:paraId="13131893" w14:textId="54CE3E85" w:rsidR="00F1265A" w:rsidRPr="00004E79" w:rsidRDefault="00F1265A" w:rsidP="00152725">
      <w:pPr>
        <w:pStyle w:val="PargrafodaLista"/>
        <w:numPr>
          <w:ilvl w:val="0"/>
          <w:numId w:val="6"/>
        </w:numPr>
        <w:spacing w:line="276" w:lineRule="auto"/>
        <w:jc w:val="both"/>
        <w:rPr>
          <w:rFonts w:ascii="Garamond" w:hAnsi="Garamond" w:cs="Times New Roman"/>
          <w:b/>
          <w:color w:val="000000" w:themeColor="text1"/>
          <w:lang w:val="pt-PT"/>
        </w:rPr>
      </w:pPr>
      <w:r w:rsidRPr="00004E79">
        <w:rPr>
          <w:rFonts w:ascii="Garamond" w:hAnsi="Garamond" w:cs="Times New Roman"/>
          <w:b/>
          <w:color w:val="000000" w:themeColor="text1"/>
          <w:lang w:val="pt-PT"/>
        </w:rPr>
        <w:t>V</w:t>
      </w:r>
      <w:r w:rsidR="00572B11">
        <w:rPr>
          <w:rFonts w:ascii="Garamond" w:hAnsi="Garamond" w:cs="Times New Roman"/>
          <w:b/>
          <w:color w:val="000000" w:themeColor="text1"/>
          <w:lang w:val="pt-PT"/>
        </w:rPr>
        <w:t xml:space="preserve">iolência </w:t>
      </w:r>
      <w:r w:rsidR="00C866C1">
        <w:rPr>
          <w:rFonts w:ascii="Garamond" w:hAnsi="Garamond" w:cs="Times New Roman"/>
          <w:b/>
          <w:color w:val="000000" w:themeColor="text1"/>
          <w:lang w:val="pt-PT"/>
        </w:rPr>
        <w:t>Baseada</w:t>
      </w:r>
      <w:r w:rsidR="00572B11">
        <w:rPr>
          <w:rFonts w:ascii="Garamond" w:hAnsi="Garamond" w:cs="Times New Roman"/>
          <w:b/>
          <w:color w:val="000000" w:themeColor="text1"/>
          <w:lang w:val="pt-PT"/>
        </w:rPr>
        <w:t xml:space="preserve"> no Género (</w:t>
      </w:r>
      <w:proofErr w:type="spellStart"/>
      <w:r w:rsidR="00572B11">
        <w:rPr>
          <w:rFonts w:ascii="Garamond" w:hAnsi="Garamond" w:cs="Times New Roman"/>
          <w:b/>
          <w:color w:val="000000" w:themeColor="text1"/>
          <w:lang w:val="pt-PT"/>
        </w:rPr>
        <w:t>V</w:t>
      </w:r>
      <w:r w:rsidRPr="00004E79">
        <w:rPr>
          <w:rFonts w:ascii="Garamond" w:hAnsi="Garamond" w:cs="Times New Roman"/>
          <w:b/>
          <w:color w:val="000000" w:themeColor="text1"/>
          <w:lang w:val="pt-PT"/>
        </w:rPr>
        <w:t>BG</w:t>
      </w:r>
      <w:proofErr w:type="spellEnd"/>
      <w:r w:rsidR="00572B11">
        <w:rPr>
          <w:rFonts w:ascii="Garamond" w:hAnsi="Garamond" w:cs="Times New Roman"/>
          <w:b/>
          <w:color w:val="000000" w:themeColor="text1"/>
          <w:lang w:val="pt-PT"/>
        </w:rPr>
        <w:t>)</w:t>
      </w:r>
    </w:p>
    <w:p w14:paraId="5EA2872F" w14:textId="77777777" w:rsidR="00F1265A" w:rsidRDefault="00F1265A" w:rsidP="00152725">
      <w:pPr>
        <w:pStyle w:val="PargrafodaLista"/>
        <w:numPr>
          <w:ilvl w:val="0"/>
          <w:numId w:val="6"/>
        </w:numPr>
        <w:spacing w:line="276" w:lineRule="auto"/>
        <w:jc w:val="both"/>
        <w:rPr>
          <w:rFonts w:ascii="Garamond" w:hAnsi="Garamond" w:cs="Times New Roman"/>
          <w:b/>
          <w:color w:val="000000" w:themeColor="text1"/>
          <w:lang w:val="pt-PT"/>
        </w:rPr>
      </w:pPr>
      <w:r w:rsidRPr="00004E79">
        <w:rPr>
          <w:rFonts w:ascii="Garamond" w:hAnsi="Garamond" w:cs="Times New Roman"/>
          <w:b/>
          <w:color w:val="000000" w:themeColor="text1"/>
          <w:lang w:val="pt-PT"/>
        </w:rPr>
        <w:t>Educação e Formação Profissional</w:t>
      </w:r>
    </w:p>
    <w:p w14:paraId="1C28F05E" w14:textId="77777777" w:rsidR="00F1265A" w:rsidRPr="00004E79" w:rsidRDefault="00F1265A" w:rsidP="00152725">
      <w:pPr>
        <w:pStyle w:val="PargrafodaLista"/>
        <w:numPr>
          <w:ilvl w:val="0"/>
          <w:numId w:val="6"/>
        </w:numPr>
        <w:spacing w:line="276" w:lineRule="auto"/>
        <w:jc w:val="both"/>
        <w:rPr>
          <w:rFonts w:ascii="Garamond" w:hAnsi="Garamond" w:cs="Times New Roman"/>
          <w:b/>
          <w:color w:val="000000" w:themeColor="text1"/>
          <w:lang w:val="pt-PT"/>
        </w:rPr>
      </w:pPr>
      <w:r w:rsidRPr="00004E79">
        <w:rPr>
          <w:rFonts w:ascii="Garamond" w:hAnsi="Garamond" w:cs="Times New Roman"/>
          <w:b/>
          <w:color w:val="000000" w:themeColor="text1"/>
          <w:lang w:val="pt-PT"/>
        </w:rPr>
        <w:t>Saúde e Direitos Sexuais e Reprodutivos</w:t>
      </w:r>
    </w:p>
    <w:p w14:paraId="6999F4E7" w14:textId="77777777" w:rsidR="00F1265A" w:rsidRDefault="00F1265A" w:rsidP="00152725">
      <w:pPr>
        <w:pStyle w:val="PargrafodaLista"/>
        <w:numPr>
          <w:ilvl w:val="0"/>
          <w:numId w:val="6"/>
        </w:numPr>
        <w:spacing w:line="276" w:lineRule="auto"/>
        <w:jc w:val="both"/>
        <w:rPr>
          <w:rFonts w:ascii="Garamond" w:hAnsi="Garamond" w:cs="Times New Roman"/>
          <w:b/>
          <w:color w:val="000000" w:themeColor="text1"/>
          <w:lang w:val="pt-PT"/>
        </w:rPr>
      </w:pPr>
      <w:r w:rsidRPr="00004E79">
        <w:rPr>
          <w:rFonts w:ascii="Garamond" w:hAnsi="Garamond" w:cs="Times New Roman"/>
          <w:b/>
          <w:color w:val="000000" w:themeColor="text1"/>
          <w:lang w:val="pt-PT"/>
        </w:rPr>
        <w:t>Participação Política e Exercício do Poder</w:t>
      </w:r>
    </w:p>
    <w:p w14:paraId="525528F2" w14:textId="56E7935F" w:rsidR="00F1265A" w:rsidRPr="001F0D9C" w:rsidRDefault="004A58A7" w:rsidP="00152725">
      <w:pPr>
        <w:pStyle w:val="PargrafodaLista"/>
        <w:numPr>
          <w:ilvl w:val="0"/>
          <w:numId w:val="6"/>
        </w:numPr>
        <w:spacing w:line="276" w:lineRule="auto"/>
        <w:jc w:val="both"/>
        <w:rPr>
          <w:rFonts w:ascii="Garamond" w:hAnsi="Garamond" w:cs="Times New Roman"/>
          <w:b/>
          <w:color w:val="000000" w:themeColor="text1"/>
          <w:lang w:val="pt-PT"/>
        </w:rPr>
      </w:pPr>
      <w:proofErr w:type="spellStart"/>
      <w:r>
        <w:rPr>
          <w:rFonts w:ascii="Garamond" w:hAnsi="Garamond" w:cs="Times New Roman"/>
          <w:b/>
          <w:color w:val="000000" w:themeColor="text1"/>
          <w:lang w:val="pt-PT"/>
        </w:rPr>
        <w:t>Transversalização</w:t>
      </w:r>
      <w:proofErr w:type="spellEnd"/>
      <w:r w:rsidR="00F1265A" w:rsidRPr="00004E79">
        <w:rPr>
          <w:rFonts w:ascii="Garamond" w:hAnsi="Garamond" w:cs="Times New Roman"/>
          <w:b/>
          <w:color w:val="000000" w:themeColor="text1"/>
          <w:lang w:val="pt-PT"/>
        </w:rPr>
        <w:t xml:space="preserve"> da Abordagem de Género</w:t>
      </w:r>
    </w:p>
    <w:p w14:paraId="28109C64" w14:textId="77777777" w:rsidR="00F1265A" w:rsidRPr="009B6460" w:rsidRDefault="00F1265A" w:rsidP="00F1265A">
      <w:pPr>
        <w:pStyle w:val="PargrafodaLista"/>
        <w:spacing w:line="276" w:lineRule="auto"/>
        <w:ind w:left="1080"/>
        <w:jc w:val="both"/>
        <w:rPr>
          <w:rFonts w:ascii="Garamond" w:hAnsi="Garamond" w:cs="Times New Roman"/>
          <w:b/>
          <w:color w:val="000000" w:themeColor="text1"/>
          <w:sz w:val="28"/>
          <w:szCs w:val="28"/>
          <w:lang w:val="pt-PT"/>
        </w:rPr>
      </w:pPr>
    </w:p>
    <w:p w14:paraId="59869155" w14:textId="77777777" w:rsidR="00F1265A" w:rsidRDefault="00F1265A" w:rsidP="00F1265A">
      <w:pPr>
        <w:spacing w:line="276" w:lineRule="auto"/>
        <w:jc w:val="both"/>
        <w:rPr>
          <w:rFonts w:ascii="Garamond" w:hAnsi="Garamond" w:cs="Times New Roman"/>
          <w:b/>
          <w:color w:val="000000" w:themeColor="text1"/>
          <w:sz w:val="28"/>
          <w:szCs w:val="28"/>
          <w:lang w:val="pt-PT"/>
        </w:rPr>
      </w:pPr>
    </w:p>
    <w:p w14:paraId="0693FEE1" w14:textId="4D46F897" w:rsidR="008E31A2" w:rsidRDefault="008E31A2" w:rsidP="00F1265A">
      <w:pPr>
        <w:spacing w:line="276" w:lineRule="auto"/>
        <w:jc w:val="both"/>
        <w:rPr>
          <w:rFonts w:ascii="Garamond" w:hAnsi="Garamond" w:cs="Times New Roman"/>
          <w:b/>
          <w:color w:val="000000" w:themeColor="text1"/>
          <w:sz w:val="28"/>
          <w:szCs w:val="28"/>
          <w:lang w:val="pt-PT"/>
        </w:rPr>
      </w:pPr>
    </w:p>
    <w:p w14:paraId="16802C93" w14:textId="77777777" w:rsidR="00F1265A" w:rsidRDefault="00F1265A" w:rsidP="00F1265A">
      <w:pPr>
        <w:spacing w:line="276" w:lineRule="auto"/>
        <w:jc w:val="both"/>
        <w:rPr>
          <w:rFonts w:ascii="Garamond" w:hAnsi="Garamond" w:cs="Times New Roman"/>
          <w:b/>
          <w:color w:val="000000" w:themeColor="text1"/>
          <w:sz w:val="28"/>
          <w:szCs w:val="28"/>
          <w:lang w:val="pt-PT"/>
        </w:rPr>
      </w:pPr>
    </w:p>
    <w:p w14:paraId="4E3AB6A7" w14:textId="77777777" w:rsidR="00F1265A" w:rsidRDefault="00F1265A" w:rsidP="00F1265A">
      <w:pPr>
        <w:spacing w:line="276" w:lineRule="auto"/>
        <w:jc w:val="both"/>
        <w:rPr>
          <w:rFonts w:ascii="Garamond" w:hAnsi="Garamond" w:cs="Times New Roman"/>
          <w:b/>
          <w:color w:val="000000" w:themeColor="text1"/>
          <w:sz w:val="28"/>
          <w:szCs w:val="28"/>
          <w:lang w:val="pt-PT"/>
        </w:rPr>
      </w:pPr>
    </w:p>
    <w:p w14:paraId="672DECD2" w14:textId="514AD024" w:rsidR="00342118" w:rsidRDefault="00342118">
      <w:pPr>
        <w:rPr>
          <w:rFonts w:ascii="Garamond" w:hAnsi="Garamond" w:cs="Times New Roman"/>
          <w:b/>
          <w:sz w:val="32"/>
          <w:szCs w:val="32"/>
          <w:lang w:val="pt-PT"/>
        </w:rPr>
      </w:pPr>
      <w:r>
        <w:rPr>
          <w:rFonts w:ascii="Garamond" w:hAnsi="Garamond" w:cs="Times New Roman"/>
          <w:b/>
          <w:sz w:val="32"/>
          <w:szCs w:val="32"/>
          <w:lang w:val="pt-PT"/>
        </w:rPr>
        <w:br w:type="page"/>
      </w:r>
    </w:p>
    <w:p w14:paraId="6D350D84" w14:textId="5165C1DE" w:rsidR="004318F3" w:rsidRPr="00367B25" w:rsidRDefault="004318F3" w:rsidP="0055267C">
      <w:pPr>
        <w:pStyle w:val="PargrafodaLista"/>
        <w:spacing w:after="240"/>
        <w:ind w:left="0"/>
        <w:jc w:val="both"/>
        <w:outlineLvl w:val="2"/>
        <w:rPr>
          <w:rFonts w:ascii="Garamond" w:hAnsi="Garamond" w:cs="Times New Roman"/>
          <w:b/>
          <w:sz w:val="32"/>
          <w:szCs w:val="32"/>
          <w:lang w:val="pt-PT"/>
        </w:rPr>
      </w:pPr>
      <w:bookmarkStart w:id="24" w:name="_Toc32858128"/>
      <w:r w:rsidRPr="00367B25">
        <w:rPr>
          <w:rFonts w:ascii="Garamond" w:hAnsi="Garamond" w:cs="Times New Roman"/>
          <w:b/>
          <w:sz w:val="32"/>
          <w:szCs w:val="32"/>
          <w:lang w:val="pt-PT"/>
        </w:rPr>
        <w:t xml:space="preserve">Eixo </w:t>
      </w:r>
      <w:r w:rsidR="00F7449B">
        <w:rPr>
          <w:rFonts w:ascii="Garamond" w:hAnsi="Garamond" w:cs="Times New Roman"/>
          <w:b/>
          <w:sz w:val="32"/>
          <w:szCs w:val="32"/>
          <w:lang w:val="pt-PT"/>
        </w:rPr>
        <w:t xml:space="preserve">estratégico </w:t>
      </w:r>
      <w:r w:rsidRPr="00367B25">
        <w:rPr>
          <w:rFonts w:ascii="Garamond" w:hAnsi="Garamond" w:cs="Times New Roman"/>
          <w:b/>
          <w:sz w:val="32"/>
          <w:szCs w:val="32"/>
          <w:lang w:val="pt-PT"/>
        </w:rPr>
        <w:t>1 - Empoderamento económico e igualdade no trabalho</w:t>
      </w:r>
      <w:bookmarkEnd w:id="24"/>
      <w:r w:rsidRPr="00367B25">
        <w:rPr>
          <w:rFonts w:ascii="Garamond" w:hAnsi="Garamond" w:cs="Times New Roman"/>
          <w:b/>
          <w:sz w:val="32"/>
          <w:szCs w:val="32"/>
          <w:lang w:val="pt-PT"/>
        </w:rPr>
        <w:t xml:space="preserve"> </w:t>
      </w:r>
    </w:p>
    <w:p w14:paraId="36500A21" w14:textId="77777777" w:rsidR="00FB69C4" w:rsidRPr="00C96041" w:rsidRDefault="00FB69C4" w:rsidP="00FB69C4">
      <w:pPr>
        <w:spacing w:after="240"/>
        <w:contextualSpacing/>
        <w:jc w:val="both"/>
        <w:rPr>
          <w:rFonts w:ascii="Garamond" w:hAnsi="Garamond" w:cs="Arial"/>
          <w:b/>
          <w:bCs/>
          <w:lang w:val="pt-BR"/>
        </w:rPr>
      </w:pPr>
      <w:r w:rsidRPr="00C96041">
        <w:rPr>
          <w:rFonts w:ascii="Garamond" w:hAnsi="Garamond" w:cs="Arial"/>
          <w:b/>
          <w:bCs/>
          <w:lang w:val="pt-BR"/>
        </w:rPr>
        <w:t>Pobreza e pobreza de tempo</w:t>
      </w:r>
    </w:p>
    <w:p w14:paraId="37A17027" w14:textId="77777777" w:rsidR="00FB69C4" w:rsidRPr="001C50C8" w:rsidRDefault="00FB69C4" w:rsidP="00FB69C4">
      <w:pPr>
        <w:spacing w:after="240"/>
        <w:jc w:val="both"/>
        <w:rPr>
          <w:rFonts w:ascii="Garamond" w:hAnsi="Garamond" w:cs="Arial"/>
          <w:lang w:val="pt-BR"/>
        </w:rPr>
      </w:pPr>
      <w:r w:rsidRPr="00C96041">
        <w:rPr>
          <w:rFonts w:ascii="Garamond" w:hAnsi="Garamond" w:cs="Arial"/>
          <w:lang w:val="pt-BR"/>
        </w:rPr>
        <w:t xml:space="preserve">Apesar dos progressos globais </w:t>
      </w:r>
      <w:r>
        <w:rPr>
          <w:rFonts w:ascii="Garamond" w:hAnsi="Garamond" w:cs="Arial"/>
          <w:lang w:val="pt-BR"/>
        </w:rPr>
        <w:t>(</w:t>
      </w:r>
      <w:r w:rsidRPr="00C96041">
        <w:rPr>
          <w:rFonts w:ascii="Garamond" w:hAnsi="Garamond" w:cs="Arial"/>
          <w:lang w:val="pt-BR"/>
        </w:rPr>
        <w:t>a pobreza absoluta passou de 56,8% em 2001, para 45,4% em 2007 e 35,2% em 2015</w:t>
      </w:r>
      <w:r>
        <w:rPr>
          <w:rFonts w:ascii="Garamond" w:hAnsi="Garamond" w:cs="Arial"/>
          <w:lang w:val="pt-BR"/>
        </w:rPr>
        <w:t>),</w:t>
      </w:r>
      <w:r w:rsidRPr="00C96041">
        <w:rPr>
          <w:rStyle w:val="Refdenotaderodap"/>
          <w:rFonts w:ascii="Garamond" w:hAnsi="Garamond" w:cs="Arial"/>
          <w:lang w:val="pt-BR"/>
        </w:rPr>
        <w:footnoteReference w:id="9"/>
      </w:r>
      <w:r>
        <w:rPr>
          <w:rFonts w:ascii="Garamond" w:hAnsi="Garamond" w:cs="Arial"/>
          <w:lang w:val="pt-BR"/>
        </w:rPr>
        <w:t xml:space="preserve"> </w:t>
      </w:r>
      <w:r w:rsidRPr="00C96041">
        <w:rPr>
          <w:rFonts w:ascii="Garamond" w:hAnsi="Garamond" w:cs="Arial"/>
          <w:lang w:val="pt-BR"/>
        </w:rPr>
        <w:t xml:space="preserve">a pobreza absoluta continua a afetar mais de 1/3 da população e em particular as mulheres: 52,9% da população pobre é do sexo feminino e 47,1% do sexo masculino; já a </w:t>
      </w:r>
      <w:r w:rsidRPr="001C50C8">
        <w:rPr>
          <w:rFonts w:ascii="Garamond" w:hAnsi="Garamond" w:cs="Arial"/>
          <w:lang w:val="pt-BR"/>
        </w:rPr>
        <w:t>pobreza extrema, que afeta 1 em cada 10 pessoas no país (10,6%), afeta mais as mulheres - 53,6% dos muito poberes são mulheres. Apesar da redução da pobreza rural,</w:t>
      </w:r>
      <w:r w:rsidRPr="001C50C8">
        <w:rPr>
          <w:rStyle w:val="Refdenotaderodap"/>
          <w:rFonts w:ascii="Garamond" w:hAnsi="Garamond" w:cs="Arial"/>
          <w:lang w:val="pt-BR"/>
        </w:rPr>
        <w:footnoteReference w:id="10"/>
      </w:r>
      <w:r w:rsidRPr="001C50C8">
        <w:rPr>
          <w:rFonts w:ascii="Garamond" w:hAnsi="Garamond" w:cs="Arial"/>
          <w:lang w:val="pt-BR"/>
        </w:rPr>
        <w:t xml:space="preserve"> esta continua a afetar quase 1 em cada 2 pessoas (48,5%) comparado com um pouco mais de 1 em cada 4 pessoas do meio urbano (27,8%); contudo, tendo em conta que a larga maioria da população do país vive em meio urbano, verifica-se que 51% dos pobres vive no meio urbano, embora no caso da pobreza extrema, a maioria viva no meio rural, onde vivem mas de 2 em cada 3 pessoas muito pobres (68%); no meio rural 53,1% dos pobres e 53,6% dos muito pobres são mulheres. </w:t>
      </w:r>
    </w:p>
    <w:p w14:paraId="47584BAE" w14:textId="533C2CB7" w:rsidR="00FB69C4" w:rsidRPr="004F395A" w:rsidRDefault="00FB69C4" w:rsidP="00FB69C4">
      <w:pPr>
        <w:pStyle w:val="Legenda"/>
        <w:spacing w:after="0"/>
        <w:jc w:val="center"/>
        <w:rPr>
          <w:rFonts w:ascii="Garamond" w:hAnsi="Garamond" w:cs="Arial"/>
          <w:b/>
          <w:bCs/>
          <w:i w:val="0"/>
          <w:iCs w:val="0"/>
          <w:color w:val="auto"/>
          <w:sz w:val="20"/>
          <w:szCs w:val="20"/>
          <w:lang w:val="pt-BR"/>
        </w:rPr>
      </w:pPr>
      <w:bookmarkStart w:id="25" w:name="_Toc32856855"/>
      <w:r w:rsidRPr="004F395A">
        <w:rPr>
          <w:rFonts w:ascii="Garamond" w:hAnsi="Garamond"/>
          <w:b/>
          <w:bCs/>
          <w:i w:val="0"/>
          <w:iCs w:val="0"/>
          <w:color w:val="auto"/>
          <w:sz w:val="20"/>
          <w:szCs w:val="20"/>
          <w:lang w:val="pt-PT"/>
        </w:rPr>
        <w:t xml:space="preserve">Gráfico </w:t>
      </w:r>
      <w:r w:rsidRPr="004F395A">
        <w:rPr>
          <w:rFonts w:ascii="Garamond" w:hAnsi="Garamond"/>
          <w:b/>
          <w:bCs/>
          <w:i w:val="0"/>
          <w:iCs w:val="0"/>
          <w:color w:val="auto"/>
          <w:sz w:val="20"/>
          <w:szCs w:val="20"/>
        </w:rPr>
        <w:fldChar w:fldCharType="begin"/>
      </w:r>
      <w:r w:rsidRPr="004F395A">
        <w:rPr>
          <w:rFonts w:ascii="Garamond" w:hAnsi="Garamond"/>
          <w:b/>
          <w:bCs/>
          <w:i w:val="0"/>
          <w:iCs w:val="0"/>
          <w:color w:val="auto"/>
          <w:sz w:val="20"/>
          <w:szCs w:val="20"/>
          <w:lang w:val="pt-PT"/>
        </w:rPr>
        <w:instrText xml:space="preserve"> SEQ Grafico \* ARABIC </w:instrText>
      </w:r>
      <w:r w:rsidRPr="004F395A">
        <w:rPr>
          <w:rFonts w:ascii="Garamond" w:hAnsi="Garamond"/>
          <w:b/>
          <w:bCs/>
          <w:i w:val="0"/>
          <w:iCs w:val="0"/>
          <w:color w:val="auto"/>
          <w:sz w:val="20"/>
          <w:szCs w:val="20"/>
        </w:rPr>
        <w:fldChar w:fldCharType="separate"/>
      </w:r>
      <w:r w:rsidR="009F122A">
        <w:rPr>
          <w:rFonts w:ascii="Garamond" w:hAnsi="Garamond"/>
          <w:b/>
          <w:bCs/>
          <w:i w:val="0"/>
          <w:iCs w:val="0"/>
          <w:noProof/>
          <w:color w:val="auto"/>
          <w:sz w:val="20"/>
          <w:szCs w:val="20"/>
          <w:lang w:val="pt-PT"/>
        </w:rPr>
        <w:t>1</w:t>
      </w:r>
      <w:r w:rsidRPr="004F395A">
        <w:rPr>
          <w:rFonts w:ascii="Garamond" w:hAnsi="Garamond"/>
          <w:b/>
          <w:bCs/>
          <w:i w:val="0"/>
          <w:iCs w:val="0"/>
          <w:color w:val="auto"/>
          <w:sz w:val="20"/>
          <w:szCs w:val="20"/>
        </w:rPr>
        <w:fldChar w:fldCharType="end"/>
      </w:r>
      <w:r w:rsidRPr="004F395A">
        <w:rPr>
          <w:rFonts w:ascii="Garamond" w:hAnsi="Garamond"/>
          <w:b/>
          <w:bCs/>
          <w:i w:val="0"/>
          <w:iCs w:val="0"/>
          <w:color w:val="auto"/>
          <w:sz w:val="20"/>
          <w:szCs w:val="20"/>
          <w:lang w:val="pt-PT"/>
        </w:rPr>
        <w:t xml:space="preserve"> – Proporção de mulheres e homens que são pobres e muito pobres por meio</w:t>
      </w:r>
      <w:bookmarkEnd w:id="25"/>
      <w:r w:rsidRPr="004F395A">
        <w:rPr>
          <w:rFonts w:ascii="Garamond" w:hAnsi="Garamond"/>
          <w:b/>
          <w:bCs/>
          <w:i w:val="0"/>
          <w:iCs w:val="0"/>
          <w:color w:val="auto"/>
          <w:sz w:val="20"/>
          <w:szCs w:val="20"/>
          <w:lang w:val="pt-PT"/>
        </w:rPr>
        <w:t xml:space="preserve"> </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FB69C4" w:rsidRPr="00686769" w14:paraId="50495937" w14:textId="77777777" w:rsidTr="00FE67BB">
        <w:tc>
          <w:tcPr>
            <w:tcW w:w="4505" w:type="dxa"/>
            <w:tcBorders>
              <w:top w:val="single" w:sz="4" w:space="0" w:color="auto"/>
              <w:bottom w:val="single" w:sz="4" w:space="0" w:color="auto"/>
            </w:tcBorders>
            <w:shd w:val="clear" w:color="auto" w:fill="D9D9D9" w:themeFill="background1" w:themeFillShade="D9"/>
          </w:tcPr>
          <w:p w14:paraId="215C1EF1"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População de Cabo Verde</w:t>
            </w:r>
          </w:p>
        </w:tc>
        <w:tc>
          <w:tcPr>
            <w:tcW w:w="4505" w:type="dxa"/>
            <w:tcBorders>
              <w:top w:val="single" w:sz="4" w:space="0" w:color="auto"/>
              <w:bottom w:val="single" w:sz="4" w:space="0" w:color="auto"/>
            </w:tcBorders>
            <w:shd w:val="clear" w:color="auto" w:fill="D9D9D9" w:themeFill="background1" w:themeFillShade="D9"/>
          </w:tcPr>
          <w:p w14:paraId="661BB706"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População Rural</w:t>
            </w:r>
          </w:p>
        </w:tc>
      </w:tr>
      <w:tr w:rsidR="00FB69C4" w:rsidRPr="00686769" w14:paraId="2FF88C6A" w14:textId="77777777" w:rsidTr="00FE67BB">
        <w:tc>
          <w:tcPr>
            <w:tcW w:w="4505" w:type="dxa"/>
            <w:tcBorders>
              <w:top w:val="single" w:sz="4" w:space="0" w:color="auto"/>
              <w:bottom w:val="single" w:sz="4" w:space="0" w:color="auto"/>
            </w:tcBorders>
            <w:shd w:val="clear" w:color="auto" w:fill="F2F2F2" w:themeFill="background1" w:themeFillShade="F2"/>
          </w:tcPr>
          <w:p w14:paraId="28F06C5F"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Pobre</w:t>
            </w:r>
            <w:r>
              <w:rPr>
                <w:rFonts w:ascii="Garamond" w:hAnsi="Garamond" w:cs="Arial"/>
                <w:b/>
                <w:bCs/>
                <w:sz w:val="20"/>
                <w:szCs w:val="20"/>
                <w:lang w:val="pt-BR"/>
              </w:rPr>
              <w:t xml:space="preserve"> (%)</w:t>
            </w:r>
          </w:p>
        </w:tc>
        <w:tc>
          <w:tcPr>
            <w:tcW w:w="4505" w:type="dxa"/>
            <w:tcBorders>
              <w:top w:val="single" w:sz="4" w:space="0" w:color="auto"/>
              <w:bottom w:val="single" w:sz="4" w:space="0" w:color="auto"/>
            </w:tcBorders>
            <w:shd w:val="clear" w:color="auto" w:fill="F2F2F2" w:themeFill="background1" w:themeFillShade="F2"/>
          </w:tcPr>
          <w:p w14:paraId="2A7A46BD"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Pobre</w:t>
            </w:r>
            <w:r>
              <w:rPr>
                <w:rFonts w:ascii="Garamond" w:hAnsi="Garamond" w:cs="Arial"/>
                <w:b/>
                <w:bCs/>
                <w:sz w:val="20"/>
                <w:szCs w:val="20"/>
                <w:lang w:val="pt-BR"/>
              </w:rPr>
              <w:t xml:space="preserve"> (%)</w:t>
            </w:r>
          </w:p>
        </w:tc>
      </w:tr>
      <w:tr w:rsidR="00FB69C4" w:rsidRPr="001C50C8" w14:paraId="6A315A0D" w14:textId="77777777" w:rsidTr="00FE67BB">
        <w:tblPrEx>
          <w:tblCellMar>
            <w:left w:w="70" w:type="dxa"/>
            <w:right w:w="70" w:type="dxa"/>
          </w:tblCellMar>
        </w:tblPrEx>
        <w:tc>
          <w:tcPr>
            <w:tcW w:w="4505" w:type="dxa"/>
            <w:tcBorders>
              <w:top w:val="single" w:sz="4" w:space="0" w:color="auto"/>
              <w:bottom w:val="single" w:sz="4" w:space="0" w:color="auto"/>
            </w:tcBorders>
          </w:tcPr>
          <w:p w14:paraId="6D2F8A7C" w14:textId="77777777" w:rsidR="00FB69C4" w:rsidRPr="001C50C8" w:rsidRDefault="00FB69C4" w:rsidP="00FE67BB">
            <w:pPr>
              <w:jc w:val="center"/>
              <w:rPr>
                <w:rFonts w:ascii="Garamond" w:hAnsi="Garamond" w:cs="Arial"/>
                <w:b/>
                <w:bCs/>
                <w:lang w:val="pt-BR"/>
              </w:rPr>
            </w:pPr>
            <w:r w:rsidRPr="001C50C8">
              <w:rPr>
                <w:noProof/>
              </w:rPr>
              <w:drawing>
                <wp:inline distT="0" distB="0" distL="0" distR="0" wp14:anchorId="58A097FF" wp14:editId="23F3FFB5">
                  <wp:extent cx="2425521" cy="965916"/>
                  <wp:effectExtent l="0" t="0" r="0" b="5715"/>
                  <wp:docPr id="5" name="Gráfico 5">
                    <a:extLst xmlns:a="http://schemas.openxmlformats.org/drawingml/2006/main">
                      <a:ext uri="{FF2B5EF4-FFF2-40B4-BE49-F238E27FC236}">
                        <a16:creationId xmlns:a16="http://schemas.microsoft.com/office/drawing/2014/main" id="{BFF2BF1B-FBE6-4659-872F-19855DF95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505" w:type="dxa"/>
            <w:tcBorders>
              <w:top w:val="single" w:sz="4" w:space="0" w:color="auto"/>
              <w:bottom w:val="single" w:sz="4" w:space="0" w:color="auto"/>
            </w:tcBorders>
          </w:tcPr>
          <w:p w14:paraId="53E097EE" w14:textId="77777777" w:rsidR="00FB69C4" w:rsidRPr="001C50C8" w:rsidRDefault="00FB69C4" w:rsidP="00FE67BB">
            <w:pPr>
              <w:jc w:val="center"/>
              <w:rPr>
                <w:rFonts w:ascii="Garamond" w:hAnsi="Garamond" w:cs="Arial"/>
                <w:b/>
                <w:bCs/>
                <w:lang w:val="pt-BR"/>
              </w:rPr>
            </w:pPr>
            <w:r w:rsidRPr="001C50C8">
              <w:rPr>
                <w:noProof/>
              </w:rPr>
              <w:drawing>
                <wp:inline distT="0" distB="0" distL="0" distR="0" wp14:anchorId="62A59613" wp14:editId="057B3025">
                  <wp:extent cx="2455572" cy="953037"/>
                  <wp:effectExtent l="0" t="0" r="1905" b="38100"/>
                  <wp:docPr id="10" name="Gráfico 10">
                    <a:extLst xmlns:a="http://schemas.openxmlformats.org/drawingml/2006/main">
                      <a:ext uri="{FF2B5EF4-FFF2-40B4-BE49-F238E27FC236}">
                        <a16:creationId xmlns:a16="http://schemas.microsoft.com/office/drawing/2014/main" id="{F6CBB98C-901A-491B-AE8F-82E2EFE2C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FB69C4" w:rsidRPr="00686769" w14:paraId="3D3151EA" w14:textId="77777777" w:rsidTr="00FE67BB">
        <w:tc>
          <w:tcPr>
            <w:tcW w:w="4505" w:type="dxa"/>
            <w:tcBorders>
              <w:top w:val="single" w:sz="4" w:space="0" w:color="auto"/>
              <w:bottom w:val="single" w:sz="4" w:space="0" w:color="auto"/>
            </w:tcBorders>
            <w:shd w:val="clear" w:color="auto" w:fill="F2F2F2" w:themeFill="background1" w:themeFillShade="F2"/>
          </w:tcPr>
          <w:p w14:paraId="0258A7B4"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Muito Pobre</w:t>
            </w:r>
            <w:r>
              <w:rPr>
                <w:rFonts w:ascii="Garamond" w:hAnsi="Garamond" w:cs="Arial"/>
                <w:b/>
                <w:bCs/>
                <w:sz w:val="20"/>
                <w:szCs w:val="20"/>
                <w:lang w:val="pt-BR"/>
              </w:rPr>
              <w:t xml:space="preserve"> (%)</w:t>
            </w:r>
          </w:p>
        </w:tc>
        <w:tc>
          <w:tcPr>
            <w:tcW w:w="4505" w:type="dxa"/>
            <w:tcBorders>
              <w:top w:val="single" w:sz="4" w:space="0" w:color="auto"/>
              <w:bottom w:val="single" w:sz="4" w:space="0" w:color="auto"/>
            </w:tcBorders>
            <w:shd w:val="clear" w:color="auto" w:fill="F2F2F2" w:themeFill="background1" w:themeFillShade="F2"/>
          </w:tcPr>
          <w:p w14:paraId="1E2644FD" w14:textId="77777777" w:rsidR="00FB69C4" w:rsidRPr="00686769" w:rsidRDefault="00FB69C4" w:rsidP="00FE67BB">
            <w:pPr>
              <w:jc w:val="center"/>
              <w:rPr>
                <w:rFonts w:ascii="Garamond" w:hAnsi="Garamond" w:cs="Arial"/>
                <w:b/>
                <w:bCs/>
                <w:sz w:val="20"/>
                <w:szCs w:val="20"/>
                <w:lang w:val="pt-BR"/>
              </w:rPr>
            </w:pPr>
            <w:r w:rsidRPr="00686769">
              <w:rPr>
                <w:rFonts w:ascii="Garamond" w:hAnsi="Garamond" w:cs="Arial"/>
                <w:b/>
                <w:bCs/>
                <w:sz w:val="20"/>
                <w:szCs w:val="20"/>
                <w:lang w:val="pt-BR"/>
              </w:rPr>
              <w:t>Muito Pobre</w:t>
            </w:r>
            <w:r>
              <w:rPr>
                <w:rFonts w:ascii="Garamond" w:hAnsi="Garamond" w:cs="Arial"/>
                <w:b/>
                <w:bCs/>
                <w:sz w:val="20"/>
                <w:szCs w:val="20"/>
                <w:lang w:val="pt-BR"/>
              </w:rPr>
              <w:t xml:space="preserve"> (%)</w:t>
            </w:r>
          </w:p>
        </w:tc>
      </w:tr>
      <w:tr w:rsidR="00FB69C4" w:rsidRPr="001C50C8" w14:paraId="1DD95864" w14:textId="77777777" w:rsidTr="00FE67BB">
        <w:tblPrEx>
          <w:tblCellMar>
            <w:left w:w="70" w:type="dxa"/>
            <w:right w:w="70" w:type="dxa"/>
          </w:tblCellMar>
        </w:tblPrEx>
        <w:tc>
          <w:tcPr>
            <w:tcW w:w="4505" w:type="dxa"/>
            <w:tcBorders>
              <w:top w:val="single" w:sz="4" w:space="0" w:color="auto"/>
            </w:tcBorders>
          </w:tcPr>
          <w:p w14:paraId="28204ABC" w14:textId="77777777" w:rsidR="00FB69C4" w:rsidRPr="001C50C8" w:rsidRDefault="00FB69C4" w:rsidP="00FE67BB">
            <w:pPr>
              <w:jc w:val="center"/>
              <w:rPr>
                <w:rFonts w:ascii="Garamond" w:hAnsi="Garamond" w:cs="Arial"/>
                <w:b/>
                <w:bCs/>
                <w:lang w:val="pt-BR"/>
              </w:rPr>
            </w:pPr>
            <w:r w:rsidRPr="001C50C8">
              <w:rPr>
                <w:noProof/>
              </w:rPr>
              <w:drawing>
                <wp:inline distT="0" distB="0" distL="0" distR="0" wp14:anchorId="61F2BBBA" wp14:editId="3818C8EE">
                  <wp:extent cx="2472856" cy="1141730"/>
                  <wp:effectExtent l="0" t="0" r="3810" b="1270"/>
                  <wp:docPr id="6" name="Gráfico 6">
                    <a:extLst xmlns:a="http://schemas.openxmlformats.org/drawingml/2006/main">
                      <a:ext uri="{FF2B5EF4-FFF2-40B4-BE49-F238E27FC236}">
                        <a16:creationId xmlns:a16="http://schemas.microsoft.com/office/drawing/2014/main" id="{3A7799C7-6DC3-4219-8119-8A8362059D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05" w:type="dxa"/>
            <w:tcBorders>
              <w:top w:val="single" w:sz="4" w:space="0" w:color="auto"/>
            </w:tcBorders>
          </w:tcPr>
          <w:p w14:paraId="79DFE822" w14:textId="77777777" w:rsidR="00FB69C4" w:rsidRPr="001C50C8" w:rsidRDefault="00FB69C4" w:rsidP="00FE67BB">
            <w:pPr>
              <w:jc w:val="center"/>
              <w:rPr>
                <w:rFonts w:ascii="Garamond" w:hAnsi="Garamond" w:cs="Arial"/>
                <w:b/>
                <w:bCs/>
                <w:lang w:val="pt-BR"/>
              </w:rPr>
            </w:pPr>
            <w:r w:rsidRPr="001C50C8">
              <w:rPr>
                <w:noProof/>
              </w:rPr>
              <w:drawing>
                <wp:inline distT="0" distB="0" distL="0" distR="0" wp14:anchorId="29E11DB1" wp14:editId="3C3CD0DD">
                  <wp:extent cx="2466229" cy="1129030"/>
                  <wp:effectExtent l="0" t="0" r="0" b="0"/>
                  <wp:docPr id="33" name="Gráfico 33">
                    <a:extLst xmlns:a="http://schemas.openxmlformats.org/drawingml/2006/main">
                      <a:ext uri="{FF2B5EF4-FFF2-40B4-BE49-F238E27FC236}">
                        <a16:creationId xmlns:a16="http://schemas.microsoft.com/office/drawing/2014/main" id="{11F68545-D4D9-426C-849A-69154ABD8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620A781" w14:textId="77777777" w:rsidR="00FB69C4" w:rsidRPr="001C50C8" w:rsidRDefault="00FB69C4" w:rsidP="00FB69C4">
      <w:pPr>
        <w:spacing w:after="240"/>
        <w:jc w:val="center"/>
        <w:rPr>
          <w:rFonts w:ascii="Garamond" w:hAnsi="Garamond" w:cs="Arial"/>
          <w:b/>
          <w:bCs/>
          <w:sz w:val="20"/>
          <w:szCs w:val="20"/>
          <w:lang w:val="pt-BR"/>
        </w:rPr>
      </w:pPr>
      <w:r w:rsidRPr="001C50C8">
        <w:rPr>
          <w:rFonts w:ascii="Garamond" w:hAnsi="Garamond" w:cs="Arial"/>
          <w:b/>
          <w:bCs/>
          <w:sz w:val="20"/>
          <w:szCs w:val="20"/>
          <w:lang w:val="pt-BR"/>
        </w:rPr>
        <w:t>Fonte:</w:t>
      </w:r>
      <w:r>
        <w:rPr>
          <w:rFonts w:ascii="Garamond" w:hAnsi="Garamond" w:cs="Arial"/>
          <w:b/>
          <w:bCs/>
          <w:sz w:val="20"/>
          <w:szCs w:val="20"/>
          <w:lang w:val="pt-BR"/>
        </w:rPr>
        <w:t xml:space="preserve"> elaboração própria com base nos dados do IDRF III (INE, 2015)</w:t>
      </w:r>
    </w:p>
    <w:p w14:paraId="1DC6DC07" w14:textId="77777777" w:rsidR="00FB69C4" w:rsidRDefault="00FB69C4" w:rsidP="00FB69C4">
      <w:pPr>
        <w:spacing w:after="240"/>
        <w:jc w:val="both"/>
        <w:rPr>
          <w:rFonts w:ascii="Garamond" w:hAnsi="Garamond" w:cs="Arial"/>
          <w:lang w:val="pt-BR"/>
        </w:rPr>
      </w:pPr>
      <w:r w:rsidRPr="001C50C8">
        <w:rPr>
          <w:rFonts w:ascii="Garamond" w:hAnsi="Garamond" w:cs="Arial"/>
          <w:lang w:val="pt-BR"/>
        </w:rPr>
        <w:t xml:space="preserve">Os agregados familiares representados por mulheres são mais afetados pela pobreza: 60,5% dos agregados pobres são representados por mulheres (versus 39,5% dos representados por homens), o que acontece com 62,1% dos agregados muito pobres (versus 37,9%). As diferenças são particularmente marcadas no meio urbano, onde 62,8% dos agregados pobres e 66,3% dos muito pobres são representados por mulheres. </w:t>
      </w:r>
    </w:p>
    <w:p w14:paraId="70F3BC0D" w14:textId="3926EDE5" w:rsidR="00FB69C4" w:rsidRPr="00AD5590" w:rsidRDefault="00FB69C4" w:rsidP="00FB69C4">
      <w:pPr>
        <w:pStyle w:val="Legenda"/>
        <w:spacing w:after="0"/>
        <w:jc w:val="center"/>
        <w:rPr>
          <w:rFonts w:ascii="Garamond" w:hAnsi="Garamond"/>
          <w:b/>
          <w:bCs/>
          <w:i w:val="0"/>
          <w:iCs w:val="0"/>
          <w:sz w:val="20"/>
          <w:szCs w:val="20"/>
          <w:lang w:val="pt-PT"/>
        </w:rPr>
      </w:pPr>
      <w:bookmarkStart w:id="26" w:name="_Toc32856856"/>
      <w:r w:rsidRPr="00AD5590">
        <w:rPr>
          <w:rFonts w:ascii="Garamond" w:hAnsi="Garamond"/>
          <w:b/>
          <w:bCs/>
          <w:i w:val="0"/>
          <w:iCs w:val="0"/>
          <w:sz w:val="20"/>
          <w:szCs w:val="20"/>
          <w:lang w:val="pt-PT"/>
        </w:rPr>
        <w:t xml:space="preserve">Gráfico </w:t>
      </w:r>
      <w:r w:rsidRPr="00AD5590">
        <w:rPr>
          <w:rFonts w:ascii="Garamond" w:hAnsi="Garamond"/>
          <w:b/>
          <w:bCs/>
          <w:i w:val="0"/>
          <w:iCs w:val="0"/>
          <w:sz w:val="20"/>
          <w:szCs w:val="20"/>
          <w:lang w:val="pt-PT"/>
        </w:rPr>
        <w:fldChar w:fldCharType="begin"/>
      </w:r>
      <w:r w:rsidRPr="00AD5590">
        <w:rPr>
          <w:rFonts w:ascii="Garamond" w:hAnsi="Garamond"/>
          <w:b/>
          <w:bCs/>
          <w:i w:val="0"/>
          <w:iCs w:val="0"/>
          <w:sz w:val="20"/>
          <w:szCs w:val="20"/>
          <w:lang w:val="pt-PT"/>
        </w:rPr>
        <w:instrText xml:space="preserve"> SEQ Grafico \* ARABIC </w:instrText>
      </w:r>
      <w:r w:rsidRPr="00AD5590">
        <w:rPr>
          <w:rFonts w:ascii="Garamond" w:hAnsi="Garamond"/>
          <w:b/>
          <w:bCs/>
          <w:i w:val="0"/>
          <w:iCs w:val="0"/>
          <w:sz w:val="20"/>
          <w:szCs w:val="20"/>
          <w:lang w:val="pt-PT"/>
        </w:rPr>
        <w:fldChar w:fldCharType="separate"/>
      </w:r>
      <w:r w:rsidR="009F122A">
        <w:rPr>
          <w:rFonts w:ascii="Garamond" w:hAnsi="Garamond"/>
          <w:b/>
          <w:bCs/>
          <w:i w:val="0"/>
          <w:iCs w:val="0"/>
          <w:noProof/>
          <w:sz w:val="20"/>
          <w:szCs w:val="20"/>
          <w:lang w:val="pt-PT"/>
        </w:rPr>
        <w:t>2</w:t>
      </w:r>
      <w:r w:rsidRPr="00AD5590">
        <w:rPr>
          <w:rFonts w:ascii="Garamond" w:hAnsi="Garamond"/>
          <w:b/>
          <w:bCs/>
          <w:i w:val="0"/>
          <w:iCs w:val="0"/>
          <w:sz w:val="20"/>
          <w:szCs w:val="20"/>
          <w:lang w:val="pt-PT"/>
        </w:rPr>
        <w:fldChar w:fldCharType="end"/>
      </w:r>
      <w:r w:rsidRPr="00AD5590">
        <w:rPr>
          <w:rFonts w:ascii="Garamond" w:hAnsi="Garamond"/>
          <w:b/>
          <w:bCs/>
          <w:i w:val="0"/>
          <w:iCs w:val="0"/>
          <w:sz w:val="20"/>
          <w:szCs w:val="20"/>
          <w:lang w:val="pt-PT"/>
        </w:rPr>
        <w:t xml:space="preserve"> – </w:t>
      </w:r>
      <w:r>
        <w:rPr>
          <w:rFonts w:ascii="Garamond" w:hAnsi="Garamond"/>
          <w:b/>
          <w:bCs/>
          <w:i w:val="0"/>
          <w:iCs w:val="0"/>
          <w:sz w:val="20"/>
          <w:szCs w:val="20"/>
          <w:lang w:val="pt-PT"/>
        </w:rPr>
        <w:t>Agregados pobres e muito pobres por sexo do representante e meio (%)</w:t>
      </w:r>
      <w:bookmarkEnd w:id="26"/>
      <w:r>
        <w:rPr>
          <w:rFonts w:ascii="Garamond" w:hAnsi="Garamond"/>
          <w:b/>
          <w:bCs/>
          <w:i w:val="0"/>
          <w:iCs w:val="0"/>
          <w:sz w:val="20"/>
          <w:szCs w:val="20"/>
          <w:lang w:val="pt-PT"/>
        </w:rPr>
        <w:t xml:space="preserve"> </w:t>
      </w:r>
    </w:p>
    <w:p w14:paraId="518231D0" w14:textId="77777777" w:rsidR="00FB69C4" w:rsidRPr="001C50C8" w:rsidRDefault="00FB69C4" w:rsidP="00FB69C4">
      <w:pPr>
        <w:jc w:val="center"/>
        <w:rPr>
          <w:rFonts w:ascii="Garamond" w:hAnsi="Garamond" w:cs="Arial"/>
          <w:lang w:val="pt-BR"/>
        </w:rPr>
      </w:pPr>
      <w:r w:rsidRPr="001C50C8">
        <w:rPr>
          <w:noProof/>
        </w:rPr>
        <w:drawing>
          <wp:inline distT="0" distB="0" distL="0" distR="0" wp14:anchorId="042585A8" wp14:editId="2E852991">
            <wp:extent cx="5196491" cy="1059815"/>
            <wp:effectExtent l="0" t="0" r="4445" b="6985"/>
            <wp:docPr id="38" name="Gráfico 38">
              <a:extLst xmlns:a="http://schemas.openxmlformats.org/drawingml/2006/main">
                <a:ext uri="{FF2B5EF4-FFF2-40B4-BE49-F238E27FC236}">
                  <a16:creationId xmlns:a16="http://schemas.microsoft.com/office/drawing/2014/main" id="{3B8DDB36-6F30-40AE-AB6E-CC0FC817D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BDD268" w14:textId="77777777" w:rsidR="00FB69C4" w:rsidRPr="001C50C8" w:rsidRDefault="00FB69C4" w:rsidP="00FB69C4">
      <w:pPr>
        <w:jc w:val="center"/>
        <w:rPr>
          <w:rFonts w:ascii="Garamond" w:hAnsi="Garamond" w:cs="Arial"/>
          <w:b/>
          <w:bCs/>
          <w:sz w:val="20"/>
          <w:szCs w:val="20"/>
          <w:lang w:val="pt-BR"/>
        </w:rPr>
      </w:pPr>
      <w:r w:rsidRPr="001C50C8">
        <w:rPr>
          <w:rFonts w:ascii="Garamond" w:hAnsi="Garamond" w:cs="Arial"/>
          <w:b/>
          <w:bCs/>
          <w:sz w:val="20"/>
          <w:szCs w:val="20"/>
          <w:lang w:val="pt-BR"/>
        </w:rPr>
        <w:t>Fonte:</w:t>
      </w:r>
      <w:r>
        <w:rPr>
          <w:rFonts w:ascii="Garamond" w:hAnsi="Garamond" w:cs="Arial"/>
          <w:b/>
          <w:bCs/>
          <w:sz w:val="20"/>
          <w:szCs w:val="20"/>
          <w:lang w:val="pt-BR"/>
        </w:rPr>
        <w:t xml:space="preserve"> elaboração própria com base nos dados do IDRF III (INE, 2015)</w:t>
      </w:r>
    </w:p>
    <w:p w14:paraId="2F3D8B17" w14:textId="77777777" w:rsidR="00FB69C4" w:rsidRPr="00C96041" w:rsidRDefault="00FB69C4" w:rsidP="00FB69C4">
      <w:pPr>
        <w:spacing w:after="240"/>
        <w:jc w:val="both"/>
        <w:rPr>
          <w:rFonts w:ascii="Garamond" w:hAnsi="Garamond" w:cs="Arial"/>
          <w:lang w:val="pt-BR"/>
        </w:rPr>
      </w:pPr>
      <w:r w:rsidRPr="005E2AC4">
        <w:rPr>
          <w:rFonts w:ascii="Garamond" w:hAnsi="Garamond" w:cs="Arial"/>
          <w:lang w:val="pt-BR"/>
        </w:rPr>
        <w:t>Os 10 concelhos com taxas de pobreza e de extrema pobreza mais elevadas do país,</w:t>
      </w:r>
      <w:r w:rsidRPr="005E2AC4">
        <w:rPr>
          <w:rStyle w:val="Refdenotaderodap"/>
          <w:rFonts w:ascii="Garamond" w:hAnsi="Garamond" w:cs="Arial"/>
          <w:lang w:val="pt-BR"/>
        </w:rPr>
        <w:footnoteReference w:id="11"/>
      </w:r>
      <w:r w:rsidRPr="005E2AC4">
        <w:rPr>
          <w:rFonts w:ascii="Garamond" w:hAnsi="Garamond" w:cs="Arial"/>
          <w:lang w:val="pt-BR"/>
        </w:rPr>
        <w:t xml:space="preserve"> são também os concelhos com taxas elevadas de mulheres representantes de agregados familiares pobres</w:t>
      </w:r>
      <w:r>
        <w:rPr>
          <w:rFonts w:ascii="Garamond" w:hAnsi="Garamond" w:cs="Arial"/>
          <w:lang w:val="pt-BR"/>
        </w:rPr>
        <w:t xml:space="preserve"> (</w:t>
      </w:r>
      <w:r w:rsidRPr="005E2AC4">
        <w:rPr>
          <w:rFonts w:ascii="Garamond" w:hAnsi="Garamond" w:cs="Arial"/>
          <w:lang w:val="pt-BR"/>
        </w:rPr>
        <w:t>bem como mulheres pobres ou muito pobres</w:t>
      </w:r>
      <w:r>
        <w:rPr>
          <w:rFonts w:ascii="Garamond" w:hAnsi="Garamond" w:cs="Arial"/>
          <w:lang w:val="pt-BR"/>
        </w:rPr>
        <w:t>)</w:t>
      </w:r>
      <w:r w:rsidRPr="005E2AC4">
        <w:rPr>
          <w:rFonts w:ascii="Garamond" w:hAnsi="Garamond" w:cs="Arial"/>
          <w:lang w:val="pt-BR"/>
        </w:rPr>
        <w:t xml:space="preserve">. </w:t>
      </w:r>
      <w:bookmarkStart w:id="28" w:name="_Hlk21112292"/>
      <w:bookmarkStart w:id="29" w:name="_Hlk19889862"/>
      <w:r w:rsidRPr="005E2AC4">
        <w:rPr>
          <w:rFonts w:ascii="Garamond" w:hAnsi="Garamond" w:cs="Arial"/>
          <w:lang w:val="pt-BR"/>
        </w:rPr>
        <w:t xml:space="preserve">Os concelhos de Santa Catarina, São Miguel e Mosteiros, com taxas de pobreza acima </w:t>
      </w:r>
      <w:r w:rsidRPr="00C96041">
        <w:rPr>
          <w:rFonts w:ascii="Garamond" w:hAnsi="Garamond" w:cs="Arial"/>
          <w:lang w:val="pt-BR"/>
        </w:rPr>
        <w:t>da média (mas não taxas de pobreza extrema)</w:t>
      </w:r>
      <w:r>
        <w:rPr>
          <w:rFonts w:ascii="Garamond" w:hAnsi="Garamond" w:cs="Arial"/>
          <w:lang w:val="pt-BR"/>
        </w:rPr>
        <w:t xml:space="preserve"> </w:t>
      </w:r>
      <w:r w:rsidRPr="00C96041">
        <w:rPr>
          <w:rFonts w:ascii="Garamond" w:hAnsi="Garamond" w:cs="Arial"/>
          <w:lang w:val="pt-BR"/>
        </w:rPr>
        <w:t>são também concelhos onde a pobreza tem um rosto feminino. A Praia, São Vicente e o Tarrafal</w:t>
      </w:r>
      <w:r>
        <w:rPr>
          <w:rFonts w:ascii="Garamond" w:hAnsi="Garamond" w:cs="Arial"/>
          <w:lang w:val="pt-BR"/>
        </w:rPr>
        <w:t xml:space="preserve"> </w:t>
      </w:r>
      <w:bookmarkEnd w:id="28"/>
      <w:r w:rsidRPr="00C96041">
        <w:rPr>
          <w:rFonts w:ascii="Garamond" w:hAnsi="Garamond" w:cs="Arial"/>
          <w:lang w:val="pt-BR"/>
        </w:rPr>
        <w:t>são os 3 concelhos onde apesar das taxas de pobreza estarem abaixo da média do país, ela afeta em particular os agregados representados por mulheres</w:t>
      </w:r>
      <w:r>
        <w:rPr>
          <w:rFonts w:ascii="Garamond" w:hAnsi="Garamond" w:cs="Arial"/>
          <w:lang w:val="pt-BR"/>
        </w:rPr>
        <w:t xml:space="preserve"> (e</w:t>
      </w:r>
      <w:r w:rsidRPr="00C96041">
        <w:rPr>
          <w:rFonts w:ascii="Garamond" w:hAnsi="Garamond" w:cs="Arial"/>
          <w:lang w:val="pt-BR"/>
        </w:rPr>
        <w:t xml:space="preserve"> mulheres</w:t>
      </w:r>
      <w:r>
        <w:rPr>
          <w:rFonts w:ascii="Garamond" w:hAnsi="Garamond" w:cs="Arial"/>
          <w:lang w:val="pt-BR"/>
        </w:rPr>
        <w:t>)</w:t>
      </w:r>
      <w:r w:rsidRPr="00C96041">
        <w:rPr>
          <w:rFonts w:ascii="Garamond" w:hAnsi="Garamond" w:cs="Arial"/>
          <w:lang w:val="pt-BR"/>
        </w:rPr>
        <w:t xml:space="preserve">. </w:t>
      </w:r>
      <w:bookmarkEnd w:id="29"/>
    </w:p>
    <w:p w14:paraId="670DCABE" w14:textId="77777777" w:rsidR="00FB69C4" w:rsidRPr="001C50C8" w:rsidRDefault="00FB69C4" w:rsidP="00FB69C4">
      <w:pPr>
        <w:spacing w:after="240"/>
        <w:jc w:val="both"/>
        <w:rPr>
          <w:rFonts w:ascii="Garamond" w:hAnsi="Garamond" w:cs="Arial"/>
          <w:lang w:val="pt-BR"/>
        </w:rPr>
      </w:pPr>
      <w:r w:rsidRPr="00C96041">
        <w:rPr>
          <w:rFonts w:ascii="Garamond" w:hAnsi="Garamond" w:cs="Arial"/>
          <w:lang w:val="pt-BR"/>
        </w:rPr>
        <w:t xml:space="preserve">As tipologias das famílias pobres representadas por mulheres e homens são diferentes: no caso das mulheres, a larga maioria é monoparental com crianças (61,1%), enquanto nas representadas por homens, a larga maioria é conjugal com crianças (72,2%) e apenas 7,3% monoparental com crianças. </w:t>
      </w:r>
      <w:bookmarkStart w:id="30" w:name="_Hlk19891144"/>
      <w:r>
        <w:rPr>
          <w:rFonts w:ascii="Garamond" w:hAnsi="Garamond" w:cs="Arial"/>
          <w:lang w:val="pt-BR"/>
        </w:rPr>
        <w:t>A</w:t>
      </w:r>
      <w:r w:rsidRPr="00C96041">
        <w:rPr>
          <w:rFonts w:ascii="Garamond" w:hAnsi="Garamond" w:cs="Arial"/>
          <w:lang w:val="pt-BR"/>
        </w:rPr>
        <w:t xml:space="preserve"> proporção de representantes inactivos entre os pobres</w:t>
      </w:r>
      <w:r>
        <w:rPr>
          <w:rFonts w:ascii="Garamond" w:hAnsi="Garamond" w:cs="Arial"/>
          <w:lang w:val="pt-BR"/>
        </w:rPr>
        <w:t xml:space="preserve"> e os muito pobres é elevada:</w:t>
      </w:r>
      <w:r w:rsidRPr="00C96041">
        <w:rPr>
          <w:rFonts w:ascii="Garamond" w:hAnsi="Garamond" w:cs="Arial"/>
          <w:lang w:val="pt-BR"/>
        </w:rPr>
        <w:t xml:space="preserve"> 32,1% e 38,5%, </w:t>
      </w:r>
      <w:r>
        <w:rPr>
          <w:rFonts w:ascii="Garamond" w:hAnsi="Garamond" w:cs="Arial"/>
          <w:lang w:val="pt-BR"/>
        </w:rPr>
        <w:t xml:space="preserve">respetivamente, </w:t>
      </w:r>
      <w:r w:rsidRPr="00C96041">
        <w:rPr>
          <w:rFonts w:ascii="Garamond" w:hAnsi="Garamond" w:cs="Arial"/>
          <w:lang w:val="pt-BR"/>
        </w:rPr>
        <w:t xml:space="preserve">quando essa proporção é de 26,7% entre os agregados que não são pobres. As mulheres representantes de agregados tendem a estar consideravelmente mais inativas do que os representantes homens, </w:t>
      </w:r>
      <w:r>
        <w:rPr>
          <w:rFonts w:ascii="Garamond" w:hAnsi="Garamond" w:cs="Arial"/>
          <w:lang w:val="pt-BR"/>
        </w:rPr>
        <w:t xml:space="preserve">em qualquer circunstância, mas </w:t>
      </w:r>
      <w:r w:rsidRPr="00C96041">
        <w:rPr>
          <w:rFonts w:ascii="Garamond" w:hAnsi="Garamond" w:cs="Arial"/>
          <w:lang w:val="pt-BR"/>
        </w:rPr>
        <w:t>sobretudo quando são</w:t>
      </w:r>
      <w:r>
        <w:rPr>
          <w:rFonts w:ascii="Garamond" w:hAnsi="Garamond" w:cs="Arial"/>
          <w:lang w:val="pt-BR"/>
        </w:rPr>
        <w:t xml:space="preserve"> representantes de agregados</w:t>
      </w:r>
      <w:r w:rsidRPr="00C96041">
        <w:rPr>
          <w:rFonts w:ascii="Garamond" w:hAnsi="Garamond" w:cs="Arial"/>
          <w:lang w:val="pt-BR"/>
        </w:rPr>
        <w:t xml:space="preserve"> pobres (38,6% versus 22,2%</w:t>
      </w:r>
      <w:r>
        <w:rPr>
          <w:rFonts w:ascii="Garamond" w:hAnsi="Garamond" w:cs="Arial"/>
          <w:lang w:val="pt-BR"/>
        </w:rPr>
        <w:t xml:space="preserve"> homens representantes do mesmo tipo </w:t>
      </w:r>
      <w:r w:rsidRPr="001C50C8">
        <w:rPr>
          <w:rFonts w:ascii="Garamond" w:hAnsi="Garamond" w:cs="Arial"/>
          <w:lang w:val="pt-BR"/>
        </w:rPr>
        <w:t xml:space="preserve">de agregado) ou muito pobres (44,2% versus 29,1% homens), sendo essa proporção de 32,8% entre as representantes de agregados não pobres (20,3% homens). </w:t>
      </w:r>
      <w:bookmarkEnd w:id="30"/>
    </w:p>
    <w:p w14:paraId="1727CF9D" w14:textId="63EE3698" w:rsidR="00FB69C4" w:rsidRPr="001C50C8" w:rsidRDefault="00FB69C4" w:rsidP="00703CFC">
      <w:pPr>
        <w:pStyle w:val="Legenda"/>
        <w:spacing w:after="0"/>
        <w:jc w:val="center"/>
        <w:rPr>
          <w:rFonts w:ascii="Garamond" w:hAnsi="Garamond" w:cs="Arial"/>
          <w:lang w:val="pt-BR"/>
        </w:rPr>
      </w:pPr>
      <w:bookmarkStart w:id="31" w:name="_Toc32856857"/>
      <w:r w:rsidRPr="00C85C7B">
        <w:rPr>
          <w:rFonts w:ascii="Garamond" w:hAnsi="Garamond"/>
          <w:b/>
          <w:bCs/>
          <w:i w:val="0"/>
          <w:iCs w:val="0"/>
          <w:color w:val="auto"/>
          <w:sz w:val="20"/>
          <w:szCs w:val="20"/>
          <w:lang w:val="pt-PT"/>
        </w:rPr>
        <w:t xml:space="preserve">Gráfico </w:t>
      </w:r>
      <w:r w:rsidRPr="00C85C7B">
        <w:rPr>
          <w:rFonts w:ascii="Garamond" w:hAnsi="Garamond"/>
          <w:b/>
          <w:bCs/>
          <w:i w:val="0"/>
          <w:iCs w:val="0"/>
          <w:color w:val="auto"/>
          <w:sz w:val="20"/>
          <w:szCs w:val="20"/>
          <w:lang w:val="pt-PT"/>
        </w:rPr>
        <w:fldChar w:fldCharType="begin"/>
      </w:r>
      <w:r w:rsidRPr="00C85C7B">
        <w:rPr>
          <w:rFonts w:ascii="Garamond" w:hAnsi="Garamond"/>
          <w:b/>
          <w:bCs/>
          <w:i w:val="0"/>
          <w:iCs w:val="0"/>
          <w:color w:val="auto"/>
          <w:sz w:val="20"/>
          <w:szCs w:val="20"/>
          <w:lang w:val="pt-PT"/>
        </w:rPr>
        <w:instrText xml:space="preserve"> SEQ Grafico \* ARABIC </w:instrText>
      </w:r>
      <w:r w:rsidRPr="00C85C7B">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3</w:t>
      </w:r>
      <w:r w:rsidRPr="00C85C7B">
        <w:rPr>
          <w:rFonts w:ascii="Garamond" w:hAnsi="Garamond"/>
          <w:b/>
          <w:bCs/>
          <w:i w:val="0"/>
          <w:iCs w:val="0"/>
          <w:color w:val="auto"/>
          <w:sz w:val="20"/>
          <w:szCs w:val="20"/>
          <w:lang w:val="pt-PT"/>
        </w:rPr>
        <w:fldChar w:fldCharType="end"/>
      </w:r>
      <w:r w:rsidRPr="00C85C7B">
        <w:rPr>
          <w:rFonts w:ascii="Garamond" w:hAnsi="Garamond"/>
          <w:b/>
          <w:bCs/>
          <w:i w:val="0"/>
          <w:iCs w:val="0"/>
          <w:color w:val="auto"/>
          <w:sz w:val="20"/>
          <w:szCs w:val="20"/>
          <w:lang w:val="pt-PT"/>
        </w:rPr>
        <w:t xml:space="preserve"> – Proporção de representantes de agregado inactivos, por sexo do representante e estatuto de pobreza (muito pobre, pobre, não pobre)</w:t>
      </w:r>
      <w:r w:rsidRPr="001C50C8">
        <w:rPr>
          <w:noProof/>
        </w:rPr>
        <w:drawing>
          <wp:inline distT="0" distB="0" distL="0" distR="0" wp14:anchorId="4598679B" wp14:editId="02CB8D8A">
            <wp:extent cx="5727700" cy="1931831"/>
            <wp:effectExtent l="0" t="0" r="6350" b="0"/>
            <wp:docPr id="39" name="Gráfico 39">
              <a:extLst xmlns:a="http://schemas.openxmlformats.org/drawingml/2006/main">
                <a:ext uri="{FF2B5EF4-FFF2-40B4-BE49-F238E27FC236}">
                  <a16:creationId xmlns:a16="http://schemas.microsoft.com/office/drawing/2014/main" id="{5B6E0C36-0673-40F8-B4D7-C87DA55F4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31"/>
    </w:p>
    <w:p w14:paraId="6D5485C9" w14:textId="77777777" w:rsidR="00FB69C4" w:rsidRPr="001C50C8" w:rsidRDefault="00FB69C4" w:rsidP="00FB69C4">
      <w:pPr>
        <w:spacing w:after="240"/>
        <w:jc w:val="center"/>
        <w:rPr>
          <w:rFonts w:ascii="Garamond" w:hAnsi="Garamond" w:cs="Arial"/>
          <w:b/>
          <w:bCs/>
          <w:sz w:val="20"/>
          <w:szCs w:val="20"/>
          <w:lang w:val="pt-BR"/>
        </w:rPr>
      </w:pPr>
      <w:r w:rsidRPr="001C50C8">
        <w:rPr>
          <w:rFonts w:ascii="Garamond" w:hAnsi="Garamond" w:cs="Arial"/>
          <w:b/>
          <w:bCs/>
          <w:sz w:val="20"/>
          <w:szCs w:val="20"/>
          <w:lang w:val="pt-BR"/>
        </w:rPr>
        <w:t>Fonte:</w:t>
      </w:r>
      <w:r w:rsidRPr="00F362C3">
        <w:rPr>
          <w:rFonts w:ascii="Garamond" w:hAnsi="Garamond" w:cs="Arial"/>
          <w:b/>
          <w:bCs/>
          <w:sz w:val="20"/>
          <w:szCs w:val="20"/>
          <w:lang w:val="pt-BR"/>
        </w:rPr>
        <w:t xml:space="preserve"> </w:t>
      </w:r>
      <w:r>
        <w:rPr>
          <w:rFonts w:ascii="Garamond" w:hAnsi="Garamond" w:cs="Arial"/>
          <w:b/>
          <w:bCs/>
          <w:sz w:val="20"/>
          <w:szCs w:val="20"/>
          <w:lang w:val="pt-BR"/>
        </w:rPr>
        <w:t>elaboração própria com base nos dados do IDRF III (INE, 2015)</w:t>
      </w:r>
    </w:p>
    <w:p w14:paraId="5E9D625C" w14:textId="77777777" w:rsidR="00FB69C4" w:rsidRPr="00C96041" w:rsidRDefault="00FB69C4" w:rsidP="00FB69C4">
      <w:pPr>
        <w:spacing w:after="240"/>
        <w:jc w:val="both"/>
        <w:rPr>
          <w:rFonts w:ascii="Garamond" w:hAnsi="Garamond" w:cs="Calibri"/>
          <w:lang w:val="pt-PT"/>
        </w:rPr>
      </w:pPr>
      <w:r w:rsidRPr="001C50C8">
        <w:rPr>
          <w:rFonts w:ascii="Garamond" w:hAnsi="Garamond" w:cs="Arial"/>
          <w:lang w:val="pt-BR"/>
        </w:rPr>
        <w:t>Nos agregados pobres o rácio de dependência</w:t>
      </w:r>
      <w:r w:rsidRPr="001C50C8">
        <w:rPr>
          <w:rStyle w:val="Refdenotaderodap"/>
          <w:rFonts w:ascii="Garamond" w:hAnsi="Garamond" w:cs="Arial"/>
          <w:lang w:val="pt-PT"/>
        </w:rPr>
        <w:footnoteReference w:id="12"/>
      </w:r>
      <w:r>
        <w:rPr>
          <w:rFonts w:ascii="Garamond" w:hAnsi="Garamond" w:cs="Arial"/>
          <w:lang w:val="pt-BR"/>
        </w:rPr>
        <w:t xml:space="preserve"> </w:t>
      </w:r>
      <w:r w:rsidRPr="001C50C8">
        <w:rPr>
          <w:rFonts w:ascii="Garamond" w:hAnsi="Garamond" w:cs="Arial"/>
          <w:lang w:val="pt-BR"/>
        </w:rPr>
        <w:t xml:space="preserve">é de 76,5%, e de 89,1% entre os muito pobres (51,4% entre os agregados que não são pobres). A taxa de dependência nas famílias em pobreza extrema no meio urbano atinge 95,6%. </w:t>
      </w:r>
      <w:r w:rsidRPr="001C50C8">
        <w:rPr>
          <w:rFonts w:ascii="Garamond" w:eastAsia="Times New Roman" w:hAnsi="Garamond" w:cs="Tahoma"/>
          <w:bCs/>
          <w:lang w:val="pt-PT" w:eastAsia="pt-PT"/>
        </w:rPr>
        <w:t xml:space="preserve">Assim, as famílias pobres e muito pobres têm uma sobrecarregada com trabalho de cuidados, seja com crianças e/ou com idosos, trabalho de cariz não remunerado que se sabe ser realizado essencialmente </w:t>
      </w:r>
      <w:proofErr w:type="spellStart"/>
      <w:r w:rsidRPr="001C50C8">
        <w:rPr>
          <w:rFonts w:ascii="Garamond" w:eastAsia="Times New Roman" w:hAnsi="Garamond" w:cs="Tahoma"/>
          <w:bCs/>
          <w:lang w:val="pt-PT" w:eastAsia="pt-PT"/>
        </w:rPr>
        <w:t>pelas</w:t>
      </w:r>
      <w:proofErr w:type="spellEnd"/>
      <w:r w:rsidRPr="001C50C8">
        <w:rPr>
          <w:rFonts w:ascii="Garamond" w:eastAsia="Times New Roman" w:hAnsi="Garamond" w:cs="Tahoma"/>
          <w:bCs/>
          <w:lang w:val="pt-PT" w:eastAsia="pt-PT"/>
        </w:rPr>
        <w:t xml:space="preserve"> mulheres em Cabo Verde. Com efeito </w:t>
      </w:r>
      <w:r w:rsidRPr="001C50C8">
        <w:rPr>
          <w:rFonts w:ascii="Garamond" w:hAnsi="Garamond" w:cs="Calibri"/>
          <w:lang w:val="pt-PT"/>
        </w:rPr>
        <w:t xml:space="preserve">os papéis e estereótipos de género, </w:t>
      </w:r>
      <w:r w:rsidRPr="001C50C8">
        <w:rPr>
          <w:rFonts w:ascii="Garamond" w:hAnsi="Garamond" w:cs="Arial"/>
          <w:lang w:val="pt-PT"/>
        </w:rPr>
        <w:t>associados às normas sociais e práticas culturais,</w:t>
      </w:r>
      <w:r w:rsidRPr="001C50C8">
        <w:rPr>
          <w:rFonts w:ascii="Garamond" w:hAnsi="Garamond" w:cs="Calibri"/>
          <w:lang w:val="pt-PT"/>
        </w:rPr>
        <w:t xml:space="preserve"> atribuem a responsabilidade com o cuidado da casa, de crianças, idosos e da família quase exclusivamente às mulheres: 90% das mulheres executa trabalho não remunerado em comparação com 73% dos homens e, em média, dedicam mais 3h30 por dia do que os homens a tarefas não remuneradas.</w:t>
      </w:r>
      <w:r w:rsidRPr="001C50C8">
        <w:rPr>
          <w:rStyle w:val="Refdenotaderodap"/>
          <w:rFonts w:ascii="Garamond" w:hAnsi="Garamond"/>
          <w:lang w:val="pt-PT"/>
        </w:rPr>
        <w:footnoteReference w:id="13"/>
      </w:r>
      <w:r w:rsidRPr="001C50C8">
        <w:rPr>
          <w:rFonts w:ascii="Garamond" w:hAnsi="Garamond" w:cs="Calibri"/>
          <w:lang w:val="pt-PT"/>
        </w:rPr>
        <w:t xml:space="preserve"> A sobrecarga com o trabalho não remunerado é particularmente elevada no caso das mulheres mais pobres: as mulheres nos níveis de conforto mais baixos e com menores níveis de educação têm a seu cargo mais horas de trabalho não remunerado do que as demais (cerca de 10 horas médias semanais a mais entre as que têm até ao ensino básico e as com ensino médio ou superior) </w:t>
      </w:r>
      <w:r w:rsidRPr="00C96041">
        <w:rPr>
          <w:rFonts w:ascii="Garamond" w:hAnsi="Garamond" w:cs="Calibri"/>
          <w:lang w:val="pt-PT"/>
        </w:rPr>
        <w:t xml:space="preserve">e o tempo dedicado aos cuidados dos filhos aumenta com o número de filhos (mais de 12 horas médias semanais de diferença entre quem tem 1 e 3 crianças), tempo que </w:t>
      </w:r>
      <w:r>
        <w:rPr>
          <w:rFonts w:ascii="Garamond" w:hAnsi="Garamond" w:cs="Calibri"/>
          <w:lang w:val="pt-PT"/>
        </w:rPr>
        <w:t>quase</w:t>
      </w:r>
      <w:r w:rsidRPr="00C96041">
        <w:rPr>
          <w:rFonts w:ascii="Garamond" w:hAnsi="Garamond" w:cs="Calibri"/>
          <w:lang w:val="pt-PT"/>
        </w:rPr>
        <w:t xml:space="preserve"> não varia no caso dos homens. </w:t>
      </w:r>
    </w:p>
    <w:p w14:paraId="56D34474" w14:textId="77777777" w:rsidR="00FB69C4" w:rsidRPr="00C96041" w:rsidRDefault="00FB69C4" w:rsidP="00FB69C4">
      <w:pPr>
        <w:spacing w:after="240"/>
        <w:jc w:val="both"/>
        <w:rPr>
          <w:rFonts w:ascii="Garamond" w:hAnsi="Garamond"/>
          <w:lang w:val="pt-PT"/>
        </w:rPr>
      </w:pPr>
      <w:r w:rsidRPr="00C96041">
        <w:rPr>
          <w:rFonts w:ascii="Garamond" w:hAnsi="Garamond" w:cs="Calibri"/>
          <w:lang w:val="pt-PT"/>
        </w:rPr>
        <w:t>Assim a</w:t>
      </w:r>
      <w:r w:rsidRPr="00C96041">
        <w:rPr>
          <w:rFonts w:ascii="Garamond" w:hAnsi="Garamond"/>
          <w:lang w:val="pt-PT"/>
        </w:rPr>
        <w:t xml:space="preserve"> pobreza de tempo é um </w:t>
      </w:r>
      <w:proofErr w:type="spellStart"/>
      <w:r w:rsidRPr="00C96041">
        <w:rPr>
          <w:rFonts w:ascii="Garamond" w:hAnsi="Garamond"/>
          <w:lang w:val="pt-PT"/>
        </w:rPr>
        <w:t>fator</w:t>
      </w:r>
      <w:proofErr w:type="spellEnd"/>
      <w:r w:rsidRPr="00C96041">
        <w:rPr>
          <w:rFonts w:ascii="Garamond" w:hAnsi="Garamond"/>
          <w:lang w:val="pt-PT"/>
        </w:rPr>
        <w:t xml:space="preserve"> material que limita as oportunidades de desenvolvimento das mulheres, sobretudo no caso das mais pobres, quer em termos de educação/formação, </w:t>
      </w:r>
      <w:r w:rsidRPr="00C96041">
        <w:rPr>
          <w:rFonts w:ascii="Garamond" w:hAnsi="Garamond" w:cs="Calibri"/>
          <w:lang w:val="pt-PT"/>
        </w:rPr>
        <w:t xml:space="preserve">procura de emprego e manutenção no emprego, gerando condições para sair da pobreza. Ou </w:t>
      </w:r>
      <w:r w:rsidRPr="00C96041">
        <w:rPr>
          <w:rFonts w:ascii="Garamond" w:hAnsi="Garamond"/>
          <w:lang w:val="pt-PT"/>
        </w:rPr>
        <w:t xml:space="preserve">ainda, para participar na vida pública de forma geral. Também é um </w:t>
      </w:r>
      <w:proofErr w:type="spellStart"/>
      <w:r w:rsidRPr="00C96041">
        <w:rPr>
          <w:rFonts w:ascii="Garamond" w:hAnsi="Garamond"/>
          <w:lang w:val="pt-PT"/>
        </w:rPr>
        <w:t>fator</w:t>
      </w:r>
      <w:proofErr w:type="spellEnd"/>
      <w:r w:rsidRPr="00C96041">
        <w:rPr>
          <w:rFonts w:ascii="Garamond" w:hAnsi="Garamond"/>
          <w:lang w:val="pt-PT"/>
        </w:rPr>
        <w:t xml:space="preserve"> que concorre para a sobre representação de mulheres nos trabalhos menos remunerados, a tempo parcial, informal e substancialmente doméstico, como forma de conciliação entre trabalho de cuidados e o emprego remunerado.  </w:t>
      </w:r>
    </w:p>
    <w:p w14:paraId="01F5F89A" w14:textId="77777777" w:rsidR="00FB69C4" w:rsidRPr="00C96041" w:rsidRDefault="00FB69C4" w:rsidP="00FB69C4">
      <w:pPr>
        <w:spacing w:after="240"/>
        <w:jc w:val="both"/>
        <w:rPr>
          <w:rFonts w:ascii="Garamond" w:hAnsi="Garamond" w:cs="Arial"/>
          <w:lang w:val="pt-BR"/>
        </w:rPr>
      </w:pPr>
      <w:r>
        <w:rPr>
          <w:rFonts w:ascii="Garamond" w:hAnsi="Garamond" w:cs="Arial"/>
          <w:lang w:val="pt-BR"/>
        </w:rPr>
        <w:t xml:space="preserve">Para além do Programa POSER-C, de combate à pobreza rural, e do programa de Desenvolvimento Economico Local, associado à visão e ao projecto de regionalização, podem ser destacadas as seguintes </w:t>
      </w:r>
      <w:r w:rsidRPr="00C96041">
        <w:rPr>
          <w:rFonts w:ascii="Garamond" w:hAnsi="Garamond" w:cs="Arial"/>
          <w:lang w:val="pt-BR"/>
        </w:rPr>
        <w:t xml:space="preserve">políticas de inclusão social em curso </w:t>
      </w:r>
      <w:r>
        <w:rPr>
          <w:rFonts w:ascii="Garamond" w:hAnsi="Garamond" w:cs="Arial"/>
          <w:lang w:val="pt-BR"/>
        </w:rPr>
        <w:t xml:space="preserve">que </w:t>
      </w:r>
      <w:r w:rsidRPr="00C96041">
        <w:rPr>
          <w:rFonts w:ascii="Garamond" w:hAnsi="Garamond" w:cs="Arial"/>
          <w:lang w:val="pt-BR"/>
        </w:rPr>
        <w:t>integ</w:t>
      </w:r>
      <w:r>
        <w:rPr>
          <w:rFonts w:ascii="Garamond" w:hAnsi="Garamond" w:cs="Arial"/>
          <w:lang w:val="pt-BR"/>
        </w:rPr>
        <w:t>r</w:t>
      </w:r>
      <w:r w:rsidRPr="00C96041">
        <w:rPr>
          <w:rFonts w:ascii="Garamond" w:hAnsi="Garamond" w:cs="Arial"/>
          <w:lang w:val="pt-BR"/>
        </w:rPr>
        <w:t>am uma abordagem de género:</w:t>
      </w:r>
    </w:p>
    <w:p w14:paraId="544ED2FB" w14:textId="77777777" w:rsidR="00FB69C4" w:rsidRPr="00C96041" w:rsidRDefault="00FB69C4" w:rsidP="00FB69C4">
      <w:pPr>
        <w:pStyle w:val="PargrafodaLista"/>
        <w:shd w:val="clear" w:color="auto" w:fill="FBE4D5" w:themeFill="accent2" w:themeFillTint="33"/>
        <w:spacing w:after="240"/>
        <w:ind w:left="397" w:right="232"/>
        <w:jc w:val="both"/>
        <w:rPr>
          <w:rFonts w:ascii="Garamond" w:hAnsi="Garamond" w:cs="Arial"/>
          <w:sz w:val="22"/>
          <w:szCs w:val="22"/>
          <w:lang w:val="pt-BR"/>
        </w:rPr>
      </w:pPr>
      <w:r w:rsidRPr="00C96041">
        <w:rPr>
          <w:rFonts w:ascii="Garamond" w:hAnsi="Garamond" w:cs="Arial"/>
          <w:sz w:val="22"/>
          <w:szCs w:val="22"/>
          <w:lang w:val="pt-BR"/>
        </w:rPr>
        <w:t xml:space="preserve">O MFIS está a implementar o </w:t>
      </w:r>
      <w:r w:rsidRPr="00C96041">
        <w:rPr>
          <w:rFonts w:ascii="Garamond" w:hAnsi="Garamond" w:cs="Arial"/>
          <w:i/>
          <w:iCs/>
          <w:sz w:val="22"/>
          <w:szCs w:val="22"/>
          <w:lang w:val="pt-BR"/>
        </w:rPr>
        <w:t>Programa de Garantia de Acesso ao Rendimento, à Educação, aos Cuidados e à Saúde</w:t>
      </w:r>
      <w:r w:rsidRPr="00C96041">
        <w:rPr>
          <w:rFonts w:ascii="Garamond" w:hAnsi="Garamond" w:cs="Arial"/>
          <w:sz w:val="22"/>
          <w:szCs w:val="22"/>
          <w:lang w:val="pt-BR"/>
        </w:rPr>
        <w:t xml:space="preserve"> (PGA), com especial enfoque na pequena infância, mulheres chefes de famílias, pessoas com necessidades especiais,  imigrantes,  deportados e pessoas idosas. O PGA tem 3 vertentes</w:t>
      </w:r>
    </w:p>
    <w:p w14:paraId="6F00D960" w14:textId="77777777" w:rsidR="00FB69C4" w:rsidRPr="00C96041" w:rsidRDefault="00FB69C4" w:rsidP="00FB69C4">
      <w:pPr>
        <w:pStyle w:val="PargrafodaLista"/>
        <w:numPr>
          <w:ilvl w:val="0"/>
          <w:numId w:val="10"/>
        </w:numPr>
        <w:shd w:val="clear" w:color="auto" w:fill="FBE4D5" w:themeFill="accent2" w:themeFillTint="33"/>
        <w:spacing w:after="240"/>
        <w:ind w:left="851" w:right="231" w:hanging="454"/>
        <w:jc w:val="both"/>
        <w:rPr>
          <w:rFonts w:ascii="Garamond" w:hAnsi="Garamond" w:cs="Arial"/>
          <w:sz w:val="22"/>
          <w:szCs w:val="22"/>
          <w:lang w:val="pt-BR"/>
        </w:rPr>
      </w:pPr>
      <w:r w:rsidRPr="00C96041">
        <w:rPr>
          <w:rFonts w:ascii="Garamond" w:hAnsi="Garamond" w:cs="Arial"/>
          <w:b/>
          <w:bCs/>
          <w:i/>
          <w:iCs/>
          <w:sz w:val="22"/>
          <w:szCs w:val="22"/>
          <w:lang w:val="pt-BR"/>
        </w:rPr>
        <w:t>Sistema Nacional de Cuidados</w:t>
      </w:r>
      <w:r w:rsidRPr="00C96041">
        <w:rPr>
          <w:rFonts w:ascii="Garamond" w:hAnsi="Garamond" w:cs="Arial"/>
          <w:sz w:val="22"/>
          <w:szCs w:val="22"/>
          <w:lang w:val="pt-BR"/>
        </w:rPr>
        <w:t xml:space="preserve">, que tem em conta a pobreza de tempo das mulheres: visa aumentar a disponibilidade e o acesso a serviços de cuidados infantis (enfoque nas crianças de 0-12 anos, especialmente nas de 0-3 anos), bem como serviços de cuidados para pessoas idosas e pessoas com deficiência dependentes, através da definição de serviços a serem prestados e sua regulamentação; o estabelecimento de Perfis Profissionais para cuidadores, o desenvolvimento de módulos de formação e estabelecimento de uma Bolsa de cuidadores formados; o apoio à prestação de serviços, seu seguimento e divulgação. Esta política assenta no fato (a) das pessoas dependentes terem direito ao cuidado, enquanto  dimensão fundamental dos direitos humanos e responsabilidade partilhada entre a família, o Estado e as ONGs para a sua universalização; (b) que a implementação deste sistema é condição para igualdade de género, promovendo para as mulheres a igual disponibilidade de tempo de que os homens dispõem para seu desenvolvimento pessoal, socio-profissional e trabalho remunerado; (c) de ser um vetor de redução da pobreza, na medida em que abre um horizonte de empregos remunerados na área dos cuidados, além de promover o reconhecimento e valorização do trabalho de cuidados. O </w:t>
      </w:r>
      <w:r w:rsidRPr="00C96041">
        <w:rPr>
          <w:rFonts w:ascii="Garamond" w:hAnsi="Garamond" w:cs="Arial"/>
          <w:b/>
          <w:bCs/>
          <w:i/>
          <w:iCs/>
          <w:sz w:val="22"/>
          <w:szCs w:val="22"/>
          <w:lang w:val="pt-BR"/>
        </w:rPr>
        <w:t>Plano Nacional de Cuidados 2017-2</w:t>
      </w:r>
      <w:r w:rsidRPr="00FC2D2C">
        <w:rPr>
          <w:rFonts w:ascii="Garamond" w:hAnsi="Garamond" w:cs="Arial"/>
          <w:b/>
          <w:bCs/>
          <w:i/>
          <w:iCs/>
          <w:sz w:val="22"/>
          <w:szCs w:val="22"/>
          <w:lang w:val="pt-BR"/>
        </w:rPr>
        <w:t>021</w:t>
      </w:r>
      <w:r w:rsidRPr="00C96041">
        <w:rPr>
          <w:rFonts w:ascii="Garamond" w:hAnsi="Garamond" w:cs="Arial"/>
          <w:sz w:val="22"/>
          <w:szCs w:val="22"/>
          <w:lang w:val="pt-BR"/>
        </w:rPr>
        <w:t xml:space="preserve"> (aprovado pela Resolução nº143/2017) é a principal referência para a montagem, em curso, do Sistema de Cuidados. </w:t>
      </w:r>
    </w:p>
    <w:p w14:paraId="0EA021D4" w14:textId="77777777" w:rsidR="00FB69C4" w:rsidRPr="00C96041" w:rsidRDefault="00FB69C4" w:rsidP="00FB69C4">
      <w:pPr>
        <w:pStyle w:val="PargrafodaLista"/>
        <w:numPr>
          <w:ilvl w:val="0"/>
          <w:numId w:val="10"/>
        </w:numPr>
        <w:shd w:val="clear" w:color="auto" w:fill="FBE4D5" w:themeFill="accent2" w:themeFillTint="33"/>
        <w:spacing w:after="240"/>
        <w:ind w:left="851" w:right="231" w:hanging="454"/>
        <w:jc w:val="both"/>
        <w:rPr>
          <w:rFonts w:ascii="Garamond" w:hAnsi="Garamond" w:cs="Arial"/>
          <w:sz w:val="22"/>
          <w:szCs w:val="22"/>
          <w:lang w:val="pt-BR"/>
        </w:rPr>
      </w:pPr>
      <w:r w:rsidRPr="00C96041">
        <w:rPr>
          <w:rFonts w:ascii="Garamond" w:hAnsi="Garamond" w:cs="Arial"/>
          <w:b/>
          <w:bCs/>
          <w:i/>
          <w:iCs/>
          <w:sz w:val="22"/>
          <w:szCs w:val="22"/>
          <w:lang w:val="pt-BR"/>
        </w:rPr>
        <w:t>Rendimento de Inclusão (RSI)</w:t>
      </w:r>
      <w:r w:rsidRPr="00C96041">
        <w:rPr>
          <w:rFonts w:ascii="Garamond" w:hAnsi="Garamond" w:cs="Arial"/>
          <w:sz w:val="22"/>
          <w:szCs w:val="22"/>
          <w:lang w:val="pt-BR"/>
        </w:rPr>
        <w:t>, mediante a transferência direta às famílias em situação de pobreza extrema e que têm crianças menores de 15 anos ao seu cuidado, acompanhada de medidas para a geração de rendimento.</w:t>
      </w:r>
      <w:r w:rsidRPr="00C96041">
        <w:rPr>
          <w:rStyle w:val="Refdenotaderodap"/>
          <w:rFonts w:ascii="Garamond" w:hAnsi="Garamond" w:cs="Arial"/>
          <w:sz w:val="22"/>
          <w:szCs w:val="22"/>
          <w:lang w:val="pt-BR"/>
        </w:rPr>
        <w:footnoteReference w:id="14"/>
      </w:r>
      <w:r w:rsidRPr="00C96041">
        <w:rPr>
          <w:rFonts w:ascii="Garamond" w:hAnsi="Garamond" w:cs="Arial"/>
          <w:sz w:val="22"/>
          <w:szCs w:val="22"/>
          <w:lang w:val="pt-BR"/>
        </w:rPr>
        <w:t xml:space="preserve">  </w:t>
      </w:r>
    </w:p>
    <w:p w14:paraId="303E6F80" w14:textId="77777777" w:rsidR="00FB69C4" w:rsidRPr="00C96041" w:rsidRDefault="00FB69C4" w:rsidP="00FB69C4">
      <w:pPr>
        <w:pStyle w:val="PargrafodaLista"/>
        <w:numPr>
          <w:ilvl w:val="0"/>
          <w:numId w:val="10"/>
        </w:numPr>
        <w:shd w:val="clear" w:color="auto" w:fill="FBE4D5" w:themeFill="accent2" w:themeFillTint="33"/>
        <w:spacing w:after="240"/>
        <w:ind w:left="851" w:right="231" w:hanging="454"/>
        <w:jc w:val="both"/>
        <w:rPr>
          <w:rFonts w:ascii="Garamond" w:hAnsi="Garamond" w:cs="Arial"/>
          <w:sz w:val="22"/>
          <w:szCs w:val="22"/>
          <w:lang w:val="pt-BR"/>
        </w:rPr>
      </w:pPr>
      <w:r w:rsidRPr="00C96041">
        <w:rPr>
          <w:rFonts w:ascii="Garamond" w:hAnsi="Garamond" w:cs="Arial"/>
          <w:b/>
          <w:bCs/>
          <w:i/>
          <w:iCs/>
          <w:sz w:val="22"/>
          <w:szCs w:val="22"/>
          <w:lang w:val="pt-BR"/>
        </w:rPr>
        <w:t>Acesso à Educação e Saúde</w:t>
      </w:r>
      <w:r w:rsidRPr="00C96041">
        <w:rPr>
          <w:rFonts w:ascii="Garamond" w:hAnsi="Garamond" w:cs="Arial"/>
          <w:sz w:val="22"/>
          <w:szCs w:val="22"/>
          <w:lang w:val="pt-BR"/>
        </w:rPr>
        <w:t xml:space="preserve">, através de repasse indireto às famílias, contratualizando com as Câmaras Municipais assistência medicamentosa do regime não contributivo, e o acesso ao pré-escolar a crianças provenientes de famílias de baixo rendimento. </w:t>
      </w:r>
    </w:p>
    <w:p w14:paraId="66483ECA" w14:textId="77777777" w:rsidR="00FB69C4" w:rsidRPr="00C96041" w:rsidRDefault="00FB69C4" w:rsidP="00FB69C4">
      <w:pPr>
        <w:shd w:val="clear" w:color="auto" w:fill="FBE4D5" w:themeFill="accent2" w:themeFillTint="33"/>
        <w:spacing w:after="240"/>
        <w:ind w:left="397" w:right="231"/>
        <w:jc w:val="both"/>
        <w:rPr>
          <w:rFonts w:ascii="Garamond" w:hAnsi="Garamond" w:cs="Arial"/>
          <w:sz w:val="22"/>
          <w:szCs w:val="22"/>
          <w:lang w:val="pt-BR"/>
        </w:rPr>
      </w:pPr>
      <w:r w:rsidRPr="00C96041">
        <w:rPr>
          <w:rFonts w:ascii="Garamond" w:hAnsi="Garamond" w:cs="Arial"/>
          <w:sz w:val="22"/>
          <w:szCs w:val="22"/>
          <w:lang w:val="pt-BR"/>
        </w:rPr>
        <w:t>Neste quadro, entre outros, existem os seguintes instrumentos de gestão:</w:t>
      </w:r>
    </w:p>
    <w:p w14:paraId="7C9DBB8C" w14:textId="77777777" w:rsidR="00FB69C4" w:rsidRPr="00C96041" w:rsidRDefault="00FB69C4" w:rsidP="00FB69C4">
      <w:pPr>
        <w:shd w:val="clear" w:color="auto" w:fill="FBE4D5" w:themeFill="accent2" w:themeFillTint="33"/>
        <w:spacing w:after="240"/>
        <w:ind w:left="397" w:right="231"/>
        <w:jc w:val="both"/>
        <w:rPr>
          <w:rFonts w:ascii="Garamond" w:hAnsi="Garamond" w:cs="Arial"/>
          <w:sz w:val="22"/>
          <w:szCs w:val="22"/>
          <w:lang w:val="pt-BR"/>
        </w:rPr>
      </w:pPr>
      <w:r w:rsidRPr="00C96041">
        <w:rPr>
          <w:rFonts w:ascii="Garamond" w:hAnsi="Garamond" w:cs="Arial"/>
          <w:b/>
          <w:bCs/>
          <w:i/>
          <w:iCs/>
          <w:sz w:val="22"/>
          <w:szCs w:val="22"/>
          <w:lang w:val="pt-BR"/>
        </w:rPr>
        <w:t>Cadastro Social Único de Beneficiários da Protecção Social</w:t>
      </w:r>
      <w:r w:rsidRPr="00C96041">
        <w:rPr>
          <w:rFonts w:ascii="Garamond" w:hAnsi="Garamond" w:cs="Arial"/>
          <w:sz w:val="22"/>
          <w:szCs w:val="22"/>
          <w:lang w:val="pt-BR"/>
        </w:rPr>
        <w:t>,</w:t>
      </w:r>
      <w:r w:rsidRPr="00C96041">
        <w:rPr>
          <w:rStyle w:val="Refdenotaderodap"/>
          <w:rFonts w:ascii="Garamond" w:hAnsi="Garamond" w:cs="Arial"/>
          <w:sz w:val="22"/>
          <w:szCs w:val="22"/>
          <w:lang w:val="pt-BR"/>
        </w:rPr>
        <w:footnoteReference w:id="15"/>
      </w:r>
      <w:r w:rsidRPr="00C96041">
        <w:rPr>
          <w:rFonts w:ascii="Garamond" w:hAnsi="Garamond" w:cs="Arial"/>
          <w:sz w:val="22"/>
          <w:szCs w:val="22"/>
          <w:lang w:val="pt-BR"/>
        </w:rPr>
        <w:t xml:space="preserve"> para o registo das famílias em situação de vulnerabilidade, bem como de todo o leque de benefícios que podem ser prestados nas diversas situações de vulnerabilidade, permitindo avaliar lacunas e sobreposições de ações e programas de proteção social. Os inscritos (beneficiários ou potenciais beneficiários) são classificados através do </w:t>
      </w:r>
      <w:r w:rsidRPr="00C96041">
        <w:rPr>
          <w:rFonts w:ascii="Garamond" w:hAnsi="Garamond" w:cs="Arial"/>
          <w:b/>
          <w:bCs/>
          <w:i/>
          <w:iCs/>
          <w:sz w:val="22"/>
          <w:szCs w:val="22"/>
          <w:lang w:val="pt-BR"/>
        </w:rPr>
        <w:t>indicador de focalização</w:t>
      </w:r>
      <w:r w:rsidRPr="00C96041">
        <w:rPr>
          <w:rFonts w:ascii="Garamond" w:hAnsi="Garamond" w:cs="Arial"/>
          <w:sz w:val="22"/>
          <w:szCs w:val="22"/>
          <w:lang w:val="pt-BR"/>
        </w:rPr>
        <w:t>, desenvolvido de forma a ter em conta as fortes dimensões de género da pobreza.</w:t>
      </w:r>
      <w:r w:rsidRPr="00C96041">
        <w:rPr>
          <w:rStyle w:val="Refdenotaderodap"/>
          <w:rFonts w:ascii="Garamond" w:hAnsi="Garamond" w:cs="Arial"/>
          <w:sz w:val="22"/>
          <w:szCs w:val="22"/>
          <w:lang w:val="pt-BR"/>
        </w:rPr>
        <w:footnoteReference w:id="16"/>
      </w:r>
      <w:r w:rsidRPr="00C96041">
        <w:rPr>
          <w:rFonts w:ascii="Garamond" w:hAnsi="Garamond" w:cs="Arial"/>
          <w:sz w:val="22"/>
          <w:szCs w:val="22"/>
          <w:lang w:val="pt-BR"/>
        </w:rPr>
        <w:t xml:space="preserve"> </w:t>
      </w:r>
    </w:p>
    <w:p w14:paraId="4A30E6D7" w14:textId="77777777" w:rsidR="00FB69C4" w:rsidRPr="00C96041" w:rsidRDefault="00FB69C4" w:rsidP="00FB69C4">
      <w:pPr>
        <w:shd w:val="clear" w:color="auto" w:fill="FBE4D5" w:themeFill="accent2" w:themeFillTint="33"/>
        <w:spacing w:after="240"/>
        <w:ind w:left="397" w:right="231"/>
        <w:jc w:val="both"/>
        <w:rPr>
          <w:rFonts w:ascii="Garamond" w:hAnsi="Garamond" w:cs="Arial"/>
          <w:sz w:val="22"/>
          <w:szCs w:val="22"/>
          <w:lang w:val="pt-BR"/>
        </w:rPr>
      </w:pPr>
      <w:r w:rsidRPr="00C96041">
        <w:rPr>
          <w:rFonts w:ascii="Garamond" w:hAnsi="Garamond" w:cs="Arial"/>
          <w:b/>
          <w:bCs/>
          <w:i/>
          <w:iCs/>
          <w:sz w:val="22"/>
          <w:szCs w:val="22"/>
          <w:lang w:val="pt-BR"/>
        </w:rPr>
        <w:t>Carta Social</w:t>
      </w:r>
      <w:r w:rsidRPr="00C96041">
        <w:rPr>
          <w:rFonts w:ascii="Garamond" w:hAnsi="Garamond" w:cs="Arial"/>
          <w:sz w:val="22"/>
          <w:szCs w:val="22"/>
          <w:lang w:val="pt-BR"/>
        </w:rPr>
        <w:t>, em atualização para caracterizar a rede de serviços e equipamentos sociais no país e a articular com o Cadastro Social Único. A rede de serviços foi re-conceptualizada com base nas prestações sociais agora existentes, que incluem serviços de cuidados, serviços de apoio às vítimas de VBG, casas de abrigo, etc.</w:t>
      </w:r>
    </w:p>
    <w:p w14:paraId="51149F0B" w14:textId="77777777" w:rsidR="00FB69C4" w:rsidRPr="005D1CD3" w:rsidRDefault="00FB69C4" w:rsidP="00FB69C4">
      <w:pPr>
        <w:shd w:val="clear" w:color="auto" w:fill="FBE4D5" w:themeFill="accent2" w:themeFillTint="33"/>
        <w:spacing w:after="240"/>
        <w:ind w:left="397" w:right="231"/>
        <w:jc w:val="both"/>
        <w:rPr>
          <w:rFonts w:ascii="Garamond" w:hAnsi="Garamond" w:cs="Arial"/>
          <w:sz w:val="20"/>
          <w:szCs w:val="20"/>
          <w:lang w:val="pt-BR"/>
        </w:rPr>
      </w:pPr>
      <w:r w:rsidRPr="00C96041">
        <w:rPr>
          <w:rFonts w:ascii="Garamond" w:hAnsi="Garamond" w:cs="Arial"/>
          <w:sz w:val="22"/>
          <w:szCs w:val="22"/>
          <w:lang w:val="pt-BR"/>
        </w:rPr>
        <w:t xml:space="preserve">O </w:t>
      </w:r>
      <w:r w:rsidRPr="00F1586F">
        <w:rPr>
          <w:rFonts w:ascii="Garamond" w:hAnsi="Garamond" w:cs="Arial"/>
          <w:b/>
          <w:bCs/>
          <w:sz w:val="22"/>
          <w:szCs w:val="22"/>
          <w:lang w:val="pt-BR"/>
        </w:rPr>
        <w:t>Centro Nacional de Pensões Sociais</w:t>
      </w:r>
      <w:r w:rsidRPr="00C96041">
        <w:rPr>
          <w:rFonts w:ascii="Garamond" w:hAnsi="Garamond" w:cs="Arial"/>
          <w:sz w:val="22"/>
          <w:szCs w:val="22"/>
          <w:lang w:val="pt-BR"/>
        </w:rPr>
        <w:t xml:space="preserve"> (CNPS) continua a gerir a componente não contributiva do sistema de proteção social do país:</w:t>
      </w:r>
      <w:r w:rsidRPr="00C96041">
        <w:rPr>
          <w:rStyle w:val="Refdenotaderodap"/>
          <w:rFonts w:ascii="Garamond" w:hAnsi="Garamond" w:cs="Arial"/>
          <w:sz w:val="22"/>
          <w:szCs w:val="22"/>
          <w:lang w:val="pt-BR"/>
        </w:rPr>
        <w:footnoteReference w:id="17"/>
      </w:r>
      <w:r w:rsidRPr="00C96041">
        <w:rPr>
          <w:rFonts w:ascii="Garamond" w:hAnsi="Garamond" w:cs="Arial"/>
          <w:sz w:val="22"/>
          <w:szCs w:val="22"/>
          <w:lang w:val="pt-BR"/>
        </w:rPr>
        <w:t xml:space="preserve"> a pensão social compreende 3 modalidades - a pensão básica, a pensão social por invalidez e a pensão social de sobrevivência, e em 2017 abrangia 21.198 pessoas (cerca de 43% da população com 60 anos ou mais), 70,2% mulheres e 29,8% homens. As mulheres idosas não só são a maioria da população, como ao terem estado menos inserida no mercado de trabalho do que os homens, ou inseridas num contexto de trabalho informal, terão tido um menor acesso ao sistema contributivo da segurança social. A cobertura da pensão social tem aumentado todos os anos, passando para 22.487 em 2018.</w:t>
      </w:r>
      <w:r w:rsidRPr="005D1CD3">
        <w:rPr>
          <w:rFonts w:ascii="Garamond" w:hAnsi="Garamond" w:cs="Arial"/>
          <w:sz w:val="20"/>
          <w:szCs w:val="20"/>
          <w:lang w:val="pt-BR"/>
        </w:rPr>
        <w:t xml:space="preserve"> </w:t>
      </w:r>
    </w:p>
    <w:p w14:paraId="1F265A24" w14:textId="77777777" w:rsidR="00FB69C4" w:rsidRPr="009C0B11" w:rsidRDefault="00FB69C4" w:rsidP="00FB69C4">
      <w:pPr>
        <w:jc w:val="both"/>
        <w:rPr>
          <w:rFonts w:ascii="Garamond" w:hAnsi="Garamond" w:cs="Arial"/>
          <w:lang w:val="pt-BR"/>
        </w:rPr>
      </w:pPr>
      <w:r w:rsidRPr="00C96041">
        <w:rPr>
          <w:rFonts w:ascii="Garamond" w:hAnsi="Garamond" w:cs="Arial"/>
          <w:lang w:val="pt-BR"/>
        </w:rPr>
        <w:t>A montagem do Sistema Nacional de Cuidados continua a ser uma prioridade, através da implementação do Plano Nacional de Cuidados (2017-2021)</w:t>
      </w:r>
      <w:r>
        <w:rPr>
          <w:rFonts w:ascii="Garamond" w:hAnsi="Garamond" w:cs="Arial"/>
          <w:lang w:val="pt-BR"/>
        </w:rPr>
        <w:t xml:space="preserve">: serão necessários importantes investimentos para a consolidação </w:t>
      </w:r>
      <w:r w:rsidRPr="00817E2F">
        <w:rPr>
          <w:rFonts w:ascii="Garamond" w:hAnsi="Garamond" w:cs="Arial"/>
          <w:lang w:val="pt-BR"/>
        </w:rPr>
        <w:t>d</w:t>
      </w:r>
      <w:r>
        <w:rPr>
          <w:rFonts w:ascii="Garamond" w:hAnsi="Garamond" w:cs="Arial"/>
          <w:lang w:val="pt-BR"/>
        </w:rPr>
        <w:t>a</w:t>
      </w:r>
      <w:r w:rsidRPr="00817E2F">
        <w:rPr>
          <w:rFonts w:ascii="Garamond" w:hAnsi="Garamond" w:cs="Arial"/>
          <w:lang w:val="pt-BR"/>
        </w:rPr>
        <w:t xml:space="preserve"> rede nacional de serviços de cuid</w:t>
      </w:r>
      <w:r>
        <w:rPr>
          <w:rFonts w:ascii="Garamond" w:hAnsi="Garamond" w:cs="Arial"/>
          <w:lang w:val="pt-BR"/>
        </w:rPr>
        <w:t>ados, mediante a extensão das redes de equipamentos públicos que prestam serviços de cuidados, sejam eles dedicados à prequena infância (ex. rede de creches municiapis) ou cuidados a adultos cuidado-dependentes (ex. rede de cuidados a domícílio, centros de dia municipais, cooperativas de cuidadores, etc.).</w:t>
      </w:r>
      <w:r w:rsidRPr="00515D2C">
        <w:rPr>
          <w:rFonts w:ascii="Garamond" w:hAnsi="Garamond" w:cs="Arial"/>
          <w:lang w:val="pt-BR"/>
        </w:rPr>
        <w:t xml:space="preserve"> </w:t>
      </w:r>
      <w:r>
        <w:rPr>
          <w:rFonts w:ascii="Garamond" w:hAnsi="Garamond" w:cs="Arial"/>
          <w:lang w:val="pt-BR"/>
        </w:rPr>
        <w:t xml:space="preserve">O Plano quantificou </w:t>
      </w:r>
      <w:r>
        <w:rPr>
          <w:rFonts w:ascii="Garamond" w:hAnsi="Garamond" w:cs="Arial"/>
          <w:lang w:val="pt-PT"/>
        </w:rPr>
        <w:t xml:space="preserve">os investimentos necessários para alcançar em 4 anos (i) </w:t>
      </w:r>
      <w:r w:rsidRPr="009C0B11">
        <w:rPr>
          <w:rFonts w:ascii="Garamond" w:hAnsi="Garamond" w:cs="Arial"/>
          <w:lang w:val="pt-BR"/>
        </w:rPr>
        <w:t>a cobertura universal das crianças acima de 3 anos, e</w:t>
      </w:r>
      <w:r>
        <w:rPr>
          <w:rFonts w:ascii="Garamond" w:hAnsi="Garamond" w:cs="Arial"/>
          <w:lang w:val="pt-BR"/>
        </w:rPr>
        <w:t xml:space="preserve"> (ii) cobertura dos </w:t>
      </w:r>
      <w:r w:rsidRPr="009C0B11">
        <w:rPr>
          <w:rFonts w:ascii="Garamond" w:hAnsi="Garamond" w:cs="Arial"/>
          <w:lang w:val="pt-BR"/>
        </w:rPr>
        <w:t>idosos e pessoas com deficiência d</w:t>
      </w:r>
      <w:r>
        <w:rPr>
          <w:rFonts w:ascii="Garamond" w:hAnsi="Garamond" w:cs="Arial"/>
          <w:lang w:val="pt-BR"/>
        </w:rPr>
        <w:t xml:space="preserve">as </w:t>
      </w:r>
      <w:r w:rsidRPr="009C0B11">
        <w:rPr>
          <w:rFonts w:ascii="Garamond" w:hAnsi="Garamond" w:cs="Arial"/>
          <w:lang w:val="pt-BR"/>
        </w:rPr>
        <w:t>famílias mais vulneráveis</w:t>
      </w:r>
      <w:r>
        <w:rPr>
          <w:rFonts w:ascii="Garamond" w:hAnsi="Garamond" w:cs="Arial"/>
          <w:lang w:val="pt-BR"/>
        </w:rPr>
        <w:t xml:space="preserve"> do país:</w:t>
      </w:r>
    </w:p>
    <w:p w14:paraId="1D5CD532" w14:textId="77777777" w:rsidR="00FB69C4" w:rsidRPr="008E410E" w:rsidRDefault="00FB69C4" w:rsidP="00786DEC">
      <w:pPr>
        <w:pStyle w:val="PargrafodaLista"/>
        <w:numPr>
          <w:ilvl w:val="0"/>
          <w:numId w:val="50"/>
        </w:numPr>
        <w:spacing w:after="240"/>
        <w:jc w:val="both"/>
        <w:rPr>
          <w:rFonts w:ascii="Garamond" w:hAnsi="Garamond" w:cs="Arial"/>
          <w:lang w:val="pt-BR"/>
        </w:rPr>
      </w:pPr>
      <w:r w:rsidRPr="008E410E">
        <w:rPr>
          <w:rFonts w:ascii="Garamond" w:hAnsi="Garamond" w:cs="Arial"/>
          <w:lang w:val="pt-BR"/>
        </w:rPr>
        <w:t>6.000 crianças de 3-4 anos sem cobertura socioeducativa que não a familiar, o que implica um incremento anual em 15 creches ao longo de 4 anos (de acordo com a distribuição geográfica das lacunas) para garantir a cobertura universal dessa faixa etária</w:t>
      </w:r>
      <w:r>
        <w:rPr>
          <w:rFonts w:ascii="Garamond" w:hAnsi="Garamond" w:cs="Arial"/>
          <w:lang w:val="pt-BR"/>
        </w:rPr>
        <w:t>.</w:t>
      </w:r>
    </w:p>
    <w:p w14:paraId="0D6BA8E6" w14:textId="77777777" w:rsidR="00FB69C4" w:rsidRDefault="00FB69C4" w:rsidP="00786DEC">
      <w:pPr>
        <w:pStyle w:val="PargrafodaLista"/>
        <w:numPr>
          <w:ilvl w:val="0"/>
          <w:numId w:val="50"/>
        </w:numPr>
        <w:spacing w:after="240"/>
        <w:jc w:val="both"/>
        <w:rPr>
          <w:rFonts w:ascii="Garamond" w:hAnsi="Garamond" w:cs="Arial"/>
          <w:lang w:val="pt-PT"/>
        </w:rPr>
      </w:pPr>
      <w:r>
        <w:rPr>
          <w:rFonts w:ascii="Garamond" w:hAnsi="Garamond" w:cs="Arial"/>
          <w:lang w:val="pt-PT"/>
        </w:rPr>
        <w:t xml:space="preserve">3.000 </w:t>
      </w:r>
      <w:r w:rsidRPr="008E410E">
        <w:rPr>
          <w:rFonts w:ascii="Garamond" w:hAnsi="Garamond" w:cs="Arial"/>
          <w:lang w:val="pt-PT"/>
        </w:rPr>
        <w:t xml:space="preserve">idosos </w:t>
      </w:r>
      <w:r>
        <w:rPr>
          <w:rFonts w:ascii="Garamond" w:hAnsi="Garamond" w:cs="Arial"/>
          <w:lang w:val="pt-PT"/>
        </w:rPr>
        <w:t xml:space="preserve">com necessidades de cuidados não cobertas, e </w:t>
      </w:r>
      <w:r w:rsidRPr="00601973">
        <w:rPr>
          <w:rFonts w:ascii="Garamond" w:hAnsi="Garamond" w:cs="Arial"/>
          <w:lang w:val="pt-PT"/>
        </w:rPr>
        <w:t xml:space="preserve">930 </w:t>
      </w:r>
      <w:r>
        <w:rPr>
          <w:rFonts w:ascii="Garamond" w:hAnsi="Garamond" w:cs="Arial"/>
          <w:lang w:val="pt-PT"/>
        </w:rPr>
        <w:t xml:space="preserve">pessoas </w:t>
      </w:r>
      <w:r w:rsidRPr="00601973">
        <w:rPr>
          <w:rFonts w:ascii="Garamond" w:hAnsi="Garamond" w:cs="Arial"/>
          <w:lang w:val="pt-PT"/>
        </w:rPr>
        <w:t>com deficiências</w:t>
      </w:r>
      <w:r>
        <w:rPr>
          <w:rFonts w:ascii="Garamond" w:hAnsi="Garamond" w:cs="Arial"/>
          <w:lang w:val="pt-PT"/>
        </w:rPr>
        <w:t>, existentes nas famílias</w:t>
      </w:r>
      <w:r w:rsidRPr="008E410E">
        <w:rPr>
          <w:rFonts w:ascii="Garamond" w:hAnsi="Garamond" w:cs="Arial"/>
          <w:lang w:val="pt-PT"/>
        </w:rPr>
        <w:t xml:space="preserve"> mais vulneráveis do país</w:t>
      </w:r>
      <w:r>
        <w:rPr>
          <w:rFonts w:ascii="Garamond" w:hAnsi="Garamond" w:cs="Arial"/>
          <w:lang w:val="pt-PT"/>
        </w:rPr>
        <w:t xml:space="preserve">, totalizando </w:t>
      </w:r>
      <w:r w:rsidRPr="00601973">
        <w:rPr>
          <w:rFonts w:ascii="Garamond" w:hAnsi="Garamond" w:cs="Arial"/>
          <w:lang w:val="pt-PT"/>
        </w:rPr>
        <w:t xml:space="preserve">3.930 adultos cuidado-dependentes inseridos em famílias vulneráveis. </w:t>
      </w:r>
      <w:r>
        <w:rPr>
          <w:rFonts w:ascii="Garamond" w:hAnsi="Garamond" w:cs="Arial"/>
          <w:lang w:val="pt-PT"/>
        </w:rPr>
        <w:t xml:space="preserve">Para a </w:t>
      </w:r>
      <w:r w:rsidRPr="00601973">
        <w:rPr>
          <w:rFonts w:ascii="Garamond" w:hAnsi="Garamond" w:cs="Arial"/>
          <w:lang w:val="pt-PT"/>
        </w:rPr>
        <w:t>cobertura d</w:t>
      </w:r>
      <w:r>
        <w:rPr>
          <w:rFonts w:ascii="Garamond" w:hAnsi="Garamond" w:cs="Arial"/>
          <w:lang w:val="pt-PT"/>
        </w:rPr>
        <w:t xml:space="preserve">estas necessidades, os cuidados precisam de ser incrementados para 1.000 </w:t>
      </w:r>
      <w:r w:rsidRPr="00601973">
        <w:rPr>
          <w:rFonts w:ascii="Garamond" w:hAnsi="Garamond" w:cs="Arial"/>
          <w:lang w:val="pt-PT"/>
        </w:rPr>
        <w:t>cuidados-dependentes</w:t>
      </w:r>
      <w:r>
        <w:rPr>
          <w:rFonts w:ascii="Garamond" w:hAnsi="Garamond" w:cs="Arial"/>
          <w:lang w:val="pt-PT"/>
        </w:rPr>
        <w:t xml:space="preserve"> por ano, ao longo de 4 anos, o que exige a disponibilidade de cerca de </w:t>
      </w:r>
      <w:r w:rsidRPr="00601973">
        <w:rPr>
          <w:rFonts w:ascii="Garamond" w:hAnsi="Garamond" w:cs="Arial"/>
          <w:lang w:val="pt-PT"/>
        </w:rPr>
        <w:t>2</w:t>
      </w:r>
      <w:r>
        <w:rPr>
          <w:rFonts w:ascii="Garamond" w:hAnsi="Garamond" w:cs="Arial"/>
          <w:lang w:val="pt-PT"/>
        </w:rPr>
        <w:t>.</w:t>
      </w:r>
      <w:r w:rsidRPr="00601973">
        <w:rPr>
          <w:rFonts w:ascii="Garamond" w:hAnsi="Garamond" w:cs="Arial"/>
          <w:lang w:val="pt-PT"/>
        </w:rPr>
        <w:t xml:space="preserve">000 assistentes pessoais </w:t>
      </w:r>
      <w:r>
        <w:rPr>
          <w:rFonts w:ascii="Garamond" w:hAnsi="Garamond" w:cs="Arial"/>
          <w:lang w:val="pt-PT"/>
        </w:rPr>
        <w:t xml:space="preserve">(formação de </w:t>
      </w:r>
      <w:r w:rsidRPr="009C0B11">
        <w:rPr>
          <w:rFonts w:ascii="Garamond" w:hAnsi="Garamond" w:cs="Arial"/>
          <w:lang w:val="pt-PT"/>
        </w:rPr>
        <w:t>500 assistentes pessoais/ano</w:t>
      </w:r>
      <w:r>
        <w:rPr>
          <w:rFonts w:ascii="Garamond" w:hAnsi="Garamond" w:cs="Arial"/>
          <w:lang w:val="pt-PT"/>
        </w:rPr>
        <w:t>).</w:t>
      </w:r>
    </w:p>
    <w:p w14:paraId="763B28D6" w14:textId="77777777" w:rsidR="00FB69C4" w:rsidRDefault="00FB69C4" w:rsidP="00786DEC">
      <w:pPr>
        <w:pStyle w:val="PargrafodaLista"/>
        <w:numPr>
          <w:ilvl w:val="0"/>
          <w:numId w:val="50"/>
        </w:numPr>
        <w:spacing w:after="240"/>
        <w:jc w:val="both"/>
        <w:rPr>
          <w:rFonts w:ascii="Garamond" w:hAnsi="Garamond" w:cs="Arial"/>
          <w:lang w:val="pt-BR"/>
        </w:rPr>
      </w:pPr>
      <w:r w:rsidRPr="009C0B11">
        <w:rPr>
          <w:rFonts w:ascii="Garamond" w:hAnsi="Garamond" w:cs="Arial"/>
          <w:lang w:val="pt-PT"/>
        </w:rPr>
        <w:t xml:space="preserve">Considerando que </w:t>
      </w:r>
      <w:r w:rsidRPr="009C0B11">
        <w:rPr>
          <w:rFonts w:ascii="Garamond" w:hAnsi="Garamond" w:cs="Arial"/>
          <w:lang w:val="pt-BR"/>
        </w:rPr>
        <w:t xml:space="preserve">um Centro de Dia da Terceira Idade </w:t>
      </w:r>
      <w:r>
        <w:rPr>
          <w:rFonts w:ascii="Garamond" w:hAnsi="Garamond" w:cs="Arial"/>
          <w:lang w:val="pt-BR"/>
        </w:rPr>
        <w:t xml:space="preserve">tem cerca de </w:t>
      </w:r>
      <w:r w:rsidRPr="009C0B11">
        <w:rPr>
          <w:rFonts w:ascii="Garamond" w:hAnsi="Garamond" w:cs="Arial"/>
          <w:lang w:val="pt-BR"/>
        </w:rPr>
        <w:t>80 beneficiários</w:t>
      </w:r>
      <w:r>
        <w:rPr>
          <w:rFonts w:ascii="Garamond" w:hAnsi="Garamond" w:cs="Arial"/>
          <w:lang w:val="pt-BR"/>
        </w:rPr>
        <w:t xml:space="preserve"> e </w:t>
      </w:r>
      <w:r w:rsidRPr="009C0B11">
        <w:rPr>
          <w:rFonts w:ascii="Garamond" w:hAnsi="Garamond" w:cs="Arial"/>
          <w:lang w:val="pt-BR"/>
        </w:rPr>
        <w:t xml:space="preserve">recebe diariamente </w:t>
      </w:r>
      <w:r>
        <w:rPr>
          <w:rFonts w:ascii="Garamond" w:hAnsi="Garamond" w:cs="Arial"/>
          <w:lang w:val="pt-BR"/>
        </w:rPr>
        <w:t xml:space="preserve">cerca de </w:t>
      </w:r>
      <w:r w:rsidRPr="009C0B11">
        <w:rPr>
          <w:rFonts w:ascii="Garamond" w:hAnsi="Garamond" w:cs="Arial"/>
          <w:lang w:val="pt-BR"/>
        </w:rPr>
        <w:t>20 idosos</w:t>
      </w:r>
      <w:r>
        <w:rPr>
          <w:rFonts w:ascii="Garamond" w:hAnsi="Garamond" w:cs="Arial"/>
          <w:lang w:val="pt-BR"/>
        </w:rPr>
        <w:t xml:space="preserve">, </w:t>
      </w:r>
      <w:r w:rsidRPr="009C0B11">
        <w:rPr>
          <w:rFonts w:ascii="Garamond" w:hAnsi="Garamond" w:cs="Arial"/>
          <w:lang w:val="pt-BR"/>
        </w:rPr>
        <w:t xml:space="preserve">o país necessitaria de 40 unidades do tipo para cobrir </w:t>
      </w:r>
      <w:r>
        <w:rPr>
          <w:rFonts w:ascii="Garamond" w:hAnsi="Garamond" w:cs="Arial"/>
          <w:lang w:val="pt-BR"/>
        </w:rPr>
        <w:t xml:space="preserve">os </w:t>
      </w:r>
      <w:r w:rsidRPr="009C0B11">
        <w:rPr>
          <w:rFonts w:ascii="Garamond" w:hAnsi="Garamond" w:cs="Arial"/>
          <w:lang w:val="pt-BR"/>
        </w:rPr>
        <w:t xml:space="preserve">cerca de </w:t>
      </w:r>
      <w:r>
        <w:rPr>
          <w:rFonts w:ascii="Garamond" w:hAnsi="Garamond" w:cs="Arial"/>
          <w:lang w:val="pt-BR"/>
        </w:rPr>
        <w:t xml:space="preserve">3.000 </w:t>
      </w:r>
      <w:r w:rsidRPr="009C0B11">
        <w:rPr>
          <w:rFonts w:ascii="Garamond" w:hAnsi="Garamond" w:cs="Arial"/>
          <w:lang w:val="pt-BR"/>
        </w:rPr>
        <w:t>idosos</w:t>
      </w:r>
      <w:r>
        <w:rPr>
          <w:rFonts w:ascii="Garamond" w:hAnsi="Garamond" w:cs="Arial"/>
          <w:lang w:val="pt-BR"/>
        </w:rPr>
        <w:t xml:space="preserve"> vulneráveis (sem necessidades de cuidado cobertas), o que implica a </w:t>
      </w:r>
      <w:r w:rsidRPr="009C0B11">
        <w:rPr>
          <w:rFonts w:ascii="Garamond" w:hAnsi="Garamond" w:cs="Arial"/>
          <w:lang w:val="pt-BR"/>
        </w:rPr>
        <w:t>reabilitação</w:t>
      </w:r>
      <w:r>
        <w:rPr>
          <w:rFonts w:ascii="Garamond" w:hAnsi="Garamond" w:cs="Arial"/>
          <w:lang w:val="pt-BR"/>
        </w:rPr>
        <w:t xml:space="preserve">/construção de </w:t>
      </w:r>
      <w:r w:rsidRPr="009C0B11">
        <w:rPr>
          <w:rFonts w:ascii="Garamond" w:hAnsi="Garamond" w:cs="Arial"/>
          <w:lang w:val="pt-BR"/>
        </w:rPr>
        <w:t>10 equipamentos por ano</w:t>
      </w:r>
      <w:r>
        <w:rPr>
          <w:rFonts w:ascii="Garamond" w:hAnsi="Garamond" w:cs="Arial"/>
          <w:lang w:val="pt-BR"/>
        </w:rPr>
        <w:t xml:space="preserve"> ao longo de 4 anos.</w:t>
      </w:r>
    </w:p>
    <w:p w14:paraId="569A9D2A" w14:textId="77777777" w:rsidR="00FB69C4" w:rsidRPr="00CF33A3" w:rsidRDefault="00FB69C4" w:rsidP="00786DEC">
      <w:pPr>
        <w:pStyle w:val="PargrafodaLista"/>
        <w:numPr>
          <w:ilvl w:val="0"/>
          <w:numId w:val="50"/>
        </w:numPr>
        <w:spacing w:after="240"/>
        <w:jc w:val="both"/>
        <w:rPr>
          <w:rFonts w:ascii="Garamond" w:hAnsi="Garamond" w:cs="Arial"/>
          <w:lang w:val="pt-BR"/>
        </w:rPr>
      </w:pPr>
      <w:r>
        <w:rPr>
          <w:rFonts w:ascii="Garamond" w:hAnsi="Garamond" w:cs="Arial"/>
          <w:lang w:val="pt-PT"/>
        </w:rPr>
        <w:t xml:space="preserve">Existem apenas 2 </w:t>
      </w:r>
      <w:r w:rsidRPr="00CF33A3">
        <w:rPr>
          <w:rFonts w:ascii="Garamond" w:hAnsi="Garamond" w:cs="Arial"/>
          <w:lang w:val="pt-PT"/>
        </w:rPr>
        <w:t>equipamentos de Reabilitação e Integração de Pessoas com deficiência</w:t>
      </w:r>
      <w:r>
        <w:rPr>
          <w:rFonts w:ascii="Garamond" w:hAnsi="Garamond" w:cs="Arial"/>
          <w:lang w:val="pt-PT"/>
        </w:rPr>
        <w:t>, o seu aumento exigirá investimentos da parte d</w:t>
      </w:r>
      <w:r w:rsidRPr="00CF33A3">
        <w:rPr>
          <w:rFonts w:ascii="Garamond" w:hAnsi="Garamond" w:cs="Arial"/>
          <w:lang w:val="pt-PT"/>
        </w:rPr>
        <w:t xml:space="preserve">o sector da saúde. </w:t>
      </w:r>
    </w:p>
    <w:p w14:paraId="048C452E" w14:textId="77777777" w:rsidR="00FB69C4" w:rsidRDefault="00FB69C4" w:rsidP="00FB69C4">
      <w:pPr>
        <w:jc w:val="both"/>
        <w:rPr>
          <w:rFonts w:ascii="Garamond" w:hAnsi="Garamond" w:cs="Arial"/>
          <w:lang w:val="pt-PT"/>
        </w:rPr>
      </w:pPr>
      <w:r>
        <w:rPr>
          <w:rFonts w:ascii="Garamond" w:hAnsi="Garamond" w:cs="Arial"/>
          <w:lang w:val="pt-BR"/>
        </w:rPr>
        <w:t xml:space="preserve">Estes investimentos, como evidenciado pela </w:t>
      </w:r>
      <w:r w:rsidRPr="00CF33A3">
        <w:rPr>
          <w:rFonts w:ascii="Garamond" w:hAnsi="Garamond" w:cs="Arial"/>
          <w:i/>
          <w:iCs/>
          <w:lang w:val="pt-PT"/>
        </w:rPr>
        <w:t>Análise de Políticas Sociais e Propostas de Políticas Públicas Sociais Sensíveis ao Género</w:t>
      </w:r>
      <w:r>
        <w:rPr>
          <w:rFonts w:ascii="Garamond" w:hAnsi="Garamond" w:cs="Arial"/>
          <w:lang w:val="pt-PT"/>
        </w:rPr>
        <w:t xml:space="preserve"> (</w:t>
      </w:r>
      <w:r w:rsidRPr="00CF33A3">
        <w:rPr>
          <w:rFonts w:ascii="Garamond" w:hAnsi="Garamond" w:cs="Arial"/>
          <w:lang w:val="pt-PT"/>
        </w:rPr>
        <w:t>2016)</w:t>
      </w:r>
      <w:r>
        <w:rPr>
          <w:rFonts w:ascii="Garamond" w:hAnsi="Garamond" w:cs="Arial"/>
          <w:lang w:val="pt-PT"/>
        </w:rPr>
        <w:t xml:space="preserve">, terão o seguinte retorno: para cada 1.000 </w:t>
      </w:r>
      <w:proofErr w:type="spellStart"/>
      <w:r>
        <w:rPr>
          <w:rFonts w:ascii="Garamond" w:hAnsi="Garamond" w:cs="Arial"/>
          <w:lang w:val="pt-PT"/>
        </w:rPr>
        <w:t>ECV</w:t>
      </w:r>
      <w:proofErr w:type="spellEnd"/>
      <w:r>
        <w:rPr>
          <w:rFonts w:ascii="Garamond" w:hAnsi="Garamond" w:cs="Arial"/>
          <w:lang w:val="pt-PT"/>
        </w:rPr>
        <w:t xml:space="preserve"> gastos, a economia terá um ganho de 3.100 </w:t>
      </w:r>
      <w:proofErr w:type="spellStart"/>
      <w:r>
        <w:rPr>
          <w:rFonts w:ascii="Garamond" w:hAnsi="Garamond" w:cs="Arial"/>
          <w:lang w:val="pt-PT"/>
        </w:rPr>
        <w:t>ECV</w:t>
      </w:r>
      <w:proofErr w:type="spellEnd"/>
      <w:r>
        <w:rPr>
          <w:rFonts w:ascii="Garamond" w:hAnsi="Garamond" w:cs="Arial"/>
          <w:lang w:val="pt-PT"/>
        </w:rPr>
        <w:t xml:space="preserve"> no horizonte de 24 anos, ou seja 3 vezes superior.  </w:t>
      </w:r>
    </w:p>
    <w:p w14:paraId="14469EED" w14:textId="2698604F" w:rsidR="00FB69C4" w:rsidRPr="00C96041" w:rsidRDefault="00FB69C4" w:rsidP="00FB69C4">
      <w:pPr>
        <w:pStyle w:val="PargrafodaLista"/>
        <w:numPr>
          <w:ilvl w:val="0"/>
          <w:numId w:val="8"/>
        </w:numPr>
        <w:spacing w:after="240"/>
        <w:jc w:val="both"/>
        <w:rPr>
          <w:rFonts w:ascii="Garamond" w:hAnsi="Garamond" w:cs="Arial"/>
          <w:lang w:val="pt-BR"/>
        </w:rPr>
      </w:pPr>
      <w:r>
        <w:rPr>
          <w:rFonts w:ascii="Garamond" w:hAnsi="Garamond" w:cs="Arial"/>
          <w:lang w:val="pt-PT"/>
        </w:rPr>
        <w:t>Deve assim ser continuada a montagem do</w:t>
      </w:r>
      <w:r w:rsidRPr="00C96041">
        <w:rPr>
          <w:rFonts w:ascii="Garamond" w:hAnsi="Garamond" w:cs="Arial"/>
          <w:lang w:val="pt-BR"/>
        </w:rPr>
        <w:t xml:space="preserve"> Sistema Nacional de Cuidados</w:t>
      </w:r>
      <w:r>
        <w:rPr>
          <w:rFonts w:ascii="Garamond" w:hAnsi="Garamond" w:cs="Arial"/>
          <w:lang w:val="pt-BR"/>
        </w:rPr>
        <w:t>, atr</w:t>
      </w:r>
      <w:r w:rsidR="003C4BDB">
        <w:rPr>
          <w:rFonts w:ascii="Garamond" w:hAnsi="Garamond" w:cs="Arial"/>
          <w:lang w:val="pt-BR"/>
        </w:rPr>
        <w:t>a</w:t>
      </w:r>
      <w:r>
        <w:rPr>
          <w:rFonts w:ascii="Garamond" w:hAnsi="Garamond" w:cs="Arial"/>
          <w:lang w:val="pt-BR"/>
        </w:rPr>
        <w:t xml:space="preserve">vés da </w:t>
      </w:r>
      <w:r w:rsidRPr="00C96041">
        <w:rPr>
          <w:rFonts w:ascii="Garamond" w:hAnsi="Garamond" w:cs="Arial"/>
          <w:lang w:val="pt-BR"/>
        </w:rPr>
        <w:t>implementação do Plano Nacional de Cuidados (2017-2021)</w:t>
      </w:r>
      <w:r>
        <w:rPr>
          <w:rFonts w:ascii="Garamond" w:hAnsi="Garamond" w:cs="Arial"/>
          <w:lang w:val="pt-BR"/>
        </w:rPr>
        <w:t xml:space="preserve">, incluindo a mobilização de fundos para os investimentos necessários para a extensão das redes de equipamentos públicos que prestam serviços de cuidados.  </w:t>
      </w:r>
    </w:p>
    <w:p w14:paraId="744B99D3" w14:textId="77777777" w:rsidR="00FB69C4" w:rsidRDefault="00FB69C4" w:rsidP="00FB69C4">
      <w:pPr>
        <w:pStyle w:val="PargrafodaLista"/>
        <w:numPr>
          <w:ilvl w:val="0"/>
          <w:numId w:val="8"/>
        </w:numPr>
        <w:spacing w:after="240"/>
        <w:jc w:val="both"/>
        <w:rPr>
          <w:rFonts w:ascii="Garamond" w:hAnsi="Garamond" w:cs="Arial"/>
          <w:lang w:val="pt-BR"/>
        </w:rPr>
      </w:pPr>
      <w:r>
        <w:rPr>
          <w:rFonts w:ascii="Garamond" w:hAnsi="Garamond" w:cs="Arial"/>
          <w:lang w:val="pt-BR"/>
        </w:rPr>
        <w:t xml:space="preserve">Como previsto, deverá se investir no monitoramento continuo da implementação dos serviços do Sistema Nacional de Cuidados, </w:t>
      </w:r>
      <w:r w:rsidRPr="00C96041">
        <w:rPr>
          <w:rFonts w:ascii="Garamond" w:hAnsi="Garamond" w:cs="Arial"/>
          <w:lang w:val="pt-BR"/>
        </w:rPr>
        <w:t>segui</w:t>
      </w:r>
      <w:r>
        <w:rPr>
          <w:rFonts w:ascii="Garamond" w:hAnsi="Garamond" w:cs="Arial"/>
          <w:lang w:val="pt-BR"/>
        </w:rPr>
        <w:t>n</w:t>
      </w:r>
      <w:r w:rsidRPr="00C96041">
        <w:rPr>
          <w:rFonts w:ascii="Garamond" w:hAnsi="Garamond" w:cs="Arial"/>
          <w:lang w:val="pt-BR"/>
        </w:rPr>
        <w:t>da a disponibilidade e qualidade dos serviços a cuidado-dependentes, bem como a sua cobertura tendo em conta as demandas dos grupos alvo prioritários no território nacional e o acesso da população mais pobre</w:t>
      </w:r>
      <w:r>
        <w:rPr>
          <w:rFonts w:ascii="Garamond" w:hAnsi="Garamond" w:cs="Arial"/>
          <w:lang w:val="pt-BR"/>
        </w:rPr>
        <w:t>.</w:t>
      </w:r>
    </w:p>
    <w:p w14:paraId="1359288B" w14:textId="77777777" w:rsidR="00FB69C4" w:rsidRDefault="00FB69C4" w:rsidP="00FB69C4">
      <w:pPr>
        <w:pStyle w:val="PargrafodaLista"/>
        <w:numPr>
          <w:ilvl w:val="0"/>
          <w:numId w:val="8"/>
        </w:numPr>
        <w:spacing w:after="240"/>
        <w:jc w:val="both"/>
        <w:rPr>
          <w:rFonts w:ascii="Garamond" w:hAnsi="Garamond" w:cs="Arial"/>
          <w:lang w:val="pt-BR"/>
        </w:rPr>
      </w:pPr>
      <w:r>
        <w:rPr>
          <w:rFonts w:ascii="Garamond" w:hAnsi="Garamond" w:cs="Arial"/>
          <w:lang w:val="pt-BR"/>
        </w:rPr>
        <w:t xml:space="preserve">Deve também ser planeada com antecedência a avaliação do seu impacto, </w:t>
      </w:r>
      <w:r w:rsidRPr="00C96041">
        <w:rPr>
          <w:rFonts w:ascii="Garamond" w:hAnsi="Garamond" w:cs="Arial"/>
          <w:lang w:val="pt-BR"/>
        </w:rPr>
        <w:t xml:space="preserve">nas suas várias vertentes (beneficiários, geração de emprego, libertação de tempo para as mulheres, acesso/aumento de rendimento, etc.), </w:t>
      </w:r>
      <w:r>
        <w:rPr>
          <w:rFonts w:ascii="Garamond" w:hAnsi="Garamond" w:cs="Arial"/>
          <w:lang w:val="pt-BR"/>
        </w:rPr>
        <w:t>através d</w:t>
      </w:r>
      <w:r w:rsidRPr="00C96041">
        <w:rPr>
          <w:rFonts w:ascii="Garamond" w:hAnsi="Garamond" w:cs="Arial"/>
          <w:lang w:val="pt-BR"/>
        </w:rPr>
        <w:t>os dados do Cadastro Social Único, dos programas em curso</w:t>
      </w:r>
      <w:r>
        <w:rPr>
          <w:rFonts w:ascii="Garamond" w:hAnsi="Garamond" w:cs="Arial"/>
          <w:lang w:val="pt-BR"/>
        </w:rPr>
        <w:t>,</w:t>
      </w:r>
      <w:r w:rsidRPr="00C96041">
        <w:rPr>
          <w:rFonts w:ascii="Garamond" w:hAnsi="Garamond" w:cs="Arial"/>
          <w:lang w:val="pt-BR"/>
        </w:rPr>
        <w:t xml:space="preserve"> e </w:t>
      </w:r>
      <w:r>
        <w:rPr>
          <w:rFonts w:ascii="Garamond" w:hAnsi="Garamond" w:cs="Arial"/>
          <w:lang w:val="pt-BR"/>
        </w:rPr>
        <w:t>dos relatórios de seguimento, mas também a r</w:t>
      </w:r>
      <w:r w:rsidRPr="00C96041">
        <w:rPr>
          <w:rFonts w:ascii="Garamond" w:hAnsi="Garamond" w:cs="Arial"/>
          <w:lang w:val="pt-BR"/>
        </w:rPr>
        <w:t xml:space="preserve">ealização do IIº Inquérito sobre o Uso do </w:t>
      </w:r>
      <w:r w:rsidRPr="00D34CC9">
        <w:rPr>
          <w:rFonts w:ascii="Garamond" w:hAnsi="Garamond" w:cs="Arial"/>
          <w:lang w:val="pt-BR"/>
        </w:rPr>
        <w:t xml:space="preserve">Tempo, a planear de acordo com a realização dos investimentos e cumprimento das metas propostas. </w:t>
      </w:r>
    </w:p>
    <w:p w14:paraId="5E751DC2" w14:textId="77777777" w:rsidR="00FB69C4" w:rsidRPr="00C96041" w:rsidRDefault="00FB69C4" w:rsidP="00FB69C4">
      <w:pPr>
        <w:pStyle w:val="PargrafodaLista"/>
        <w:numPr>
          <w:ilvl w:val="0"/>
          <w:numId w:val="8"/>
        </w:numPr>
        <w:spacing w:after="240"/>
        <w:jc w:val="both"/>
        <w:rPr>
          <w:rFonts w:ascii="Garamond" w:hAnsi="Garamond" w:cs="Arial"/>
          <w:lang w:val="pt-BR"/>
        </w:rPr>
      </w:pPr>
      <w:r w:rsidRPr="00C96041">
        <w:rPr>
          <w:rFonts w:ascii="Garamond" w:hAnsi="Garamond" w:cs="Arial"/>
          <w:lang w:val="pt-BR"/>
        </w:rPr>
        <w:t xml:space="preserve">Tendo em conta os programas de inclusão social em curso será fundamental documentar as boas práticas de inclusão pelo rendimento de mulheres, tanto </w:t>
      </w:r>
      <w:r>
        <w:rPr>
          <w:rFonts w:ascii="Garamond" w:hAnsi="Garamond" w:cs="Arial"/>
          <w:lang w:val="pt-BR"/>
        </w:rPr>
        <w:t>no</w:t>
      </w:r>
      <w:r w:rsidRPr="00C96041">
        <w:rPr>
          <w:rFonts w:ascii="Garamond" w:hAnsi="Garamond" w:cs="Arial"/>
          <w:lang w:val="pt-BR"/>
        </w:rPr>
        <w:t xml:space="preserve"> meio rural, como </w:t>
      </w:r>
      <w:r>
        <w:rPr>
          <w:rFonts w:ascii="Garamond" w:hAnsi="Garamond" w:cs="Arial"/>
          <w:lang w:val="pt-BR"/>
        </w:rPr>
        <w:t xml:space="preserve">no </w:t>
      </w:r>
      <w:r w:rsidRPr="00C96041">
        <w:rPr>
          <w:rFonts w:ascii="Garamond" w:hAnsi="Garamond" w:cs="Arial"/>
          <w:lang w:val="pt-BR"/>
        </w:rPr>
        <w:t>meio urbano, com enfoque nas abordagens e metodologias implementadas, nos desafios de género identificados e estratégias implementadas para lhes dar resposta, e divulgar o que funciona junto dos setores e atores implicados no combate à pobreza a nível nacional e local</w:t>
      </w:r>
      <w:r>
        <w:rPr>
          <w:rFonts w:ascii="Garamond" w:hAnsi="Garamond" w:cs="Arial"/>
          <w:lang w:val="pt-BR"/>
        </w:rPr>
        <w:t>.</w:t>
      </w:r>
    </w:p>
    <w:p w14:paraId="4E037D55" w14:textId="77777777" w:rsidR="00FB69C4" w:rsidRPr="00C96041" w:rsidRDefault="00FB69C4" w:rsidP="00FB69C4">
      <w:pPr>
        <w:pStyle w:val="PargrafodaLista"/>
        <w:numPr>
          <w:ilvl w:val="0"/>
          <w:numId w:val="8"/>
        </w:numPr>
        <w:spacing w:after="240"/>
        <w:jc w:val="both"/>
        <w:rPr>
          <w:rFonts w:ascii="Garamond" w:hAnsi="Garamond" w:cs="Arial"/>
          <w:lang w:val="pt-BR"/>
        </w:rPr>
      </w:pPr>
      <w:bookmarkStart w:id="32" w:name="_Hlk21095019"/>
      <w:r w:rsidRPr="00C96041">
        <w:rPr>
          <w:rFonts w:ascii="Garamond" w:hAnsi="Garamond" w:cs="Arial"/>
          <w:lang w:val="pt-BR"/>
        </w:rPr>
        <w:t>Tendo em conta os Planos Estratégicos Municipais para o Desenvolvimento Sustentável (PEMDS) já existentes em 9 municípios, e que serão desenvolvidos em todos os municípios do país até 2020, devem sem seguidos os PEMDS dos municípios acima mencionados, onde a pobreza afeta em particular os agregados representados por mulheres e as mulheres, em particular no que toca à abordagem de género dos pilares (i) Desenvolvimento Económico Local e Emprego e (ii) Promoção da Igualdade de Género dos PEMDS, e respetivos projetos, prestanto assitência técnica para a sua consolidação e implementação sempre que necessário</w:t>
      </w:r>
      <w:r>
        <w:rPr>
          <w:rFonts w:ascii="Garamond" w:hAnsi="Garamond" w:cs="Arial"/>
          <w:lang w:val="pt-BR"/>
        </w:rPr>
        <w:t>.</w:t>
      </w:r>
    </w:p>
    <w:bookmarkEnd w:id="32"/>
    <w:p w14:paraId="76EC0842" w14:textId="77777777" w:rsidR="00FB69C4" w:rsidRDefault="00FB69C4" w:rsidP="00FB69C4">
      <w:pPr>
        <w:pStyle w:val="PargrafodaLista"/>
        <w:numPr>
          <w:ilvl w:val="0"/>
          <w:numId w:val="8"/>
        </w:numPr>
        <w:spacing w:after="240"/>
        <w:jc w:val="both"/>
        <w:rPr>
          <w:rFonts w:ascii="Garamond" w:hAnsi="Garamond" w:cs="Arial"/>
          <w:lang w:val="pt-BR"/>
        </w:rPr>
      </w:pPr>
      <w:r w:rsidRPr="00C96041">
        <w:rPr>
          <w:rFonts w:ascii="Garamond" w:hAnsi="Garamond" w:cs="Arial"/>
          <w:lang w:val="pt-BR"/>
        </w:rPr>
        <w:t>Deve ser aprofundada a abordagem de género nas iniciativas de combate à pobreza rural, tais como o POSER</w:t>
      </w:r>
      <w:r>
        <w:rPr>
          <w:rFonts w:ascii="Garamond" w:hAnsi="Garamond" w:cs="Arial"/>
          <w:lang w:val="pt-BR"/>
        </w:rPr>
        <w:t>-C</w:t>
      </w:r>
      <w:r w:rsidRPr="00C96041">
        <w:rPr>
          <w:rFonts w:ascii="Garamond" w:hAnsi="Garamond" w:cs="Arial"/>
          <w:lang w:val="pt-BR"/>
        </w:rPr>
        <w:t>, entre outras, garantindo que realizam sistemáticamente uma análise de género, traçam estartégias de intervenção sensíveis ao género e/ou direcionadas às mulheres e que o seu seguimento e avaliação é sensível ao género</w:t>
      </w:r>
      <w:r>
        <w:rPr>
          <w:rFonts w:ascii="Garamond" w:hAnsi="Garamond" w:cs="Arial"/>
          <w:lang w:val="pt-BR"/>
        </w:rPr>
        <w:t>.</w:t>
      </w:r>
    </w:p>
    <w:p w14:paraId="5805B8C5" w14:textId="77777777" w:rsidR="00FB69C4" w:rsidRPr="00436CA2" w:rsidRDefault="00FB69C4" w:rsidP="00FB69C4">
      <w:pPr>
        <w:pStyle w:val="PargrafodaLista"/>
        <w:numPr>
          <w:ilvl w:val="0"/>
          <w:numId w:val="8"/>
        </w:numPr>
        <w:spacing w:after="240"/>
        <w:ind w:left="714" w:hanging="357"/>
        <w:jc w:val="both"/>
        <w:rPr>
          <w:rFonts w:ascii="Garamond" w:hAnsi="Garamond" w:cs="Arial"/>
          <w:lang w:val="pt-BR"/>
        </w:rPr>
      </w:pPr>
      <w:r w:rsidRPr="00436CA2">
        <w:rPr>
          <w:rFonts w:ascii="Garamond" w:hAnsi="Garamond" w:cs="Arial"/>
          <w:lang w:val="pt-BR"/>
        </w:rPr>
        <w:t>Isto implica</w:t>
      </w:r>
      <w:r>
        <w:rPr>
          <w:rFonts w:ascii="Garamond" w:hAnsi="Garamond" w:cs="Arial"/>
          <w:lang w:val="pt-BR"/>
        </w:rPr>
        <w:t xml:space="preserve"> ter em conta, </w:t>
      </w:r>
      <w:r w:rsidRPr="00436CA2">
        <w:rPr>
          <w:rFonts w:ascii="Garamond" w:hAnsi="Garamond" w:cs="Arial"/>
          <w:lang w:val="pt-BR"/>
        </w:rPr>
        <w:t>nas medidas acima</w:t>
      </w:r>
      <w:r>
        <w:rPr>
          <w:rFonts w:ascii="Garamond" w:hAnsi="Garamond" w:cs="Arial"/>
          <w:lang w:val="pt-BR"/>
        </w:rPr>
        <w:t xml:space="preserve">, bem como nas </w:t>
      </w:r>
      <w:r w:rsidRPr="00436CA2">
        <w:rPr>
          <w:rFonts w:ascii="Garamond" w:hAnsi="Garamond" w:cs="Arial"/>
          <w:lang w:val="pt-BR"/>
        </w:rPr>
        <w:t>iniciativas ligadas ao Turismo e sectores conexos, a dinamização de cadeias de valor de produtos identificados por mulheres, a dinamização de cooperativas de mulheres e economia solidária, a criação de mecanismos e plataformas de facilitação do acesso a financiamentos e mercados para mulheres empreendedoras e empresas de mulheres.</w:t>
      </w:r>
    </w:p>
    <w:p w14:paraId="6E8E53E0" w14:textId="77777777" w:rsidR="00FB69C4" w:rsidRPr="00C96041" w:rsidRDefault="00FB69C4" w:rsidP="00FB69C4">
      <w:pPr>
        <w:spacing w:after="240"/>
        <w:contextualSpacing/>
        <w:jc w:val="both"/>
        <w:rPr>
          <w:rFonts w:ascii="Garamond" w:hAnsi="Garamond"/>
          <w:b/>
          <w:bCs/>
          <w:lang w:val="pt-PT"/>
        </w:rPr>
      </w:pPr>
      <w:r w:rsidRPr="00C96041">
        <w:rPr>
          <w:rFonts w:ascii="Garamond" w:hAnsi="Garamond"/>
          <w:b/>
          <w:bCs/>
          <w:lang w:val="pt-PT"/>
        </w:rPr>
        <w:t xml:space="preserve">Situação da população em idade </w:t>
      </w:r>
      <w:proofErr w:type="spellStart"/>
      <w:r w:rsidRPr="00C96041">
        <w:rPr>
          <w:rFonts w:ascii="Garamond" w:hAnsi="Garamond"/>
          <w:b/>
          <w:bCs/>
          <w:lang w:val="pt-PT"/>
        </w:rPr>
        <w:t>ativa</w:t>
      </w:r>
      <w:proofErr w:type="spellEnd"/>
      <w:r w:rsidRPr="00C96041">
        <w:rPr>
          <w:rFonts w:ascii="Garamond" w:hAnsi="Garamond"/>
          <w:b/>
          <w:bCs/>
          <w:lang w:val="pt-PT"/>
        </w:rPr>
        <w:t xml:space="preserve"> </w:t>
      </w:r>
    </w:p>
    <w:p w14:paraId="6534B14F" w14:textId="77777777" w:rsidR="00FB69C4" w:rsidRPr="00C96041" w:rsidRDefault="00FB69C4" w:rsidP="00FB69C4">
      <w:pPr>
        <w:spacing w:after="240"/>
        <w:jc w:val="both"/>
        <w:rPr>
          <w:rFonts w:ascii="Garamond" w:hAnsi="Garamond"/>
          <w:lang w:val="pt-PT"/>
        </w:rPr>
      </w:pPr>
      <w:r w:rsidRPr="00C96041">
        <w:rPr>
          <w:rFonts w:ascii="Garamond" w:hAnsi="Garamond"/>
          <w:lang w:val="pt-PT"/>
        </w:rPr>
        <w:t>Existe uma diferença significativa entre a participação da força de trabalho das mulheres e dos homens: em 2018 das 399.588 pessoas com 15 anos ou mais, 177.560 são inactivas, na sua larga maioria mulheres (103.135 versus 74.425 homens), ou seja, elas, mais do que eles, estão sem actividade económica remunerada.</w:t>
      </w:r>
      <w:r w:rsidRPr="00C96041">
        <w:rPr>
          <w:rStyle w:val="Refdenotaderodap"/>
          <w:rFonts w:ascii="Garamond" w:hAnsi="Garamond"/>
          <w:lang w:val="pt-PT"/>
        </w:rPr>
        <w:footnoteReference w:id="18"/>
      </w:r>
      <w:r w:rsidRPr="00C96041">
        <w:rPr>
          <w:rFonts w:ascii="Garamond" w:hAnsi="Garamond"/>
          <w:lang w:val="pt-PT"/>
        </w:rPr>
        <w:t xml:space="preserve"> Assim a população </w:t>
      </w:r>
      <w:proofErr w:type="spellStart"/>
      <w:r w:rsidRPr="00C96041">
        <w:rPr>
          <w:rFonts w:ascii="Garamond" w:hAnsi="Garamond"/>
          <w:lang w:val="pt-PT"/>
        </w:rPr>
        <w:t>ativa</w:t>
      </w:r>
      <w:proofErr w:type="spellEnd"/>
      <w:r w:rsidRPr="00C96041">
        <w:rPr>
          <w:rFonts w:ascii="Garamond" w:hAnsi="Garamond"/>
          <w:lang w:val="pt-PT"/>
        </w:rPr>
        <w:t xml:space="preserve"> é maioritariamente masculina (56% versus 44%), o que em números significa que a população </w:t>
      </w:r>
      <w:proofErr w:type="spellStart"/>
      <w:r w:rsidRPr="00C96041">
        <w:rPr>
          <w:rFonts w:ascii="Garamond" w:hAnsi="Garamond"/>
          <w:lang w:val="pt-PT"/>
        </w:rPr>
        <w:t>ativa</w:t>
      </w:r>
      <w:proofErr w:type="spellEnd"/>
      <w:r w:rsidRPr="00C96041">
        <w:rPr>
          <w:rFonts w:ascii="Garamond" w:hAnsi="Garamond"/>
          <w:lang w:val="pt-PT"/>
        </w:rPr>
        <w:t xml:space="preserve"> total (222.028) é constituída por 124.053 homens (108.345 a trabalhar e 15.708 desempregados) e 97.975 mulheres (86.655 a trabalhar e 11.320 desempregadas). O </w:t>
      </w:r>
      <w:r w:rsidRPr="001C50C8">
        <w:rPr>
          <w:rFonts w:ascii="Garamond" w:hAnsi="Garamond"/>
          <w:lang w:val="pt-PT"/>
        </w:rPr>
        <w:t xml:space="preserve">gráfico </w:t>
      </w:r>
      <w:r>
        <w:rPr>
          <w:rFonts w:ascii="Garamond" w:hAnsi="Garamond"/>
          <w:lang w:val="pt-PT"/>
        </w:rPr>
        <w:t xml:space="preserve">que se segue </w:t>
      </w:r>
      <w:r w:rsidRPr="001C50C8">
        <w:rPr>
          <w:rFonts w:ascii="Garamond" w:hAnsi="Garamond"/>
          <w:lang w:val="pt-PT"/>
        </w:rPr>
        <w:t>ilustra a</w:t>
      </w:r>
      <w:r w:rsidRPr="00C96041">
        <w:rPr>
          <w:rFonts w:ascii="Garamond" w:hAnsi="Garamond"/>
          <w:lang w:val="pt-PT"/>
        </w:rPr>
        <w:t xml:space="preserve"> forma como a inactividade, emprego e desemprego </w:t>
      </w:r>
      <w:proofErr w:type="spellStart"/>
      <w:r w:rsidRPr="00C96041">
        <w:rPr>
          <w:rFonts w:ascii="Garamond" w:hAnsi="Garamond"/>
          <w:lang w:val="pt-PT"/>
        </w:rPr>
        <w:t>afeta</w:t>
      </w:r>
      <w:r>
        <w:rPr>
          <w:rFonts w:ascii="Garamond" w:hAnsi="Garamond"/>
          <w:lang w:val="pt-PT"/>
        </w:rPr>
        <w:t>m</w:t>
      </w:r>
      <w:proofErr w:type="spellEnd"/>
      <w:r w:rsidRPr="00C96041">
        <w:rPr>
          <w:rFonts w:ascii="Garamond" w:hAnsi="Garamond"/>
          <w:lang w:val="pt-PT"/>
        </w:rPr>
        <w:t xml:space="preserve"> homens e mulheres em idade </w:t>
      </w:r>
      <w:proofErr w:type="spellStart"/>
      <w:r w:rsidRPr="00C96041">
        <w:rPr>
          <w:rFonts w:ascii="Garamond" w:hAnsi="Garamond"/>
          <w:lang w:val="pt-PT"/>
        </w:rPr>
        <w:t>ativa</w:t>
      </w:r>
      <w:proofErr w:type="spellEnd"/>
      <w:r w:rsidRPr="00C96041">
        <w:rPr>
          <w:rFonts w:ascii="Garamond" w:hAnsi="Garamond"/>
          <w:lang w:val="pt-PT"/>
        </w:rPr>
        <w:t xml:space="preserve"> (15 anos ou mais), já que a taxa de desemprego, calculada em relação às pessoas empregadas, por si só</w:t>
      </w:r>
      <w:r>
        <w:rPr>
          <w:rFonts w:ascii="Garamond" w:hAnsi="Garamond"/>
          <w:lang w:val="pt-PT"/>
        </w:rPr>
        <w:t>,</w:t>
      </w:r>
      <w:r w:rsidRPr="00C96041">
        <w:rPr>
          <w:rFonts w:ascii="Garamond" w:hAnsi="Garamond"/>
          <w:lang w:val="pt-PT"/>
        </w:rPr>
        <w:t xml:space="preserve"> não dá a dimensão de quem fica de fora da actividade economia remunerada.</w:t>
      </w:r>
    </w:p>
    <w:p w14:paraId="31830422" w14:textId="181B1AAD" w:rsidR="00FB69C4" w:rsidRPr="00C85C7B" w:rsidRDefault="00FB69C4" w:rsidP="00FB69C4">
      <w:pPr>
        <w:pStyle w:val="Legenda"/>
        <w:spacing w:after="0"/>
        <w:jc w:val="center"/>
        <w:rPr>
          <w:rFonts w:ascii="Garamond" w:hAnsi="Garamond"/>
          <w:b/>
          <w:bCs/>
          <w:i w:val="0"/>
          <w:iCs w:val="0"/>
          <w:color w:val="auto"/>
          <w:sz w:val="20"/>
          <w:szCs w:val="20"/>
          <w:lang w:val="pt-PT"/>
        </w:rPr>
      </w:pPr>
      <w:bookmarkStart w:id="33" w:name="_Toc32856858"/>
      <w:r w:rsidRPr="00C85C7B">
        <w:rPr>
          <w:rFonts w:ascii="Garamond" w:hAnsi="Garamond"/>
          <w:b/>
          <w:bCs/>
          <w:i w:val="0"/>
          <w:iCs w:val="0"/>
          <w:color w:val="auto"/>
          <w:sz w:val="20"/>
          <w:szCs w:val="20"/>
          <w:lang w:val="pt-PT"/>
        </w:rPr>
        <w:t>Gr</w:t>
      </w:r>
      <w:r>
        <w:rPr>
          <w:rFonts w:ascii="Garamond" w:hAnsi="Garamond"/>
          <w:b/>
          <w:bCs/>
          <w:i w:val="0"/>
          <w:iCs w:val="0"/>
          <w:color w:val="auto"/>
          <w:sz w:val="20"/>
          <w:szCs w:val="20"/>
          <w:lang w:val="pt-PT"/>
        </w:rPr>
        <w:t>á</w:t>
      </w:r>
      <w:r w:rsidRPr="00C85C7B">
        <w:rPr>
          <w:rFonts w:ascii="Garamond" w:hAnsi="Garamond"/>
          <w:b/>
          <w:bCs/>
          <w:i w:val="0"/>
          <w:iCs w:val="0"/>
          <w:color w:val="auto"/>
          <w:sz w:val="20"/>
          <w:szCs w:val="20"/>
          <w:lang w:val="pt-PT"/>
        </w:rPr>
        <w:t xml:space="preserve">fico </w:t>
      </w:r>
      <w:r w:rsidRPr="00C85C7B">
        <w:rPr>
          <w:rFonts w:ascii="Garamond" w:hAnsi="Garamond"/>
          <w:b/>
          <w:bCs/>
          <w:i w:val="0"/>
          <w:iCs w:val="0"/>
          <w:color w:val="auto"/>
          <w:sz w:val="20"/>
          <w:szCs w:val="20"/>
          <w:lang w:val="pt-PT"/>
        </w:rPr>
        <w:fldChar w:fldCharType="begin"/>
      </w:r>
      <w:r w:rsidRPr="00C85C7B">
        <w:rPr>
          <w:rFonts w:ascii="Garamond" w:hAnsi="Garamond"/>
          <w:b/>
          <w:bCs/>
          <w:i w:val="0"/>
          <w:iCs w:val="0"/>
          <w:color w:val="auto"/>
          <w:sz w:val="20"/>
          <w:szCs w:val="20"/>
          <w:lang w:val="pt-PT"/>
        </w:rPr>
        <w:instrText xml:space="preserve"> SEQ Grafico \* ARABIC </w:instrText>
      </w:r>
      <w:r w:rsidRPr="00C85C7B">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4</w:t>
      </w:r>
      <w:r w:rsidRPr="00C85C7B">
        <w:rPr>
          <w:rFonts w:ascii="Garamond" w:hAnsi="Garamond"/>
          <w:b/>
          <w:bCs/>
          <w:i w:val="0"/>
          <w:iCs w:val="0"/>
          <w:color w:val="auto"/>
          <w:sz w:val="20"/>
          <w:szCs w:val="20"/>
          <w:lang w:val="pt-PT"/>
        </w:rPr>
        <w:fldChar w:fldCharType="end"/>
      </w:r>
      <w:r w:rsidRPr="00C85C7B">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w:t>
      </w:r>
      <w:r w:rsidRPr="00C85C7B">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 xml:space="preserve">Proporção de mulheres e homens </w:t>
      </w:r>
      <w:proofErr w:type="spellStart"/>
      <w:r>
        <w:rPr>
          <w:rFonts w:ascii="Garamond" w:hAnsi="Garamond"/>
          <w:b/>
          <w:bCs/>
          <w:i w:val="0"/>
          <w:iCs w:val="0"/>
          <w:color w:val="auto"/>
          <w:sz w:val="20"/>
          <w:szCs w:val="20"/>
          <w:lang w:val="pt-PT"/>
        </w:rPr>
        <w:t>inativos</w:t>
      </w:r>
      <w:proofErr w:type="spellEnd"/>
      <w:r>
        <w:rPr>
          <w:rFonts w:ascii="Garamond" w:hAnsi="Garamond"/>
          <w:b/>
          <w:bCs/>
          <w:i w:val="0"/>
          <w:iCs w:val="0"/>
          <w:color w:val="auto"/>
          <w:sz w:val="20"/>
          <w:szCs w:val="20"/>
          <w:lang w:val="pt-PT"/>
        </w:rPr>
        <w:t xml:space="preserve">, </w:t>
      </w:r>
      <w:proofErr w:type="spellStart"/>
      <w:r>
        <w:rPr>
          <w:rFonts w:ascii="Garamond" w:hAnsi="Garamond"/>
          <w:b/>
          <w:bCs/>
          <w:i w:val="0"/>
          <w:iCs w:val="0"/>
          <w:color w:val="auto"/>
          <w:sz w:val="20"/>
          <w:szCs w:val="20"/>
          <w:lang w:val="pt-PT"/>
        </w:rPr>
        <w:t>ativos</w:t>
      </w:r>
      <w:proofErr w:type="spellEnd"/>
      <w:r>
        <w:rPr>
          <w:rFonts w:ascii="Garamond" w:hAnsi="Garamond"/>
          <w:b/>
          <w:bCs/>
          <w:i w:val="0"/>
          <w:iCs w:val="0"/>
          <w:color w:val="auto"/>
          <w:sz w:val="20"/>
          <w:szCs w:val="20"/>
          <w:lang w:val="pt-PT"/>
        </w:rPr>
        <w:t xml:space="preserve"> empregados e </w:t>
      </w:r>
      <w:proofErr w:type="spellStart"/>
      <w:r>
        <w:rPr>
          <w:rFonts w:ascii="Garamond" w:hAnsi="Garamond"/>
          <w:b/>
          <w:bCs/>
          <w:i w:val="0"/>
          <w:iCs w:val="0"/>
          <w:color w:val="auto"/>
          <w:sz w:val="20"/>
          <w:szCs w:val="20"/>
          <w:lang w:val="pt-PT"/>
        </w:rPr>
        <w:t>ativos</w:t>
      </w:r>
      <w:proofErr w:type="spellEnd"/>
      <w:r>
        <w:rPr>
          <w:rFonts w:ascii="Garamond" w:hAnsi="Garamond"/>
          <w:b/>
          <w:bCs/>
          <w:i w:val="0"/>
          <w:iCs w:val="0"/>
          <w:color w:val="auto"/>
          <w:sz w:val="20"/>
          <w:szCs w:val="20"/>
          <w:lang w:val="pt-PT"/>
        </w:rPr>
        <w:t xml:space="preserve"> desempregados (sobre o total de mulheres e homens em idade </w:t>
      </w:r>
      <w:proofErr w:type="spellStart"/>
      <w:r>
        <w:rPr>
          <w:rFonts w:ascii="Garamond" w:hAnsi="Garamond"/>
          <w:b/>
          <w:bCs/>
          <w:i w:val="0"/>
          <w:iCs w:val="0"/>
          <w:color w:val="auto"/>
          <w:sz w:val="20"/>
          <w:szCs w:val="20"/>
          <w:lang w:val="pt-PT"/>
        </w:rPr>
        <w:t>ativa</w:t>
      </w:r>
      <w:proofErr w:type="spellEnd"/>
      <w:r>
        <w:rPr>
          <w:rFonts w:ascii="Garamond" w:hAnsi="Garamond"/>
          <w:b/>
          <w:bCs/>
          <w:i w:val="0"/>
          <w:iCs w:val="0"/>
          <w:color w:val="auto"/>
          <w:sz w:val="20"/>
          <w:szCs w:val="20"/>
          <w:lang w:val="pt-PT"/>
        </w:rPr>
        <w:t xml:space="preserve"> em Cabo Verde)</w:t>
      </w:r>
      <w:bookmarkEnd w:id="33"/>
      <w:r>
        <w:rPr>
          <w:rFonts w:ascii="Garamond" w:hAnsi="Garamond"/>
          <w:b/>
          <w:bCs/>
          <w:i w:val="0"/>
          <w:iCs w:val="0"/>
          <w:color w:val="auto"/>
          <w:sz w:val="20"/>
          <w:szCs w:val="20"/>
          <w:lang w:val="pt-PT"/>
        </w:rPr>
        <w:t xml:space="preserve"> </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14"/>
        <w:gridCol w:w="4280"/>
      </w:tblGrid>
      <w:tr w:rsidR="00FB69C4" w14:paraId="36C99124" w14:textId="77777777" w:rsidTr="00FE67BB">
        <w:trPr>
          <w:trHeight w:hRule="exact" w:val="2762"/>
        </w:trPr>
        <w:tc>
          <w:tcPr>
            <w:tcW w:w="4214" w:type="dxa"/>
          </w:tcPr>
          <w:p w14:paraId="0A425D6D" w14:textId="77777777" w:rsidR="00FB69C4" w:rsidRDefault="00FB69C4" w:rsidP="00FE67BB">
            <w:pPr>
              <w:jc w:val="both"/>
              <w:rPr>
                <w:rFonts w:ascii="Garamond" w:hAnsi="Garamond"/>
                <w:sz w:val="28"/>
                <w:szCs w:val="28"/>
                <w:lang w:val="pt-PT"/>
              </w:rPr>
            </w:pPr>
            <w:r>
              <w:rPr>
                <w:noProof/>
              </w:rPr>
              <w:drawing>
                <wp:inline distT="0" distB="0" distL="0" distR="0" wp14:anchorId="56018DA5" wp14:editId="14A3DAB9">
                  <wp:extent cx="2575560" cy="1674253"/>
                  <wp:effectExtent l="0" t="0" r="0" b="2540"/>
                  <wp:docPr id="9" name="Gráfico 9">
                    <a:extLst xmlns:a="http://schemas.openxmlformats.org/drawingml/2006/main">
                      <a:ext uri="{FF2B5EF4-FFF2-40B4-BE49-F238E27FC236}">
                        <a16:creationId xmlns:a16="http://schemas.microsoft.com/office/drawing/2014/main" id="{8C1CB559-981D-43BD-B10D-23C9E9B5D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280" w:type="dxa"/>
          </w:tcPr>
          <w:p w14:paraId="2F06E69B" w14:textId="77777777" w:rsidR="00FB69C4" w:rsidRDefault="00FB69C4" w:rsidP="00FE67BB">
            <w:pPr>
              <w:jc w:val="both"/>
              <w:rPr>
                <w:rFonts w:ascii="Garamond" w:hAnsi="Garamond"/>
                <w:sz w:val="28"/>
                <w:szCs w:val="28"/>
                <w:lang w:val="pt-PT"/>
              </w:rPr>
            </w:pPr>
            <w:r>
              <w:rPr>
                <w:noProof/>
              </w:rPr>
              <w:drawing>
                <wp:inline distT="0" distB="0" distL="0" distR="0" wp14:anchorId="6D0AA546" wp14:editId="4C7365DD">
                  <wp:extent cx="2622550" cy="1687132"/>
                  <wp:effectExtent l="0" t="0" r="6350" b="8890"/>
                  <wp:docPr id="11" name="Gráfico 11">
                    <a:extLst xmlns:a="http://schemas.openxmlformats.org/drawingml/2006/main">
                      <a:ext uri="{FF2B5EF4-FFF2-40B4-BE49-F238E27FC236}">
                        <a16:creationId xmlns:a16="http://schemas.microsoft.com/office/drawing/2014/main" id="{032606D1-4657-45AC-9DE6-6BEBB1296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6DD1DAD5" w14:textId="77777777" w:rsidR="00FB69C4" w:rsidRDefault="00FB69C4" w:rsidP="00FB69C4">
      <w:pPr>
        <w:spacing w:after="240"/>
        <w:jc w:val="center"/>
        <w:rPr>
          <w:rFonts w:ascii="Garamond" w:hAnsi="Garamond"/>
          <w:b/>
          <w:bCs/>
          <w:sz w:val="20"/>
          <w:szCs w:val="20"/>
          <w:lang w:val="pt-PT"/>
        </w:rPr>
      </w:pPr>
      <w:r>
        <w:rPr>
          <w:rFonts w:ascii="Garamond" w:hAnsi="Garamond"/>
          <w:b/>
          <w:bCs/>
          <w:sz w:val="20"/>
          <w:szCs w:val="20"/>
          <w:lang w:val="pt-PT"/>
        </w:rPr>
        <w:t xml:space="preserve">Fonte: elaboração própria com </w:t>
      </w:r>
      <w:r w:rsidRPr="00C85C7B">
        <w:rPr>
          <w:rFonts w:ascii="Garamond" w:hAnsi="Garamond"/>
          <w:b/>
          <w:bCs/>
          <w:sz w:val="20"/>
          <w:szCs w:val="20"/>
          <w:lang w:val="pt-PT"/>
        </w:rPr>
        <w:t xml:space="preserve">base nos dados do </w:t>
      </w:r>
      <w:r>
        <w:rPr>
          <w:rFonts w:ascii="Garamond" w:hAnsi="Garamond"/>
          <w:b/>
          <w:bCs/>
          <w:sz w:val="20"/>
          <w:szCs w:val="20"/>
          <w:lang w:val="pt-PT"/>
        </w:rPr>
        <w:t>IMC 20</w:t>
      </w:r>
      <w:r w:rsidRPr="00C85C7B">
        <w:rPr>
          <w:rFonts w:ascii="Garamond" w:hAnsi="Garamond"/>
          <w:b/>
          <w:bCs/>
          <w:sz w:val="20"/>
          <w:szCs w:val="20"/>
          <w:lang w:val="pt-PT"/>
        </w:rPr>
        <w:t>18</w:t>
      </w:r>
      <w:r>
        <w:rPr>
          <w:rFonts w:ascii="Garamond" w:hAnsi="Garamond"/>
          <w:b/>
          <w:bCs/>
          <w:sz w:val="20"/>
          <w:szCs w:val="20"/>
          <w:lang w:val="pt-PT"/>
        </w:rPr>
        <w:t xml:space="preserve"> (INE, 2019, </w:t>
      </w:r>
      <w:proofErr w:type="spellStart"/>
      <w:r w:rsidRPr="00C85C7B">
        <w:rPr>
          <w:rFonts w:ascii="Garamond" w:hAnsi="Garamond"/>
          <w:b/>
          <w:bCs/>
          <w:sz w:val="20"/>
          <w:szCs w:val="20"/>
          <w:lang w:val="pt-PT"/>
        </w:rPr>
        <w:t>info</w:t>
      </w:r>
      <w:proofErr w:type="spellEnd"/>
      <w:r>
        <w:rPr>
          <w:rFonts w:ascii="Garamond" w:hAnsi="Garamond"/>
          <w:b/>
          <w:bCs/>
          <w:sz w:val="20"/>
          <w:szCs w:val="20"/>
          <w:lang w:val="pt-PT"/>
        </w:rPr>
        <w:t xml:space="preserve"> </w:t>
      </w:r>
      <w:r w:rsidRPr="00C85C7B">
        <w:rPr>
          <w:rFonts w:ascii="Garamond" w:hAnsi="Garamond"/>
          <w:b/>
          <w:bCs/>
          <w:sz w:val="20"/>
          <w:szCs w:val="20"/>
          <w:lang w:val="pt-PT"/>
        </w:rPr>
        <w:t>à comunicação social</w:t>
      </w:r>
      <w:r>
        <w:rPr>
          <w:rFonts w:ascii="Garamond" w:hAnsi="Garamond"/>
          <w:b/>
          <w:bCs/>
          <w:sz w:val="20"/>
          <w:szCs w:val="20"/>
          <w:lang w:val="pt-PT"/>
        </w:rPr>
        <w:t>)</w:t>
      </w:r>
    </w:p>
    <w:p w14:paraId="26C50588" w14:textId="77777777" w:rsidR="00FB69C4" w:rsidRPr="00C96041" w:rsidRDefault="00FB69C4" w:rsidP="00FB69C4">
      <w:pPr>
        <w:spacing w:after="240"/>
        <w:jc w:val="both"/>
        <w:rPr>
          <w:rFonts w:ascii="Garamond" w:hAnsi="Garamond"/>
          <w:lang w:val="pt-PT"/>
        </w:rPr>
      </w:pPr>
      <w:r w:rsidRPr="00C96041">
        <w:rPr>
          <w:rFonts w:ascii="Garamond" w:hAnsi="Garamond"/>
          <w:lang w:val="pt-PT"/>
        </w:rPr>
        <w:t xml:space="preserve">As diferenças são ainda mais marcadas no meio rural, onde quase 2/3 das mulheres são </w:t>
      </w:r>
      <w:proofErr w:type="spellStart"/>
      <w:r w:rsidRPr="00C96041">
        <w:rPr>
          <w:rFonts w:ascii="Garamond" w:hAnsi="Garamond"/>
          <w:lang w:val="pt-PT"/>
        </w:rPr>
        <w:t>inativas</w:t>
      </w:r>
      <w:proofErr w:type="spellEnd"/>
      <w:r w:rsidRPr="00C96041">
        <w:rPr>
          <w:rFonts w:ascii="Garamond" w:hAnsi="Garamond"/>
          <w:lang w:val="pt-PT"/>
        </w:rPr>
        <w:t xml:space="preserve"> (63,9% versus 44,5% dos homens). Entre os motivos para a </w:t>
      </w:r>
      <w:proofErr w:type="spellStart"/>
      <w:r w:rsidRPr="00C96041">
        <w:rPr>
          <w:rFonts w:ascii="Garamond" w:hAnsi="Garamond"/>
          <w:lang w:val="pt-PT"/>
        </w:rPr>
        <w:t>inatividade</w:t>
      </w:r>
      <w:proofErr w:type="spellEnd"/>
      <w:r w:rsidRPr="00C96041">
        <w:rPr>
          <w:rFonts w:ascii="Garamond" w:hAnsi="Garamond"/>
          <w:lang w:val="pt-PT"/>
        </w:rPr>
        <w:t xml:space="preserve"> 17,6% </w:t>
      </w:r>
      <w:r>
        <w:rPr>
          <w:rFonts w:ascii="Garamond" w:hAnsi="Garamond"/>
          <w:lang w:val="pt-PT"/>
        </w:rPr>
        <w:t xml:space="preserve">das pessoas </w:t>
      </w:r>
      <w:r w:rsidRPr="00C96041">
        <w:rPr>
          <w:rFonts w:ascii="Garamond" w:hAnsi="Garamond"/>
          <w:lang w:val="pt-PT"/>
        </w:rPr>
        <w:t xml:space="preserve">refere </w:t>
      </w:r>
      <w:r w:rsidRPr="00C96041">
        <w:rPr>
          <w:rFonts w:ascii="Garamond" w:hAnsi="Garamond"/>
          <w:i/>
          <w:iCs/>
          <w:lang w:val="pt-PT"/>
        </w:rPr>
        <w:t>invalidez, doença, acidente ou gravidez</w:t>
      </w:r>
      <w:r w:rsidRPr="00C96041">
        <w:rPr>
          <w:rFonts w:ascii="Garamond" w:hAnsi="Garamond"/>
          <w:lang w:val="pt-PT"/>
        </w:rPr>
        <w:t xml:space="preserve"> (19,4% das mulheres e 14,7% dos homens) e 11,5% </w:t>
      </w:r>
      <w:r w:rsidRPr="00C96041">
        <w:rPr>
          <w:rFonts w:ascii="Garamond" w:hAnsi="Garamond"/>
          <w:i/>
          <w:iCs/>
          <w:lang w:val="pt-PT"/>
        </w:rPr>
        <w:t>responsabilidades pessoais ou familiares</w:t>
      </w:r>
      <w:r w:rsidRPr="00C96041">
        <w:rPr>
          <w:rFonts w:ascii="Garamond" w:hAnsi="Garamond"/>
          <w:lang w:val="pt-PT"/>
        </w:rPr>
        <w:t xml:space="preserve"> (17,7% das mulheres e 2,1% dos homens). Ou seja, estimando que o motivo da </w:t>
      </w:r>
      <w:proofErr w:type="spellStart"/>
      <w:r w:rsidRPr="00C96041">
        <w:rPr>
          <w:rFonts w:ascii="Garamond" w:hAnsi="Garamond"/>
          <w:lang w:val="pt-PT"/>
        </w:rPr>
        <w:t>in</w:t>
      </w:r>
      <w:r>
        <w:rPr>
          <w:rFonts w:ascii="Garamond" w:hAnsi="Garamond"/>
          <w:lang w:val="pt-PT"/>
        </w:rPr>
        <w:t>a</w:t>
      </w:r>
      <w:r w:rsidRPr="00C96041">
        <w:rPr>
          <w:rFonts w:ascii="Garamond" w:hAnsi="Garamond"/>
          <w:lang w:val="pt-PT"/>
        </w:rPr>
        <w:t>tividade</w:t>
      </w:r>
      <w:proofErr w:type="spellEnd"/>
      <w:r w:rsidRPr="00C96041">
        <w:rPr>
          <w:rFonts w:ascii="Garamond" w:hAnsi="Garamond"/>
          <w:lang w:val="pt-PT"/>
        </w:rPr>
        <w:t xml:space="preserve"> para as mulheres </w:t>
      </w:r>
      <w:r>
        <w:rPr>
          <w:rFonts w:ascii="Garamond" w:hAnsi="Garamond"/>
          <w:lang w:val="pt-PT"/>
        </w:rPr>
        <w:t>poderá ser a</w:t>
      </w:r>
      <w:r w:rsidRPr="00C96041">
        <w:rPr>
          <w:rFonts w:ascii="Garamond" w:hAnsi="Garamond"/>
          <w:lang w:val="pt-PT"/>
        </w:rPr>
        <w:t xml:space="preserve"> gravidez em </w:t>
      </w:r>
      <w:proofErr w:type="spellStart"/>
      <w:r w:rsidRPr="00C96041">
        <w:rPr>
          <w:rFonts w:ascii="Garamond" w:hAnsi="Garamond"/>
          <w:lang w:val="pt-PT"/>
        </w:rPr>
        <w:t>pelo</w:t>
      </w:r>
      <w:proofErr w:type="spellEnd"/>
      <w:r w:rsidRPr="00C96041">
        <w:rPr>
          <w:rFonts w:ascii="Garamond" w:hAnsi="Garamond"/>
          <w:lang w:val="pt-PT"/>
        </w:rPr>
        <w:t xml:space="preserve"> menos 4% dos casos, poderemos pensar que mais de 1 em cada 5 mulheres (cerca de 22%) estão </w:t>
      </w:r>
      <w:proofErr w:type="spellStart"/>
      <w:r w:rsidRPr="00C96041">
        <w:rPr>
          <w:rFonts w:ascii="Garamond" w:hAnsi="Garamond"/>
          <w:lang w:val="pt-PT"/>
        </w:rPr>
        <w:t>inativas</w:t>
      </w:r>
      <w:proofErr w:type="spellEnd"/>
      <w:r w:rsidRPr="00C96041">
        <w:rPr>
          <w:rFonts w:ascii="Garamond" w:hAnsi="Garamond"/>
          <w:lang w:val="pt-PT"/>
        </w:rPr>
        <w:t xml:space="preserve"> em razão dos estereótipos de género, que transferem o grande peso dos cuidados/trabalho não remunerado para as mulheres.</w:t>
      </w:r>
      <w:r w:rsidRPr="00C96041">
        <w:rPr>
          <w:rStyle w:val="Refdenotaderodap"/>
          <w:rFonts w:ascii="Garamond" w:hAnsi="Garamond"/>
          <w:lang w:val="pt-PT"/>
        </w:rPr>
        <w:footnoteReference w:id="19"/>
      </w:r>
      <w:r w:rsidRPr="00C96041">
        <w:rPr>
          <w:rFonts w:ascii="Garamond" w:hAnsi="Garamond"/>
          <w:lang w:val="pt-PT"/>
        </w:rPr>
        <w:t xml:space="preserve"> Na faixa etária dos 25–34 anos</w:t>
      </w:r>
      <w:r>
        <w:rPr>
          <w:rFonts w:ascii="Garamond" w:hAnsi="Garamond"/>
          <w:lang w:val="pt-PT"/>
        </w:rPr>
        <w:t xml:space="preserve"> (</w:t>
      </w:r>
      <w:r w:rsidRPr="00C96041">
        <w:rPr>
          <w:rFonts w:ascii="Garamond" w:hAnsi="Garamond"/>
          <w:lang w:val="pt-PT"/>
        </w:rPr>
        <w:t>idade reprodutiva</w:t>
      </w:r>
      <w:r>
        <w:rPr>
          <w:rFonts w:ascii="Garamond" w:hAnsi="Garamond"/>
          <w:lang w:val="pt-PT"/>
        </w:rPr>
        <w:t>)</w:t>
      </w:r>
      <w:r w:rsidRPr="00C96041">
        <w:rPr>
          <w:rFonts w:ascii="Garamond" w:hAnsi="Garamond"/>
          <w:lang w:val="pt-PT"/>
        </w:rPr>
        <w:t xml:space="preserve">, o motivo </w:t>
      </w:r>
      <w:r w:rsidRPr="00C96041">
        <w:rPr>
          <w:rFonts w:ascii="Garamond" w:hAnsi="Garamond"/>
          <w:i/>
          <w:iCs/>
          <w:lang w:val="pt-PT"/>
        </w:rPr>
        <w:t xml:space="preserve">responsabilidades pessoais ou familiares </w:t>
      </w:r>
      <w:r w:rsidRPr="00C96041">
        <w:rPr>
          <w:rFonts w:ascii="Garamond" w:hAnsi="Garamond"/>
          <w:lang w:val="pt-PT"/>
        </w:rPr>
        <w:t>por si só aumenta para 20,5%.</w:t>
      </w:r>
    </w:p>
    <w:p w14:paraId="6F71F876" w14:textId="77777777" w:rsidR="00FB69C4" w:rsidRPr="00C96041" w:rsidRDefault="00FB69C4" w:rsidP="00FB69C4">
      <w:pPr>
        <w:spacing w:after="240"/>
        <w:jc w:val="both"/>
        <w:rPr>
          <w:rFonts w:ascii="Garamond" w:hAnsi="Garamond"/>
          <w:lang w:val="pt-PT"/>
        </w:rPr>
      </w:pPr>
      <w:r w:rsidRPr="00C96041">
        <w:rPr>
          <w:rFonts w:ascii="Garamond" w:hAnsi="Garamond"/>
          <w:lang w:val="pt-PT"/>
        </w:rPr>
        <w:t xml:space="preserve">O </w:t>
      </w:r>
      <w:proofErr w:type="spellStart"/>
      <w:r w:rsidRPr="00C96041">
        <w:rPr>
          <w:rFonts w:ascii="Garamond" w:hAnsi="Garamond"/>
          <w:lang w:val="pt-PT"/>
        </w:rPr>
        <w:t>ODS</w:t>
      </w:r>
      <w:proofErr w:type="spellEnd"/>
      <w:r w:rsidRPr="00C96041">
        <w:rPr>
          <w:rFonts w:ascii="Garamond" w:hAnsi="Garamond"/>
          <w:lang w:val="pt-PT"/>
        </w:rPr>
        <w:t xml:space="preserve"> 8, relativo ao </w:t>
      </w:r>
      <w:r w:rsidRPr="00B64BE5">
        <w:rPr>
          <w:rFonts w:ascii="Garamond" w:hAnsi="Garamond"/>
          <w:i/>
          <w:iCs/>
          <w:lang w:val="pt-PT"/>
        </w:rPr>
        <w:t>Emprego pleno e trabalho digno e crescimento económico</w:t>
      </w:r>
      <w:r w:rsidRPr="00C96041">
        <w:rPr>
          <w:rFonts w:ascii="Garamond" w:hAnsi="Garamond"/>
          <w:lang w:val="pt-PT"/>
        </w:rPr>
        <w:t>, introduziu o indicador 8.6.1 para quantificar a proporção de jovens que não estão nem a trabalhar, nem a estudar: em 2018 isso aplica-se a 30,3% dos jovens com 15-24 anos</w:t>
      </w:r>
      <w:r>
        <w:rPr>
          <w:rFonts w:ascii="Garamond" w:hAnsi="Garamond"/>
          <w:lang w:val="pt-PT"/>
        </w:rPr>
        <w:t xml:space="preserve">: </w:t>
      </w:r>
      <w:r w:rsidRPr="00C96041">
        <w:rPr>
          <w:rFonts w:ascii="Garamond" w:hAnsi="Garamond"/>
          <w:lang w:val="pt-PT"/>
        </w:rPr>
        <w:t xml:space="preserve">32,8% no caso das mulheres jovens e 27,7% nos homens jovens. Os jovens do meio rural têm taxas mais elevadas (37,4% versus 26,5% no meio urbano), </w:t>
      </w:r>
      <w:r>
        <w:rPr>
          <w:rFonts w:ascii="Garamond" w:hAnsi="Garamond"/>
          <w:lang w:val="pt-PT"/>
        </w:rPr>
        <w:t xml:space="preserve">sendo </w:t>
      </w:r>
      <w:r w:rsidRPr="00C96041">
        <w:rPr>
          <w:rFonts w:ascii="Garamond" w:hAnsi="Garamond"/>
          <w:lang w:val="pt-PT"/>
        </w:rPr>
        <w:t>a diferença entre os sexos também mais acentuada</w:t>
      </w:r>
      <w:r>
        <w:rPr>
          <w:rFonts w:ascii="Garamond" w:hAnsi="Garamond"/>
          <w:lang w:val="pt-PT"/>
        </w:rPr>
        <w:t xml:space="preserve">: </w:t>
      </w:r>
      <w:r w:rsidRPr="00C96041">
        <w:rPr>
          <w:rFonts w:ascii="Garamond" w:hAnsi="Garamond"/>
          <w:lang w:val="pt-PT"/>
        </w:rPr>
        <w:t>42,4%</w:t>
      </w:r>
      <w:r>
        <w:rPr>
          <w:rFonts w:ascii="Garamond" w:hAnsi="Garamond"/>
          <w:lang w:val="pt-PT"/>
        </w:rPr>
        <w:t xml:space="preserve"> mulheres jovens do meio rural</w:t>
      </w:r>
      <w:r w:rsidRPr="00C96041">
        <w:rPr>
          <w:rFonts w:ascii="Garamond" w:hAnsi="Garamond"/>
          <w:lang w:val="pt-PT"/>
        </w:rPr>
        <w:t xml:space="preserve"> versus 33,9% homens jovens</w:t>
      </w:r>
      <w:r>
        <w:rPr>
          <w:rFonts w:ascii="Garamond" w:hAnsi="Garamond"/>
          <w:lang w:val="pt-PT"/>
        </w:rPr>
        <w:t xml:space="preserve"> do mesmo meio</w:t>
      </w:r>
      <w:r w:rsidRPr="00C96041">
        <w:rPr>
          <w:rFonts w:ascii="Garamond" w:hAnsi="Garamond"/>
          <w:lang w:val="pt-PT"/>
        </w:rPr>
        <w:t>.</w:t>
      </w:r>
    </w:p>
    <w:p w14:paraId="0255C0B4" w14:textId="77777777" w:rsidR="00FB69C4" w:rsidRDefault="00FB69C4" w:rsidP="00FB69C4">
      <w:pPr>
        <w:spacing w:after="240"/>
        <w:jc w:val="both"/>
        <w:rPr>
          <w:rFonts w:ascii="Garamond" w:hAnsi="Garamond"/>
          <w:lang w:val="pt-PT"/>
        </w:rPr>
      </w:pPr>
      <w:r w:rsidRPr="00C96041">
        <w:rPr>
          <w:rFonts w:ascii="Garamond" w:hAnsi="Garamond"/>
          <w:lang w:val="pt-PT"/>
        </w:rPr>
        <w:t>O fato das mulheres ficarem de fora da actividade remunerada é preocupante porque (i) as coloca numa situação de dependência económica tanto no presente, num contexto em que elas são frequentemente a única provedora da família, (ii) como no futuro, na medida em que não terão acesso à cobertura do regime contributivo da Segurança Social; (iii) a menor participação das mulheres no mercado de trabalho acarreta custos económicos para o país, na medida em que Cabo Verde está em transição demográfica, com uma elevada proporção de pessoas em idade laboral (15-64 anos), que em princípio produzem mais e consomem menos (ex. despesas de saúde, educação, etc.)</w:t>
      </w:r>
      <w:r>
        <w:rPr>
          <w:rFonts w:ascii="Garamond" w:hAnsi="Garamond"/>
          <w:lang w:val="pt-PT"/>
        </w:rPr>
        <w:t xml:space="preserve">, </w:t>
      </w:r>
      <w:r w:rsidRPr="00C96041">
        <w:rPr>
          <w:rFonts w:ascii="Garamond" w:hAnsi="Garamond"/>
          <w:lang w:val="pt-PT"/>
        </w:rPr>
        <w:t>do que as pessoas em outras faixas etárias (crianças e idosos), e um número mais elevado de trabalhadores por dependente aumentaria o efeito de bónus demográfico, o que em Cabo Verde implicaria uma maior integração no mercado de trabalho de mulheres, bem como dos jovens (mulheres e homens).</w:t>
      </w:r>
    </w:p>
    <w:p w14:paraId="156C7881" w14:textId="4C1FD54E" w:rsidR="00FB69C4" w:rsidRPr="007D211E" w:rsidRDefault="00FB69C4" w:rsidP="00FB69C4">
      <w:pPr>
        <w:pStyle w:val="Legenda"/>
        <w:spacing w:after="0"/>
        <w:jc w:val="center"/>
        <w:rPr>
          <w:rFonts w:ascii="Garamond" w:hAnsi="Garamond"/>
          <w:b/>
          <w:bCs/>
          <w:i w:val="0"/>
          <w:iCs w:val="0"/>
          <w:color w:val="auto"/>
          <w:sz w:val="20"/>
          <w:szCs w:val="20"/>
          <w:lang w:val="pt-PT"/>
        </w:rPr>
      </w:pPr>
      <w:bookmarkStart w:id="34" w:name="_Toc32856859"/>
      <w:r w:rsidRPr="00B875F8">
        <w:rPr>
          <w:rFonts w:ascii="Garamond" w:hAnsi="Garamond"/>
          <w:b/>
          <w:bCs/>
          <w:i w:val="0"/>
          <w:iCs w:val="0"/>
          <w:color w:val="auto"/>
          <w:sz w:val="20"/>
          <w:szCs w:val="20"/>
          <w:lang w:val="pt-PT"/>
        </w:rPr>
        <w:t xml:space="preserve">Gráfico </w:t>
      </w:r>
      <w:r w:rsidRPr="00B875F8">
        <w:rPr>
          <w:rFonts w:ascii="Garamond" w:hAnsi="Garamond"/>
          <w:b/>
          <w:bCs/>
          <w:i w:val="0"/>
          <w:iCs w:val="0"/>
          <w:color w:val="auto"/>
          <w:sz w:val="20"/>
          <w:szCs w:val="20"/>
          <w:lang w:val="pt-PT"/>
        </w:rPr>
        <w:fldChar w:fldCharType="begin"/>
      </w:r>
      <w:r w:rsidRPr="00B875F8">
        <w:rPr>
          <w:rFonts w:ascii="Garamond" w:hAnsi="Garamond"/>
          <w:b/>
          <w:bCs/>
          <w:i w:val="0"/>
          <w:iCs w:val="0"/>
          <w:color w:val="auto"/>
          <w:sz w:val="20"/>
          <w:szCs w:val="20"/>
          <w:lang w:val="pt-PT"/>
        </w:rPr>
        <w:instrText xml:space="preserve"> SEQ Grafico \* ARABIC </w:instrText>
      </w:r>
      <w:r w:rsidRPr="00B875F8">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5</w:t>
      </w:r>
      <w:r w:rsidRPr="00B875F8">
        <w:rPr>
          <w:rFonts w:ascii="Garamond" w:hAnsi="Garamond"/>
          <w:b/>
          <w:bCs/>
          <w:i w:val="0"/>
          <w:iCs w:val="0"/>
          <w:color w:val="auto"/>
          <w:sz w:val="20"/>
          <w:szCs w:val="20"/>
          <w:lang w:val="pt-PT"/>
        </w:rPr>
        <w:fldChar w:fldCharType="end"/>
      </w:r>
      <w:r>
        <w:rPr>
          <w:rFonts w:ascii="Garamond" w:hAnsi="Garamond"/>
          <w:b/>
          <w:bCs/>
          <w:i w:val="0"/>
          <w:iCs w:val="0"/>
          <w:color w:val="auto"/>
          <w:sz w:val="20"/>
          <w:szCs w:val="20"/>
          <w:lang w:val="pt-PT"/>
        </w:rPr>
        <w:t xml:space="preserve"> –</w:t>
      </w:r>
      <w:r w:rsidRPr="00B875F8">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Consumo e rendimento do trabalho de homens de mulheres ao longo do ciclo de vida</w:t>
      </w:r>
      <w:bookmarkEnd w:id="34"/>
      <w:r>
        <w:rPr>
          <w:rFonts w:ascii="Garamond" w:hAnsi="Garamond"/>
          <w:b/>
          <w:bCs/>
          <w:i w:val="0"/>
          <w:iCs w:val="0"/>
          <w:color w:val="auto"/>
          <w:sz w:val="20"/>
          <w:szCs w:val="20"/>
          <w:lang w:val="pt-PT"/>
        </w:rPr>
        <w:t xml:space="preserve"> </w:t>
      </w:r>
    </w:p>
    <w:p w14:paraId="7D57A8BA" w14:textId="77777777" w:rsidR="00FB69C4" w:rsidRDefault="00FB69C4" w:rsidP="00FB69C4">
      <w:pPr>
        <w:jc w:val="center"/>
        <w:rPr>
          <w:rFonts w:ascii="Garamond" w:hAnsi="Garamond"/>
          <w:sz w:val="28"/>
          <w:szCs w:val="28"/>
          <w:lang w:val="pt-PT"/>
        </w:rPr>
      </w:pPr>
      <w:r>
        <w:rPr>
          <w:rFonts w:ascii="Garamond" w:hAnsi="Garamond"/>
          <w:noProof/>
          <w:sz w:val="28"/>
          <w:szCs w:val="28"/>
          <w:lang w:val="pt-PT"/>
        </w:rPr>
        <w:drawing>
          <wp:inline distT="0" distB="0" distL="0" distR="0" wp14:anchorId="0217BDCF" wp14:editId="63D95E9A">
            <wp:extent cx="3762354" cy="2116428"/>
            <wp:effectExtent l="0" t="0" r="0" b="0"/>
            <wp:docPr id="30" name="Imagem 30" descr="Uma imagem com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de por sex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80278" cy="2126511"/>
                    </a:xfrm>
                    <a:prstGeom prst="rect">
                      <a:avLst/>
                    </a:prstGeom>
                  </pic:spPr>
                </pic:pic>
              </a:graphicData>
            </a:graphic>
          </wp:inline>
        </w:drawing>
      </w:r>
    </w:p>
    <w:p w14:paraId="26F0ECCB" w14:textId="77777777" w:rsidR="00FB69C4" w:rsidRPr="007D211E" w:rsidRDefault="00FB69C4" w:rsidP="00FB69C4">
      <w:pPr>
        <w:jc w:val="center"/>
        <w:rPr>
          <w:rFonts w:ascii="Garamond" w:hAnsi="Garamond"/>
          <w:b/>
          <w:bCs/>
          <w:sz w:val="20"/>
          <w:szCs w:val="20"/>
          <w:lang w:val="pt-PT"/>
        </w:rPr>
      </w:pPr>
      <w:r w:rsidRPr="007D211E">
        <w:rPr>
          <w:rFonts w:ascii="Garamond" w:hAnsi="Garamond"/>
          <w:b/>
          <w:bCs/>
          <w:sz w:val="20"/>
          <w:szCs w:val="20"/>
          <w:lang w:val="pt-PT"/>
        </w:rPr>
        <w:t xml:space="preserve">Fonte: </w:t>
      </w:r>
      <w:r w:rsidRPr="007D211E">
        <w:rPr>
          <w:rFonts w:ascii="Garamond" w:hAnsi="Garamond"/>
          <w:b/>
          <w:bCs/>
          <w:i/>
          <w:iCs/>
          <w:sz w:val="20"/>
          <w:szCs w:val="20"/>
          <w:lang w:val="pt-PT"/>
        </w:rPr>
        <w:t>Perfil D</w:t>
      </w:r>
      <w:r>
        <w:rPr>
          <w:rFonts w:ascii="Garamond" w:hAnsi="Garamond"/>
          <w:b/>
          <w:bCs/>
          <w:i/>
          <w:iCs/>
          <w:sz w:val="20"/>
          <w:szCs w:val="20"/>
          <w:lang w:val="pt-PT"/>
        </w:rPr>
        <w:t xml:space="preserve">ividendo </w:t>
      </w:r>
      <w:r w:rsidRPr="007D211E">
        <w:rPr>
          <w:rFonts w:ascii="Garamond" w:hAnsi="Garamond"/>
          <w:b/>
          <w:bCs/>
          <w:i/>
          <w:iCs/>
          <w:sz w:val="20"/>
          <w:szCs w:val="20"/>
          <w:lang w:val="pt-PT"/>
        </w:rPr>
        <w:t>D</w:t>
      </w:r>
      <w:r>
        <w:rPr>
          <w:rFonts w:ascii="Garamond" w:hAnsi="Garamond"/>
          <w:b/>
          <w:bCs/>
          <w:i/>
          <w:iCs/>
          <w:sz w:val="20"/>
          <w:szCs w:val="20"/>
          <w:lang w:val="pt-PT"/>
        </w:rPr>
        <w:t>emográfico</w:t>
      </w:r>
      <w:r w:rsidRPr="007D211E">
        <w:rPr>
          <w:rFonts w:ascii="Garamond" w:hAnsi="Garamond"/>
          <w:b/>
          <w:bCs/>
          <w:i/>
          <w:iCs/>
          <w:sz w:val="20"/>
          <w:szCs w:val="20"/>
          <w:lang w:val="pt-PT"/>
        </w:rPr>
        <w:t>-Cabo Verde: evidências &amp; implicações nas políticas públicas</w:t>
      </w:r>
      <w:r w:rsidRPr="007D211E">
        <w:rPr>
          <w:rFonts w:ascii="Garamond" w:hAnsi="Garamond"/>
          <w:b/>
          <w:bCs/>
          <w:sz w:val="20"/>
          <w:szCs w:val="20"/>
          <w:lang w:val="pt-PT"/>
        </w:rPr>
        <w:t xml:space="preserve"> (</w:t>
      </w:r>
      <w:r>
        <w:rPr>
          <w:rFonts w:ascii="Garamond" w:hAnsi="Garamond"/>
          <w:b/>
          <w:bCs/>
          <w:sz w:val="20"/>
          <w:szCs w:val="20"/>
          <w:lang w:val="pt-PT"/>
        </w:rPr>
        <w:t xml:space="preserve">apresentação do INE no </w:t>
      </w:r>
      <w:r w:rsidRPr="007D211E">
        <w:rPr>
          <w:rFonts w:ascii="Garamond" w:hAnsi="Garamond"/>
          <w:b/>
          <w:bCs/>
          <w:sz w:val="20"/>
          <w:szCs w:val="20"/>
          <w:lang w:val="pt-PT"/>
        </w:rPr>
        <w:t>M</w:t>
      </w:r>
      <w:r>
        <w:rPr>
          <w:rFonts w:ascii="Garamond" w:hAnsi="Garamond"/>
          <w:b/>
          <w:bCs/>
          <w:sz w:val="20"/>
          <w:szCs w:val="20"/>
          <w:lang w:val="pt-PT"/>
        </w:rPr>
        <w:t xml:space="preserve">inistério das </w:t>
      </w:r>
      <w:r w:rsidRPr="007D211E">
        <w:rPr>
          <w:rFonts w:ascii="Garamond" w:hAnsi="Garamond"/>
          <w:b/>
          <w:bCs/>
          <w:sz w:val="20"/>
          <w:szCs w:val="20"/>
          <w:lang w:val="pt-PT"/>
        </w:rPr>
        <w:t>F</w:t>
      </w:r>
      <w:r>
        <w:rPr>
          <w:rFonts w:ascii="Garamond" w:hAnsi="Garamond"/>
          <w:b/>
          <w:bCs/>
          <w:sz w:val="20"/>
          <w:szCs w:val="20"/>
          <w:lang w:val="pt-PT"/>
        </w:rPr>
        <w:t>inanças</w:t>
      </w:r>
      <w:r w:rsidRPr="007D211E">
        <w:rPr>
          <w:rFonts w:ascii="Garamond" w:hAnsi="Garamond"/>
          <w:b/>
          <w:bCs/>
          <w:sz w:val="20"/>
          <w:szCs w:val="20"/>
          <w:lang w:val="pt-PT"/>
        </w:rPr>
        <w:t>, Fevereiro 2019)</w:t>
      </w:r>
    </w:p>
    <w:p w14:paraId="03B90017" w14:textId="77777777" w:rsidR="00FB69C4" w:rsidRPr="007D211E" w:rsidRDefault="00FB69C4" w:rsidP="00FB69C4">
      <w:pPr>
        <w:rPr>
          <w:lang w:val="pt-PT"/>
        </w:rPr>
      </w:pPr>
    </w:p>
    <w:p w14:paraId="6B452BC0" w14:textId="77777777" w:rsidR="00FB69C4" w:rsidRPr="001C50C8" w:rsidRDefault="00FB69C4" w:rsidP="00FB69C4">
      <w:pPr>
        <w:jc w:val="both"/>
        <w:rPr>
          <w:rFonts w:ascii="Garamond" w:hAnsi="Garamond" w:cs="Arial"/>
          <w:lang w:val="pt-BR"/>
        </w:rPr>
      </w:pPr>
      <w:r w:rsidRPr="001C50C8">
        <w:rPr>
          <w:rFonts w:ascii="Garamond" w:hAnsi="Garamond"/>
          <w:lang w:val="pt-PT"/>
        </w:rPr>
        <w:t>O gráfico</w:t>
      </w:r>
      <w:r>
        <w:rPr>
          <w:rFonts w:ascii="Garamond" w:hAnsi="Garamond"/>
          <w:lang w:val="pt-PT"/>
        </w:rPr>
        <w:t xml:space="preserve"> acima</w:t>
      </w:r>
      <w:r w:rsidRPr="001C50C8">
        <w:rPr>
          <w:rFonts w:ascii="Garamond" w:hAnsi="Garamond"/>
          <w:lang w:val="pt-PT"/>
        </w:rPr>
        <w:t xml:space="preserve"> ilustra as assimetrias de rendimento entre mulheres e homens, em consequências do acesso diferenciado</w:t>
      </w:r>
      <w:r>
        <w:rPr>
          <w:rFonts w:ascii="Garamond" w:hAnsi="Garamond"/>
          <w:lang w:val="pt-PT"/>
        </w:rPr>
        <w:t xml:space="preserve"> por sexo</w:t>
      </w:r>
      <w:r w:rsidRPr="001C50C8">
        <w:rPr>
          <w:rFonts w:ascii="Garamond" w:hAnsi="Garamond"/>
          <w:lang w:val="pt-PT"/>
        </w:rPr>
        <w:t xml:space="preserve"> ao mercado de trabalho. A resolução das disparidades de género na taxa de </w:t>
      </w:r>
      <w:proofErr w:type="spellStart"/>
      <w:r w:rsidRPr="001C50C8">
        <w:rPr>
          <w:rFonts w:ascii="Garamond" w:hAnsi="Garamond"/>
          <w:lang w:val="pt-PT"/>
        </w:rPr>
        <w:t>atividade</w:t>
      </w:r>
      <w:proofErr w:type="spellEnd"/>
      <w:r w:rsidRPr="001C50C8">
        <w:rPr>
          <w:rFonts w:ascii="Garamond" w:hAnsi="Garamond"/>
          <w:lang w:val="pt-PT"/>
        </w:rPr>
        <w:t xml:space="preserve"> teria um efeito potencial de crescimento do PIB em 13,7%.</w:t>
      </w:r>
      <w:r w:rsidRPr="001C50C8">
        <w:rPr>
          <w:rStyle w:val="Refdenotaderodap"/>
          <w:rFonts w:ascii="Garamond" w:hAnsi="Garamond"/>
          <w:lang w:val="pt-PT"/>
        </w:rPr>
        <w:footnoteReference w:id="20"/>
      </w:r>
      <w:r w:rsidRPr="001C50C8">
        <w:rPr>
          <w:rFonts w:ascii="Garamond" w:hAnsi="Garamond"/>
          <w:lang w:val="pt-PT"/>
        </w:rPr>
        <w:t xml:space="preserve"> Fica  novamente claro que as</w:t>
      </w:r>
      <w:r w:rsidRPr="001C50C8">
        <w:rPr>
          <w:rFonts w:ascii="Garamond" w:hAnsi="Garamond" w:cs="Arial"/>
          <w:lang w:val="pt-BR"/>
        </w:rPr>
        <w:t xml:space="preserve"> responsabilidades familiares assignadas às mulheres à luz das relações sociais de género são um impedimento ao acesso e permanência no mercado de trabalho; adicionalmente, as mulheres que trabalham de forma remunerada</w:t>
      </w:r>
      <w:r w:rsidRPr="001C50C8">
        <w:rPr>
          <w:rFonts w:ascii="Garamond" w:hAnsi="Garamond"/>
          <w:lang w:val="pt-PT"/>
        </w:rPr>
        <w:t xml:space="preserve"> tendem a acumular as tarefas remuneradas e as não remuneradas, ou seja arcam com o peso de uma dupla jornada de trabalho.</w:t>
      </w:r>
      <w:r w:rsidRPr="001C50C8">
        <w:rPr>
          <w:rStyle w:val="Refdenotaderodap"/>
          <w:rFonts w:ascii="Garamond" w:hAnsi="Garamond"/>
          <w:lang w:val="pt-PT"/>
        </w:rPr>
        <w:footnoteReference w:id="21"/>
      </w:r>
      <w:r w:rsidRPr="001C50C8">
        <w:rPr>
          <w:rFonts w:ascii="Garamond" w:hAnsi="Garamond"/>
          <w:lang w:val="pt-PT"/>
        </w:rPr>
        <w:t xml:space="preserve"> </w:t>
      </w:r>
    </w:p>
    <w:p w14:paraId="57AC43D5" w14:textId="4D1C4D28" w:rsidR="00FB69C4" w:rsidRDefault="00FB69C4" w:rsidP="00FB69C4">
      <w:pPr>
        <w:pStyle w:val="PargrafodaLista"/>
        <w:numPr>
          <w:ilvl w:val="0"/>
          <w:numId w:val="9"/>
        </w:numPr>
        <w:spacing w:after="240"/>
        <w:jc w:val="both"/>
        <w:rPr>
          <w:rFonts w:ascii="Garamond" w:hAnsi="Garamond"/>
          <w:lang w:val="pt-PT"/>
        </w:rPr>
      </w:pPr>
      <w:r w:rsidRPr="001C50C8">
        <w:rPr>
          <w:rFonts w:ascii="Garamond" w:hAnsi="Garamond"/>
          <w:lang w:val="pt-PT"/>
        </w:rPr>
        <w:t xml:space="preserve">Deverá ser fomentada a implementação de medidas promotoras da conciliação da vida familiar e laboral, através da divulgação das várias modalidades de flexibilidade já previstas no Código Laboral (ex. horário flexível, trabalho remoto, etc.), tanto na administração pública, como no sector privado, bem como das vantagens que podem trazer para o </w:t>
      </w:r>
      <w:r w:rsidRPr="00C96041">
        <w:rPr>
          <w:rFonts w:ascii="Garamond" w:hAnsi="Garamond"/>
          <w:lang w:val="pt-PT"/>
        </w:rPr>
        <w:t>rendimento dos recursos humanos</w:t>
      </w:r>
      <w:r>
        <w:rPr>
          <w:rFonts w:ascii="Garamond" w:hAnsi="Garamond"/>
          <w:lang w:val="pt-PT"/>
        </w:rPr>
        <w:t>, com vista a criar melhores condições para a inserção e permanência das mulheres no mercado laboral.</w:t>
      </w:r>
    </w:p>
    <w:p w14:paraId="7EDFC8E9" w14:textId="0FB219A2" w:rsidR="009022E6" w:rsidRPr="0011026A" w:rsidRDefault="00582302" w:rsidP="006C18BD">
      <w:pPr>
        <w:pStyle w:val="PargrafodaLista"/>
        <w:numPr>
          <w:ilvl w:val="0"/>
          <w:numId w:val="9"/>
        </w:numPr>
        <w:spacing w:after="240"/>
        <w:jc w:val="both"/>
        <w:rPr>
          <w:rFonts w:ascii="Garamond" w:hAnsi="Garamond" w:cs="Arial"/>
          <w:lang w:val="pt-BR"/>
        </w:rPr>
      </w:pPr>
      <w:r>
        <w:rPr>
          <w:rFonts w:ascii="Garamond" w:hAnsi="Garamond"/>
          <w:lang w:val="pt-PT"/>
        </w:rPr>
        <w:t xml:space="preserve">Estas medidas </w:t>
      </w:r>
      <w:r w:rsidR="006A4954">
        <w:rPr>
          <w:rFonts w:ascii="Garamond" w:hAnsi="Garamond"/>
          <w:lang w:val="pt-PT"/>
        </w:rPr>
        <w:t xml:space="preserve">terão </w:t>
      </w:r>
      <w:r w:rsidR="00AD5CCA" w:rsidRPr="0011026A">
        <w:rPr>
          <w:rFonts w:ascii="Garamond" w:hAnsi="Garamond"/>
          <w:lang w:val="pt-PT"/>
        </w:rPr>
        <w:t xml:space="preserve">impacto essencialmente nas mulheres e homens que trabalham em empresas e na administração publica, </w:t>
      </w:r>
      <w:r w:rsidR="006A4954">
        <w:rPr>
          <w:rFonts w:ascii="Garamond" w:hAnsi="Garamond"/>
          <w:lang w:val="pt-PT"/>
        </w:rPr>
        <w:t xml:space="preserve">e há que considerar também as </w:t>
      </w:r>
      <w:r w:rsidR="00AD5CCA" w:rsidRPr="0011026A">
        <w:rPr>
          <w:rFonts w:ascii="Garamond" w:hAnsi="Garamond"/>
          <w:lang w:val="pt-PT"/>
        </w:rPr>
        <w:t xml:space="preserve">mulheres inseridas (ou </w:t>
      </w:r>
      <w:r w:rsidR="006A4954">
        <w:rPr>
          <w:rFonts w:ascii="Garamond" w:hAnsi="Garamond"/>
          <w:lang w:val="pt-PT"/>
        </w:rPr>
        <w:t xml:space="preserve">que </w:t>
      </w:r>
      <w:r w:rsidR="00AD5CCA" w:rsidRPr="0011026A">
        <w:rPr>
          <w:rFonts w:ascii="Garamond" w:hAnsi="Garamond"/>
          <w:lang w:val="pt-PT"/>
        </w:rPr>
        <w:t>procuram inserção) no mercado de trabalho</w:t>
      </w:r>
      <w:r w:rsidR="006A4954">
        <w:rPr>
          <w:rFonts w:ascii="Garamond" w:hAnsi="Garamond"/>
          <w:lang w:val="pt-PT"/>
        </w:rPr>
        <w:t xml:space="preserve"> de outra forma</w:t>
      </w:r>
      <w:r w:rsidR="00AD5CCA" w:rsidRPr="0011026A">
        <w:rPr>
          <w:rFonts w:ascii="Garamond" w:hAnsi="Garamond"/>
          <w:lang w:val="pt-PT"/>
        </w:rPr>
        <w:t>, com enfoque nas mulheres mais pobres</w:t>
      </w:r>
      <w:r w:rsidR="00ED3AFB">
        <w:rPr>
          <w:rFonts w:ascii="Garamond" w:hAnsi="Garamond"/>
          <w:lang w:val="pt-PT"/>
        </w:rPr>
        <w:t xml:space="preserve"> - </w:t>
      </w:r>
      <w:r w:rsidR="00AD5CCA" w:rsidRPr="0011026A">
        <w:rPr>
          <w:rFonts w:ascii="Garamond" w:hAnsi="Garamond"/>
          <w:lang w:val="pt-PT"/>
        </w:rPr>
        <w:t xml:space="preserve">periurbanas e urbanas, jovens mães à procura de emprego, mães e avós que trabalham no sector informal, trabalhadoras </w:t>
      </w:r>
      <w:r w:rsidR="006A4954" w:rsidRPr="0011026A">
        <w:rPr>
          <w:rFonts w:ascii="Garamond" w:hAnsi="Garamond"/>
          <w:lang w:val="pt-PT"/>
        </w:rPr>
        <w:t>domésticas</w:t>
      </w:r>
      <w:r w:rsidR="00AD5CCA" w:rsidRPr="0011026A">
        <w:rPr>
          <w:rFonts w:ascii="Garamond" w:hAnsi="Garamond"/>
          <w:lang w:val="pt-PT"/>
        </w:rPr>
        <w:t xml:space="preserve"> com filhos</w:t>
      </w:r>
      <w:r w:rsidR="006A4954">
        <w:rPr>
          <w:rFonts w:ascii="Garamond" w:hAnsi="Garamond"/>
          <w:lang w:val="pt-PT"/>
        </w:rPr>
        <w:t>: d</w:t>
      </w:r>
      <w:r w:rsidR="00AD5CCA" w:rsidRPr="0011026A">
        <w:rPr>
          <w:rFonts w:ascii="Garamond" w:hAnsi="Garamond"/>
          <w:lang w:val="pt-PT"/>
        </w:rPr>
        <w:t>eve ser</w:t>
      </w:r>
      <w:r w:rsidR="00ED3AFB">
        <w:rPr>
          <w:rFonts w:ascii="Garamond" w:hAnsi="Garamond"/>
          <w:lang w:val="pt-PT"/>
        </w:rPr>
        <w:t xml:space="preserve"> (i) elaborado um </w:t>
      </w:r>
      <w:r w:rsidR="00AD5CCA" w:rsidRPr="0011026A">
        <w:rPr>
          <w:rFonts w:ascii="Garamond" w:hAnsi="Garamond"/>
          <w:lang w:val="pt-PT"/>
        </w:rPr>
        <w:t xml:space="preserve">instrumentos </w:t>
      </w:r>
      <w:r w:rsidR="00ED3AFB">
        <w:rPr>
          <w:rFonts w:ascii="Garamond" w:hAnsi="Garamond"/>
          <w:lang w:val="pt-PT"/>
        </w:rPr>
        <w:t xml:space="preserve">para o rastreio sistemático </w:t>
      </w:r>
      <w:r w:rsidR="00AD5CCA" w:rsidRPr="0011026A">
        <w:rPr>
          <w:rFonts w:ascii="Garamond" w:hAnsi="Garamond"/>
          <w:lang w:val="pt-PT"/>
        </w:rPr>
        <w:t>da</w:t>
      </w:r>
      <w:r w:rsidR="00ED3AFB">
        <w:rPr>
          <w:rFonts w:ascii="Garamond" w:hAnsi="Garamond"/>
          <w:lang w:val="pt-PT"/>
        </w:rPr>
        <w:t xml:space="preserve">s necessidades de </w:t>
      </w:r>
      <w:r w:rsidR="00AD5CCA" w:rsidRPr="0011026A">
        <w:rPr>
          <w:rFonts w:ascii="Garamond" w:hAnsi="Garamond"/>
          <w:lang w:val="pt-PT"/>
        </w:rPr>
        <w:t>conciliação</w:t>
      </w:r>
      <w:r w:rsidR="00ED3AFB">
        <w:rPr>
          <w:rFonts w:ascii="Garamond" w:hAnsi="Garamond"/>
          <w:lang w:val="pt-PT"/>
        </w:rPr>
        <w:t>,</w:t>
      </w:r>
      <w:r w:rsidR="00AD5CCA" w:rsidRPr="0011026A">
        <w:rPr>
          <w:rFonts w:ascii="Garamond" w:hAnsi="Garamond"/>
          <w:lang w:val="pt-PT"/>
        </w:rPr>
        <w:t xml:space="preserve"> em todos os programas e projectos que trabalham com estes grupos alvos, </w:t>
      </w:r>
      <w:r w:rsidR="00ED3AFB">
        <w:rPr>
          <w:rFonts w:ascii="Garamond" w:hAnsi="Garamond"/>
          <w:lang w:val="pt-PT"/>
        </w:rPr>
        <w:t xml:space="preserve">e (ii) definido o </w:t>
      </w:r>
      <w:r w:rsidR="00AD5CCA" w:rsidRPr="0011026A">
        <w:rPr>
          <w:rFonts w:ascii="Garamond" w:hAnsi="Garamond"/>
          <w:lang w:val="pt-PT"/>
        </w:rPr>
        <w:t xml:space="preserve">protocolo de encaminhamento para o Sistema </w:t>
      </w:r>
      <w:r w:rsidR="00ED3AFB">
        <w:rPr>
          <w:rFonts w:ascii="Garamond" w:hAnsi="Garamond"/>
          <w:lang w:val="pt-PT"/>
        </w:rPr>
        <w:t xml:space="preserve">Nacional </w:t>
      </w:r>
      <w:r w:rsidR="00AD5CCA" w:rsidRPr="0011026A">
        <w:rPr>
          <w:rFonts w:ascii="Garamond" w:hAnsi="Garamond"/>
          <w:lang w:val="pt-PT"/>
        </w:rPr>
        <w:t>de Cuidados</w:t>
      </w:r>
      <w:r w:rsidR="00ED3AFB">
        <w:rPr>
          <w:rFonts w:ascii="Garamond" w:hAnsi="Garamond"/>
          <w:lang w:val="pt-PT"/>
        </w:rPr>
        <w:t xml:space="preserve">; (iii) sempre que necessário devem ser apoiada a implementação </w:t>
      </w:r>
      <w:r w:rsidR="00AD5CCA" w:rsidRPr="0011026A">
        <w:rPr>
          <w:rFonts w:ascii="Garamond" w:hAnsi="Garamond"/>
          <w:lang w:val="pt-PT"/>
        </w:rPr>
        <w:t xml:space="preserve">de </w:t>
      </w:r>
      <w:r w:rsidR="009022E6" w:rsidRPr="0011026A">
        <w:rPr>
          <w:rFonts w:ascii="Garamond" w:hAnsi="Garamond"/>
          <w:lang w:val="pt-PT"/>
        </w:rPr>
        <w:t xml:space="preserve">soluções de base comunitárias (amas </w:t>
      </w:r>
      <w:r w:rsidR="00AD5CCA" w:rsidRPr="0011026A">
        <w:rPr>
          <w:rFonts w:ascii="Garamond" w:hAnsi="Garamond"/>
          <w:lang w:val="pt-PT"/>
        </w:rPr>
        <w:t xml:space="preserve">ou creches </w:t>
      </w:r>
      <w:r w:rsidR="009022E6" w:rsidRPr="0011026A">
        <w:rPr>
          <w:rFonts w:ascii="Garamond" w:hAnsi="Garamond"/>
          <w:lang w:val="pt-PT"/>
        </w:rPr>
        <w:t>comunitárias</w:t>
      </w:r>
      <w:r w:rsidR="00AD5CCA" w:rsidRPr="0011026A">
        <w:rPr>
          <w:rFonts w:ascii="Garamond" w:hAnsi="Garamond"/>
          <w:lang w:val="pt-PT"/>
        </w:rPr>
        <w:t xml:space="preserve">, </w:t>
      </w:r>
      <w:proofErr w:type="spellStart"/>
      <w:r w:rsidR="009022E6" w:rsidRPr="0011026A">
        <w:rPr>
          <w:rFonts w:ascii="Garamond" w:hAnsi="Garamond"/>
          <w:lang w:val="pt-PT"/>
        </w:rPr>
        <w:t>ATL</w:t>
      </w:r>
      <w:r w:rsidR="00AD5CCA" w:rsidRPr="0011026A">
        <w:rPr>
          <w:rFonts w:ascii="Garamond" w:hAnsi="Garamond"/>
          <w:lang w:val="pt-PT"/>
        </w:rPr>
        <w:t>s</w:t>
      </w:r>
      <w:proofErr w:type="spellEnd"/>
      <w:r w:rsidR="00AD5CCA" w:rsidRPr="0011026A">
        <w:rPr>
          <w:rFonts w:ascii="Garamond" w:hAnsi="Garamond"/>
          <w:lang w:val="pt-PT"/>
        </w:rPr>
        <w:t>).</w:t>
      </w:r>
      <w:r w:rsidR="009022E6" w:rsidRPr="0011026A">
        <w:rPr>
          <w:rFonts w:ascii="Garamond" w:hAnsi="Garamond"/>
          <w:lang w:val="pt-PT"/>
        </w:rPr>
        <w:t xml:space="preserve"> </w:t>
      </w:r>
    </w:p>
    <w:p w14:paraId="06B32F8E" w14:textId="77777777" w:rsidR="00FB69C4" w:rsidRPr="001C50C8" w:rsidRDefault="00FB69C4" w:rsidP="00FB69C4">
      <w:pPr>
        <w:pStyle w:val="PargrafodaLista"/>
        <w:numPr>
          <w:ilvl w:val="0"/>
          <w:numId w:val="9"/>
        </w:numPr>
        <w:spacing w:after="240"/>
        <w:jc w:val="both"/>
        <w:rPr>
          <w:rFonts w:ascii="Garamond" w:hAnsi="Garamond" w:cs="Arial"/>
          <w:lang w:val="pt-BR"/>
        </w:rPr>
      </w:pPr>
      <w:r w:rsidRPr="00C96041">
        <w:rPr>
          <w:rFonts w:ascii="Garamond" w:hAnsi="Garamond"/>
          <w:lang w:val="pt-PT"/>
        </w:rPr>
        <w:t xml:space="preserve">Deve ser estudada a viabilidade de implementar outras medidas promotoras da conciliação da vida familiar e laboral, incluindo </w:t>
      </w:r>
      <w:r>
        <w:rPr>
          <w:rFonts w:ascii="Garamond" w:hAnsi="Garamond"/>
          <w:lang w:val="pt-PT"/>
        </w:rPr>
        <w:t xml:space="preserve">o aumento do </w:t>
      </w:r>
      <w:r>
        <w:rPr>
          <w:rFonts w:ascii="Garamond" w:hAnsi="Garamond"/>
          <w:color w:val="000000" w:themeColor="text1"/>
          <w:lang w:val="pt-PT"/>
        </w:rPr>
        <w:t>período de licença de maternidade</w:t>
      </w:r>
      <w:r w:rsidRPr="00C96041">
        <w:rPr>
          <w:rFonts w:ascii="Garamond" w:hAnsi="Garamond"/>
          <w:lang w:val="pt-PT"/>
        </w:rPr>
        <w:t xml:space="preserve"> </w:t>
      </w:r>
      <w:r>
        <w:rPr>
          <w:rFonts w:ascii="Garamond" w:hAnsi="Garamond"/>
          <w:lang w:val="pt-PT"/>
        </w:rPr>
        <w:t xml:space="preserve">e a </w:t>
      </w:r>
      <w:r w:rsidRPr="001C50C8">
        <w:rPr>
          <w:rFonts w:ascii="Garamond" w:hAnsi="Garamond"/>
          <w:lang w:val="pt-PT"/>
        </w:rPr>
        <w:t xml:space="preserve">implementação de uma licença de paternidade para as duas primeiras semanas do nascimento de um(a) filho(a)a, e advogada a sua implementação. </w:t>
      </w:r>
    </w:p>
    <w:p w14:paraId="233400A7" w14:textId="4954ABDE" w:rsidR="00FB69C4" w:rsidRPr="001C50C8" w:rsidRDefault="00FB69C4" w:rsidP="00FB69C4">
      <w:pPr>
        <w:pStyle w:val="PargrafodaLista"/>
        <w:numPr>
          <w:ilvl w:val="0"/>
          <w:numId w:val="9"/>
        </w:numPr>
        <w:spacing w:after="240"/>
        <w:jc w:val="both"/>
        <w:rPr>
          <w:rFonts w:ascii="Garamond" w:hAnsi="Garamond" w:cs="Arial"/>
          <w:lang w:val="pt-BR"/>
        </w:rPr>
      </w:pPr>
      <w:r w:rsidRPr="001C50C8">
        <w:rPr>
          <w:rFonts w:ascii="Garamond" w:hAnsi="Garamond"/>
          <w:lang w:val="pt-PT"/>
        </w:rPr>
        <w:t xml:space="preserve">Será necessário investir na educação para a co-responsabilidade, através da integração curricular do tema (medida que fará parte do Eixo </w:t>
      </w:r>
      <w:r w:rsidRPr="001C50C8">
        <w:rPr>
          <w:rFonts w:ascii="Garamond" w:hAnsi="Garamond"/>
          <w:highlight w:val="yellow"/>
          <w:lang w:val="pt-PT"/>
        </w:rPr>
        <w:t>3</w:t>
      </w:r>
      <w:r w:rsidRPr="001C50C8">
        <w:rPr>
          <w:rFonts w:ascii="Garamond" w:hAnsi="Garamond"/>
          <w:lang w:val="pt-PT"/>
        </w:rPr>
        <w:t xml:space="preserve">), fomentando uma maior e melhor presença masculina na vida familiar e doméstica, susceptível de trazer benefícios também em matéria de paternidade responsável, à medida que os estereótipos de género em relação às responsabilidades de mulheres/homens e mães/pais evoluam. </w:t>
      </w:r>
    </w:p>
    <w:p w14:paraId="1D09C4A3" w14:textId="77777777" w:rsidR="00FB69C4" w:rsidRPr="001C50C8" w:rsidRDefault="00FB69C4" w:rsidP="00FB69C4">
      <w:pPr>
        <w:pStyle w:val="PargrafodaLista"/>
        <w:numPr>
          <w:ilvl w:val="0"/>
          <w:numId w:val="9"/>
        </w:numPr>
        <w:spacing w:after="240"/>
        <w:jc w:val="both"/>
        <w:rPr>
          <w:rFonts w:ascii="Garamond" w:hAnsi="Garamond" w:cs="Arial"/>
          <w:lang w:val="pt-BR"/>
        </w:rPr>
      </w:pPr>
      <w:r w:rsidRPr="001C50C8">
        <w:rPr>
          <w:rFonts w:ascii="Garamond" w:hAnsi="Garamond" w:cs="Arial"/>
          <w:lang w:val="pt-BR"/>
        </w:rPr>
        <w:t xml:space="preserve">A evolução na repartição das responsabilidades familiares e domésticas, não remuneradas, entre mulheres e homens deve ser seguida, programando a realização do 2º Inquérito sobre o Uso do Tempo, ao mesmo tempo que devem ser introduzidas questões sobre a conciliação </w:t>
      </w:r>
      <w:r w:rsidRPr="001C50C8">
        <w:rPr>
          <w:rFonts w:ascii="Garamond" w:hAnsi="Garamond"/>
          <w:lang w:val="pt-PT"/>
        </w:rPr>
        <w:t xml:space="preserve">da vida familiar e laboral no Inquérito ao Emprego (módulo ou seção do questionário Emprego do IMC) </w:t>
      </w:r>
      <w:bookmarkStart w:id="35" w:name="_Hlk21074684"/>
      <w:r w:rsidRPr="001C50C8">
        <w:rPr>
          <w:rFonts w:ascii="Garamond" w:hAnsi="Garamond" w:cs="Arial"/>
          <w:lang w:val="pt-BR"/>
        </w:rPr>
        <w:t>(</w:t>
      </w:r>
      <w:r>
        <w:rPr>
          <w:rFonts w:ascii="Garamond" w:hAnsi="Garamond" w:cs="Arial"/>
          <w:lang w:val="pt-BR"/>
        </w:rPr>
        <w:t xml:space="preserve">medida </w:t>
      </w:r>
      <w:r w:rsidRPr="001C50C8">
        <w:rPr>
          <w:rFonts w:ascii="Garamond" w:hAnsi="Garamond"/>
          <w:lang w:val="pt-PT"/>
        </w:rPr>
        <w:t>do</w:t>
      </w:r>
      <w:r>
        <w:rPr>
          <w:rFonts w:ascii="Garamond" w:hAnsi="Garamond" w:cs="Arial"/>
          <w:lang w:val="pt-BR"/>
        </w:rPr>
        <w:t xml:space="preserve"> </w:t>
      </w:r>
      <w:r w:rsidRPr="001C50C8">
        <w:rPr>
          <w:rFonts w:ascii="Garamond" w:hAnsi="Garamond"/>
          <w:lang w:val="pt-PT"/>
        </w:rPr>
        <w:t xml:space="preserve">Eixo </w:t>
      </w:r>
      <w:r w:rsidRPr="001C50C8">
        <w:rPr>
          <w:rFonts w:ascii="Garamond" w:hAnsi="Garamond"/>
          <w:highlight w:val="yellow"/>
          <w:lang w:val="pt-PT"/>
        </w:rPr>
        <w:t>6</w:t>
      </w:r>
      <w:r w:rsidRPr="001C50C8">
        <w:rPr>
          <w:rFonts w:ascii="Garamond" w:hAnsi="Garamond"/>
          <w:lang w:val="pt-PT"/>
        </w:rPr>
        <w:t>)</w:t>
      </w:r>
      <w:bookmarkEnd w:id="35"/>
      <w:r w:rsidRPr="001C50C8">
        <w:rPr>
          <w:rFonts w:ascii="Garamond" w:hAnsi="Garamond"/>
          <w:lang w:val="pt-PT"/>
        </w:rPr>
        <w:t>.</w:t>
      </w:r>
    </w:p>
    <w:p w14:paraId="1AC95D03" w14:textId="77777777" w:rsidR="00FB69C4" w:rsidRPr="001C50C8" w:rsidRDefault="00FB69C4" w:rsidP="00FB69C4">
      <w:pPr>
        <w:pStyle w:val="PargrafodaLista"/>
        <w:numPr>
          <w:ilvl w:val="0"/>
          <w:numId w:val="9"/>
        </w:numPr>
        <w:spacing w:after="240"/>
        <w:jc w:val="both"/>
        <w:rPr>
          <w:rFonts w:ascii="Garamond" w:hAnsi="Garamond"/>
          <w:lang w:val="pt-PT"/>
        </w:rPr>
      </w:pPr>
      <w:r w:rsidRPr="001C50C8">
        <w:rPr>
          <w:rFonts w:ascii="Garamond" w:hAnsi="Garamond"/>
          <w:lang w:val="pt-PT"/>
        </w:rPr>
        <w:t>Sendo o emprego um dos maiores desafios do país, em particular o emprego dos jovens – mulheres e homens, e das mulheres de qualquer faixa etária, todas as medidas de promoção do emprego devem ter uma abordagem de género, questão que melhor se detalha na seção seguinte.</w:t>
      </w:r>
    </w:p>
    <w:p w14:paraId="3A01ED9E" w14:textId="77777777" w:rsidR="00FB69C4" w:rsidRDefault="00FB69C4" w:rsidP="00FB69C4">
      <w:pPr>
        <w:spacing w:after="240"/>
        <w:contextualSpacing/>
        <w:jc w:val="both"/>
        <w:rPr>
          <w:rFonts w:ascii="Garamond" w:hAnsi="Garamond"/>
          <w:b/>
          <w:bCs/>
          <w:lang w:val="pt-PT"/>
        </w:rPr>
      </w:pPr>
      <w:r w:rsidRPr="00C96041">
        <w:rPr>
          <w:rFonts w:ascii="Garamond" w:hAnsi="Garamond"/>
          <w:b/>
          <w:bCs/>
          <w:lang w:val="pt-PT"/>
        </w:rPr>
        <w:t>Características do emprego em Cabo Verde</w:t>
      </w:r>
    </w:p>
    <w:p w14:paraId="7705A2B5" w14:textId="77777777" w:rsidR="00FB69C4" w:rsidRDefault="00FB69C4" w:rsidP="00FB69C4">
      <w:pPr>
        <w:spacing w:after="240"/>
        <w:jc w:val="both"/>
        <w:rPr>
          <w:rFonts w:ascii="Garamond" w:hAnsi="Garamond"/>
          <w:lang w:val="pt-PT"/>
        </w:rPr>
      </w:pPr>
      <w:r w:rsidRPr="00C96041">
        <w:rPr>
          <w:rFonts w:ascii="Garamond" w:hAnsi="Garamond"/>
          <w:lang w:val="pt-PT"/>
        </w:rPr>
        <w:t xml:space="preserve">Em 2018, os ramos de actividade que mais contribuíram para a geração de empregos foram os ramos do comércio (16,8%), agricultura e pesca (11,8%), construção (10,5%) e administração pública, defesa e segurança social (10,4%). Contudo as áreas de emprego das mulheres e dos homens continuam substancialmente diferentes: os 4 primeiros ramos de actividade das mulheres são o comércio, onde se encontram quase ¼ das mulheres empregadas (23,4%), o emprego doméstico (12,7%), o alojamento e restauração (11,4%) e a educação (10,4%), enquanto a agricultura só aparece em 7º lugar (6,5%); no caso dos homens a agricultura vem no 2º lugar (16,1%), logo a seguir à construção (18,2%), o comércio em 3º lugar (11,4%) e em 4º a administração pública, defesa e segurança (10,8%). </w:t>
      </w:r>
      <w:r>
        <w:rPr>
          <w:rFonts w:ascii="Garamond" w:hAnsi="Garamond"/>
          <w:lang w:val="pt-PT"/>
        </w:rPr>
        <w:t>Os</w:t>
      </w:r>
      <w:r w:rsidRPr="00C96041">
        <w:rPr>
          <w:rFonts w:ascii="Garamond" w:hAnsi="Garamond"/>
          <w:lang w:val="pt-PT"/>
        </w:rPr>
        <w:t xml:space="preserve"> 2 primeiros ramos no caso das mulheres - o comércio e o emprego doméstico, que em conjunto dão trabalho a mais de 1/3 das mulheres empregadas (36,1%), são especialmente marcados </w:t>
      </w:r>
      <w:proofErr w:type="spellStart"/>
      <w:r w:rsidRPr="00C96041">
        <w:rPr>
          <w:rFonts w:ascii="Garamond" w:hAnsi="Garamond"/>
          <w:lang w:val="pt-PT"/>
        </w:rPr>
        <w:t>pela</w:t>
      </w:r>
      <w:proofErr w:type="spellEnd"/>
      <w:r w:rsidRPr="00C96041">
        <w:rPr>
          <w:rFonts w:ascii="Garamond" w:hAnsi="Garamond"/>
          <w:lang w:val="pt-PT"/>
        </w:rPr>
        <w:t xml:space="preserve"> informalidade e baixo rendimento. </w:t>
      </w:r>
    </w:p>
    <w:p w14:paraId="2E3FF191" w14:textId="77777777" w:rsidR="00FB69C4" w:rsidRDefault="00FB69C4" w:rsidP="00FB69C4">
      <w:pPr>
        <w:jc w:val="both"/>
        <w:rPr>
          <w:rFonts w:ascii="Garamond" w:hAnsi="Garamond"/>
          <w:lang w:val="pt-PT"/>
        </w:rPr>
      </w:pPr>
      <w:r w:rsidRPr="00C96041">
        <w:rPr>
          <w:rFonts w:ascii="Garamond" w:hAnsi="Garamond"/>
          <w:lang w:val="pt-PT"/>
        </w:rPr>
        <w:t>No sector informal (não agrícola)</w:t>
      </w:r>
      <w:r>
        <w:rPr>
          <w:rFonts w:ascii="Garamond" w:hAnsi="Garamond"/>
          <w:lang w:val="pt-PT"/>
        </w:rPr>
        <w:t>:</w:t>
      </w:r>
    </w:p>
    <w:p w14:paraId="66230C3C" w14:textId="77777777" w:rsidR="00FB69C4" w:rsidRDefault="00FB69C4" w:rsidP="00786DEC">
      <w:pPr>
        <w:pStyle w:val="PargrafodaLista"/>
        <w:numPr>
          <w:ilvl w:val="0"/>
          <w:numId w:val="33"/>
        </w:numPr>
        <w:spacing w:after="240"/>
        <w:jc w:val="both"/>
        <w:rPr>
          <w:rFonts w:ascii="Garamond" w:hAnsi="Garamond"/>
          <w:lang w:val="pt-PT"/>
        </w:rPr>
      </w:pPr>
      <w:r w:rsidRPr="005D61D6">
        <w:rPr>
          <w:rFonts w:ascii="Garamond" w:hAnsi="Garamond"/>
          <w:lang w:val="pt-PT"/>
        </w:rPr>
        <w:t>62,5% das iniciativas são de mulheres</w:t>
      </w:r>
      <w:r>
        <w:rPr>
          <w:rFonts w:ascii="Garamond" w:hAnsi="Garamond"/>
          <w:lang w:val="pt-PT"/>
        </w:rPr>
        <w:t>;</w:t>
      </w:r>
    </w:p>
    <w:p w14:paraId="69993B5A" w14:textId="77777777" w:rsidR="00FB69C4" w:rsidRDefault="00FB69C4" w:rsidP="00786DEC">
      <w:pPr>
        <w:pStyle w:val="PargrafodaLista"/>
        <w:numPr>
          <w:ilvl w:val="0"/>
          <w:numId w:val="33"/>
        </w:numPr>
        <w:spacing w:after="240"/>
        <w:jc w:val="both"/>
        <w:rPr>
          <w:rFonts w:ascii="Garamond" w:hAnsi="Garamond"/>
          <w:lang w:val="pt-PT"/>
        </w:rPr>
      </w:pPr>
      <w:r w:rsidRPr="005D61D6">
        <w:rPr>
          <w:rFonts w:ascii="Garamond" w:hAnsi="Garamond"/>
          <w:lang w:val="pt-PT"/>
        </w:rPr>
        <w:t>88,9% em regime de auto-emprego</w:t>
      </w:r>
      <w:r>
        <w:rPr>
          <w:rFonts w:ascii="Garamond" w:hAnsi="Garamond"/>
          <w:lang w:val="pt-PT"/>
        </w:rPr>
        <w:t>;</w:t>
      </w:r>
    </w:p>
    <w:p w14:paraId="3686D891" w14:textId="77777777" w:rsidR="00FB69C4" w:rsidRPr="005D61D6" w:rsidRDefault="00FB69C4" w:rsidP="00786DEC">
      <w:pPr>
        <w:pStyle w:val="PargrafodaLista"/>
        <w:numPr>
          <w:ilvl w:val="0"/>
          <w:numId w:val="33"/>
        </w:numPr>
        <w:spacing w:after="240"/>
        <w:jc w:val="both"/>
        <w:rPr>
          <w:rFonts w:ascii="Garamond" w:hAnsi="Garamond"/>
          <w:lang w:val="pt-PT"/>
        </w:rPr>
      </w:pPr>
      <w:r>
        <w:rPr>
          <w:rFonts w:ascii="Garamond" w:hAnsi="Garamond"/>
          <w:lang w:val="pt-PT"/>
        </w:rPr>
        <w:t>I</w:t>
      </w:r>
      <w:r w:rsidRPr="005D61D6">
        <w:rPr>
          <w:rFonts w:ascii="Garamond" w:hAnsi="Garamond"/>
          <w:lang w:val="pt-PT"/>
        </w:rPr>
        <w:t>niciativas concentra</w:t>
      </w:r>
      <w:r>
        <w:rPr>
          <w:rFonts w:ascii="Garamond" w:hAnsi="Garamond"/>
          <w:lang w:val="pt-PT"/>
        </w:rPr>
        <w:t>das</w:t>
      </w:r>
      <w:r w:rsidRPr="005D61D6">
        <w:rPr>
          <w:rFonts w:ascii="Garamond" w:hAnsi="Garamond"/>
          <w:lang w:val="pt-PT"/>
        </w:rPr>
        <w:t xml:space="preserve"> no comércio (43,8% </w:t>
      </w:r>
      <w:proofErr w:type="spellStart"/>
      <w:r w:rsidRPr="005D61D6">
        <w:rPr>
          <w:rFonts w:ascii="Garamond" w:hAnsi="Garamond"/>
          <w:lang w:val="pt-PT"/>
        </w:rPr>
        <w:t>vs</w:t>
      </w:r>
      <w:proofErr w:type="spellEnd"/>
      <w:r w:rsidRPr="005D61D6">
        <w:rPr>
          <w:rFonts w:ascii="Garamond" w:hAnsi="Garamond"/>
          <w:lang w:val="pt-PT"/>
        </w:rPr>
        <w:t xml:space="preserve"> 20,1% </w:t>
      </w:r>
      <w:r>
        <w:rPr>
          <w:rFonts w:ascii="Garamond" w:hAnsi="Garamond"/>
          <w:lang w:val="pt-PT"/>
        </w:rPr>
        <w:t xml:space="preserve">no caso </w:t>
      </w:r>
      <w:r w:rsidRPr="005D61D6">
        <w:rPr>
          <w:rFonts w:ascii="Garamond" w:hAnsi="Garamond"/>
          <w:lang w:val="pt-PT"/>
        </w:rPr>
        <w:t xml:space="preserve">dos homens), uma área </w:t>
      </w:r>
      <w:r>
        <w:rPr>
          <w:rFonts w:ascii="Garamond" w:hAnsi="Garamond"/>
          <w:lang w:val="pt-PT"/>
        </w:rPr>
        <w:t>pouco</w:t>
      </w:r>
      <w:r w:rsidRPr="005D61D6">
        <w:rPr>
          <w:rFonts w:ascii="Garamond" w:hAnsi="Garamond"/>
          <w:lang w:val="pt-PT"/>
        </w:rPr>
        <w:t xml:space="preserve"> produtiva e rentável, condicionando o rendimento</w:t>
      </w:r>
      <w:r w:rsidRPr="005D61D6">
        <w:rPr>
          <w:rFonts w:cs="Tahoma"/>
          <w:bCs/>
          <w:lang w:val="pt-PT"/>
        </w:rPr>
        <w:t xml:space="preserve"> </w:t>
      </w:r>
      <w:r w:rsidRPr="005D61D6">
        <w:rPr>
          <w:rFonts w:ascii="Garamond" w:hAnsi="Garamond"/>
          <w:lang w:val="pt-PT"/>
        </w:rPr>
        <w:t>a que têm acesso.</w:t>
      </w:r>
      <w:r w:rsidRPr="00C96041">
        <w:rPr>
          <w:rStyle w:val="Refdenotaderodap"/>
          <w:rFonts w:ascii="Garamond" w:hAnsi="Garamond"/>
          <w:lang w:val="pt-PT"/>
        </w:rPr>
        <w:footnoteReference w:id="22"/>
      </w:r>
    </w:p>
    <w:p w14:paraId="6E2F0997" w14:textId="77777777" w:rsidR="00FB69C4" w:rsidRDefault="00FB69C4" w:rsidP="00FB69C4">
      <w:pPr>
        <w:jc w:val="both"/>
        <w:rPr>
          <w:rFonts w:ascii="Garamond" w:hAnsi="Garamond"/>
          <w:lang w:val="pt-PT"/>
        </w:rPr>
      </w:pPr>
      <w:r>
        <w:rPr>
          <w:rFonts w:ascii="Garamond" w:hAnsi="Garamond"/>
          <w:lang w:val="pt-PT"/>
        </w:rPr>
        <w:t>O</w:t>
      </w:r>
      <w:r w:rsidRPr="005D61D6">
        <w:rPr>
          <w:rFonts w:ascii="Garamond" w:hAnsi="Garamond"/>
          <w:lang w:val="pt-PT"/>
        </w:rPr>
        <w:t xml:space="preserve"> emprego doméstico</w:t>
      </w:r>
      <w:r>
        <w:rPr>
          <w:rFonts w:ascii="Garamond" w:hAnsi="Garamond"/>
          <w:lang w:val="pt-PT"/>
        </w:rPr>
        <w:t>:</w:t>
      </w:r>
    </w:p>
    <w:p w14:paraId="1D8FDAAC" w14:textId="77777777" w:rsidR="00FB69C4" w:rsidRDefault="00FB69C4" w:rsidP="00786DEC">
      <w:pPr>
        <w:pStyle w:val="PargrafodaLista"/>
        <w:numPr>
          <w:ilvl w:val="0"/>
          <w:numId w:val="34"/>
        </w:numPr>
        <w:spacing w:after="240"/>
        <w:jc w:val="both"/>
        <w:rPr>
          <w:rFonts w:ascii="Garamond" w:hAnsi="Garamond"/>
          <w:lang w:val="pt-PT"/>
        </w:rPr>
      </w:pPr>
      <w:r>
        <w:rPr>
          <w:rFonts w:ascii="Garamond" w:hAnsi="Garamond"/>
          <w:lang w:val="pt-PT"/>
        </w:rPr>
        <w:t>A</w:t>
      </w:r>
      <w:r w:rsidRPr="005D61D6">
        <w:rPr>
          <w:rFonts w:ascii="Garamond" w:hAnsi="Garamond"/>
          <w:lang w:val="pt-PT"/>
        </w:rPr>
        <w:t xml:space="preserve">penas representa 5,9% dos </w:t>
      </w:r>
      <w:proofErr w:type="spellStart"/>
      <w:r w:rsidRPr="005D61D6">
        <w:rPr>
          <w:rFonts w:ascii="Garamond" w:hAnsi="Garamond"/>
          <w:lang w:val="pt-PT"/>
        </w:rPr>
        <w:t>ativos</w:t>
      </w:r>
      <w:proofErr w:type="spellEnd"/>
      <w:r w:rsidRPr="005D61D6">
        <w:rPr>
          <w:rFonts w:ascii="Garamond" w:hAnsi="Garamond"/>
          <w:lang w:val="pt-PT"/>
        </w:rPr>
        <w:t xml:space="preserve"> ocupados em 2018</w:t>
      </w:r>
      <w:r>
        <w:rPr>
          <w:rFonts w:ascii="Garamond" w:hAnsi="Garamond"/>
          <w:lang w:val="pt-PT"/>
        </w:rPr>
        <w:t>;</w:t>
      </w:r>
    </w:p>
    <w:p w14:paraId="32C4B2DB" w14:textId="77777777" w:rsidR="00FB69C4" w:rsidRDefault="00FB69C4" w:rsidP="00786DEC">
      <w:pPr>
        <w:pStyle w:val="PargrafodaLista"/>
        <w:numPr>
          <w:ilvl w:val="0"/>
          <w:numId w:val="34"/>
        </w:numPr>
        <w:spacing w:after="240"/>
        <w:jc w:val="both"/>
        <w:rPr>
          <w:rFonts w:ascii="Garamond" w:hAnsi="Garamond"/>
          <w:lang w:val="pt-PT"/>
        </w:rPr>
      </w:pPr>
      <w:r>
        <w:rPr>
          <w:rFonts w:ascii="Garamond" w:hAnsi="Garamond"/>
          <w:lang w:val="pt-PT"/>
        </w:rPr>
        <w:t xml:space="preserve">Mas </w:t>
      </w:r>
      <w:r w:rsidRPr="005D61D6">
        <w:rPr>
          <w:rFonts w:ascii="Garamond" w:hAnsi="Garamond"/>
          <w:lang w:val="pt-PT"/>
        </w:rPr>
        <w:t>ocupa um número significativo de mulheres: 11.005 mulheres e 542 homens</w:t>
      </w:r>
      <w:r>
        <w:rPr>
          <w:rFonts w:ascii="Garamond" w:hAnsi="Garamond"/>
          <w:lang w:val="pt-PT"/>
        </w:rPr>
        <w:t>;</w:t>
      </w:r>
    </w:p>
    <w:p w14:paraId="3F0E4224" w14:textId="77777777" w:rsidR="00FB69C4" w:rsidRDefault="00FB69C4" w:rsidP="00786DEC">
      <w:pPr>
        <w:pStyle w:val="PargrafodaLista"/>
        <w:numPr>
          <w:ilvl w:val="0"/>
          <w:numId w:val="34"/>
        </w:numPr>
        <w:spacing w:after="240"/>
        <w:jc w:val="both"/>
        <w:rPr>
          <w:rFonts w:ascii="Garamond" w:hAnsi="Garamond"/>
          <w:lang w:val="pt-PT"/>
        </w:rPr>
      </w:pPr>
      <w:r>
        <w:rPr>
          <w:rFonts w:ascii="Garamond" w:hAnsi="Garamond"/>
          <w:lang w:val="pt-PT"/>
        </w:rPr>
        <w:t>O</w:t>
      </w:r>
      <w:r w:rsidRPr="005D61D6">
        <w:rPr>
          <w:rFonts w:ascii="Garamond" w:hAnsi="Garamond"/>
          <w:lang w:val="pt-PT"/>
        </w:rPr>
        <w:t>u seja 95,3% das pessoas ocupadas neste ramo são mulheres</w:t>
      </w:r>
      <w:r>
        <w:rPr>
          <w:rFonts w:ascii="Garamond" w:hAnsi="Garamond"/>
          <w:lang w:val="pt-PT"/>
        </w:rPr>
        <w:t xml:space="preserve"> e </w:t>
      </w:r>
      <w:r w:rsidRPr="005D61D6">
        <w:rPr>
          <w:rFonts w:ascii="Garamond" w:hAnsi="Garamond"/>
          <w:lang w:val="pt-PT"/>
        </w:rPr>
        <w:t>4,7% são homens</w:t>
      </w:r>
      <w:r>
        <w:rPr>
          <w:rFonts w:ascii="Garamond" w:hAnsi="Garamond"/>
          <w:lang w:val="pt-PT"/>
        </w:rPr>
        <w:t>;</w:t>
      </w:r>
      <w:r w:rsidRPr="00C96041">
        <w:rPr>
          <w:rStyle w:val="Refdenotaderodap"/>
          <w:rFonts w:ascii="Garamond" w:hAnsi="Garamond"/>
          <w:lang w:val="pt-PT"/>
        </w:rPr>
        <w:footnoteReference w:id="23"/>
      </w:r>
    </w:p>
    <w:p w14:paraId="210C3CF7" w14:textId="77777777" w:rsidR="00FB69C4" w:rsidRDefault="00FB69C4" w:rsidP="00786DEC">
      <w:pPr>
        <w:pStyle w:val="PargrafodaLista"/>
        <w:numPr>
          <w:ilvl w:val="0"/>
          <w:numId w:val="34"/>
        </w:numPr>
        <w:spacing w:after="240"/>
        <w:jc w:val="both"/>
        <w:rPr>
          <w:rFonts w:ascii="Garamond" w:hAnsi="Garamond"/>
          <w:lang w:val="pt-PT"/>
        </w:rPr>
      </w:pPr>
      <w:r>
        <w:rPr>
          <w:rFonts w:ascii="Garamond" w:hAnsi="Garamond"/>
          <w:lang w:val="pt-PT"/>
        </w:rPr>
        <w:t xml:space="preserve">É uma </w:t>
      </w:r>
      <w:proofErr w:type="spellStart"/>
      <w:r w:rsidRPr="005D61D6">
        <w:rPr>
          <w:rFonts w:ascii="Garamond" w:hAnsi="Garamond"/>
          <w:lang w:val="pt-PT"/>
        </w:rPr>
        <w:t>atividade</w:t>
      </w:r>
      <w:proofErr w:type="spellEnd"/>
      <w:r w:rsidRPr="005D61D6">
        <w:rPr>
          <w:rFonts w:ascii="Garamond" w:hAnsi="Garamond"/>
          <w:lang w:val="pt-PT"/>
        </w:rPr>
        <w:t xml:space="preserve"> profissional precária em termos socioeconómicos e laborais</w:t>
      </w:r>
      <w:r>
        <w:rPr>
          <w:rFonts w:ascii="Garamond" w:hAnsi="Garamond"/>
          <w:lang w:val="pt-PT"/>
        </w:rPr>
        <w:t>:</w:t>
      </w:r>
    </w:p>
    <w:p w14:paraId="6D8B9A0F" w14:textId="77777777" w:rsidR="00FB69C4" w:rsidRDefault="00FB69C4" w:rsidP="00786DEC">
      <w:pPr>
        <w:pStyle w:val="PargrafodaLista"/>
        <w:numPr>
          <w:ilvl w:val="1"/>
          <w:numId w:val="37"/>
        </w:numPr>
        <w:spacing w:after="240"/>
        <w:jc w:val="both"/>
        <w:rPr>
          <w:rFonts w:ascii="Garamond" w:hAnsi="Garamond"/>
          <w:lang w:val="pt-PT"/>
        </w:rPr>
      </w:pPr>
      <w:r>
        <w:rPr>
          <w:rFonts w:ascii="Garamond" w:hAnsi="Garamond"/>
          <w:lang w:val="pt-PT"/>
        </w:rPr>
        <w:t>E</w:t>
      </w:r>
      <w:r w:rsidRPr="005D61D6">
        <w:rPr>
          <w:rFonts w:ascii="Garamond" w:hAnsi="Garamond"/>
          <w:lang w:val="pt-PT"/>
        </w:rPr>
        <w:t xml:space="preserve">ssencialmente efectuada sem </w:t>
      </w:r>
      <w:proofErr w:type="spellStart"/>
      <w:r w:rsidRPr="005D61D6">
        <w:rPr>
          <w:rFonts w:ascii="Garamond" w:hAnsi="Garamond"/>
          <w:lang w:val="pt-PT"/>
        </w:rPr>
        <w:t>contrato</w:t>
      </w:r>
      <w:proofErr w:type="spellEnd"/>
      <w:r w:rsidRPr="005D61D6">
        <w:rPr>
          <w:rFonts w:ascii="Garamond" w:hAnsi="Garamond"/>
          <w:lang w:val="pt-PT"/>
        </w:rPr>
        <w:t xml:space="preserve"> laboral</w:t>
      </w:r>
      <w:r>
        <w:rPr>
          <w:rFonts w:ascii="Garamond" w:hAnsi="Garamond"/>
          <w:lang w:val="pt-PT"/>
        </w:rPr>
        <w:t>;</w:t>
      </w:r>
    </w:p>
    <w:p w14:paraId="1FA2127C" w14:textId="77777777" w:rsidR="00FB69C4" w:rsidRDefault="00FB69C4" w:rsidP="00786DEC">
      <w:pPr>
        <w:pStyle w:val="PargrafodaLista"/>
        <w:numPr>
          <w:ilvl w:val="1"/>
          <w:numId w:val="37"/>
        </w:numPr>
        <w:spacing w:after="240"/>
        <w:jc w:val="both"/>
        <w:rPr>
          <w:rFonts w:ascii="Garamond" w:hAnsi="Garamond"/>
          <w:lang w:val="pt-PT"/>
        </w:rPr>
      </w:pPr>
      <w:r>
        <w:rPr>
          <w:rFonts w:ascii="Garamond" w:hAnsi="Garamond"/>
          <w:lang w:val="pt-PT"/>
        </w:rPr>
        <w:t>C</w:t>
      </w:r>
      <w:r w:rsidRPr="005D61D6">
        <w:rPr>
          <w:rFonts w:ascii="Garamond" w:hAnsi="Garamond"/>
          <w:lang w:val="pt-PT"/>
        </w:rPr>
        <w:t>om elevada vulnerabilidade ao despedimento</w:t>
      </w:r>
      <w:r>
        <w:rPr>
          <w:rFonts w:ascii="Garamond" w:hAnsi="Garamond"/>
          <w:lang w:val="pt-PT"/>
        </w:rPr>
        <w:t>;</w:t>
      </w:r>
    </w:p>
    <w:p w14:paraId="27ABDB37" w14:textId="77777777" w:rsidR="00FB69C4" w:rsidRDefault="00FB69C4" w:rsidP="00786DEC">
      <w:pPr>
        <w:pStyle w:val="PargrafodaLista"/>
        <w:numPr>
          <w:ilvl w:val="1"/>
          <w:numId w:val="37"/>
        </w:numPr>
        <w:spacing w:after="240"/>
        <w:jc w:val="both"/>
        <w:rPr>
          <w:rFonts w:ascii="Garamond" w:hAnsi="Garamond"/>
          <w:lang w:val="pt-PT"/>
        </w:rPr>
      </w:pPr>
      <w:r>
        <w:rPr>
          <w:rFonts w:ascii="Garamond" w:hAnsi="Garamond"/>
          <w:lang w:val="pt-PT"/>
        </w:rPr>
        <w:t xml:space="preserve">Com </w:t>
      </w:r>
      <w:r w:rsidRPr="005D61D6">
        <w:rPr>
          <w:rFonts w:ascii="Garamond" w:hAnsi="Garamond"/>
          <w:lang w:val="pt-PT"/>
        </w:rPr>
        <w:t>baixo nível salarial</w:t>
      </w:r>
      <w:r>
        <w:rPr>
          <w:rFonts w:ascii="Garamond" w:hAnsi="Garamond"/>
          <w:lang w:val="pt-PT"/>
        </w:rPr>
        <w:t>;</w:t>
      </w:r>
    </w:p>
    <w:p w14:paraId="0705A15B" w14:textId="77777777" w:rsidR="00FB69C4" w:rsidRDefault="00FB69C4" w:rsidP="00786DEC">
      <w:pPr>
        <w:pStyle w:val="PargrafodaLista"/>
        <w:numPr>
          <w:ilvl w:val="1"/>
          <w:numId w:val="37"/>
        </w:numPr>
        <w:spacing w:after="240"/>
        <w:jc w:val="both"/>
        <w:rPr>
          <w:rFonts w:ascii="Garamond" w:hAnsi="Garamond"/>
          <w:lang w:val="pt-PT"/>
        </w:rPr>
      </w:pPr>
      <w:r>
        <w:rPr>
          <w:rFonts w:ascii="Garamond" w:hAnsi="Garamond"/>
          <w:lang w:val="pt-PT"/>
        </w:rPr>
        <w:t>E</w:t>
      </w:r>
      <w:r w:rsidRPr="005D61D6">
        <w:rPr>
          <w:rFonts w:ascii="Garamond" w:hAnsi="Garamond"/>
          <w:lang w:val="pt-PT"/>
        </w:rPr>
        <w:t xml:space="preserve"> pouco cumprimento de direitos laborais (ex. horário, folgas e férias, </w:t>
      </w:r>
      <w:r>
        <w:rPr>
          <w:rFonts w:ascii="Garamond" w:hAnsi="Garamond"/>
          <w:lang w:val="pt-PT"/>
        </w:rPr>
        <w:t>etc.);</w:t>
      </w:r>
      <w:r w:rsidRPr="005D61D6">
        <w:rPr>
          <w:rFonts w:ascii="Garamond" w:hAnsi="Garamond"/>
          <w:lang w:val="pt-PT"/>
        </w:rPr>
        <w:t xml:space="preserve"> </w:t>
      </w:r>
    </w:p>
    <w:p w14:paraId="7E0BC166" w14:textId="77777777" w:rsidR="00FB69C4" w:rsidRPr="00F1586F" w:rsidRDefault="00FB69C4" w:rsidP="00786DEC">
      <w:pPr>
        <w:pStyle w:val="PargrafodaLista"/>
        <w:numPr>
          <w:ilvl w:val="1"/>
          <w:numId w:val="34"/>
        </w:numPr>
        <w:spacing w:after="240"/>
        <w:jc w:val="both"/>
        <w:rPr>
          <w:rFonts w:ascii="Garamond" w:hAnsi="Garamond"/>
          <w:lang w:val="pt-PT"/>
        </w:rPr>
      </w:pPr>
      <w:r w:rsidRPr="00F1586F">
        <w:rPr>
          <w:rFonts w:ascii="Garamond" w:hAnsi="Garamond"/>
          <w:lang w:val="pt-PT"/>
        </w:rPr>
        <w:t xml:space="preserve">17,5% do(a)s empregado(a)s doméstico(a)s estão inscritos no </w:t>
      </w:r>
      <w:proofErr w:type="spellStart"/>
      <w:r w:rsidRPr="00F1586F">
        <w:rPr>
          <w:rFonts w:ascii="Garamond" w:hAnsi="Garamond"/>
          <w:lang w:val="pt-PT"/>
        </w:rPr>
        <w:t>INPS</w:t>
      </w:r>
      <w:proofErr w:type="spellEnd"/>
      <w:r w:rsidRPr="00F1586F">
        <w:rPr>
          <w:rFonts w:ascii="Garamond" w:hAnsi="Garamond"/>
          <w:lang w:val="pt-PT"/>
        </w:rPr>
        <w:t xml:space="preserve"> em 2018</w:t>
      </w:r>
      <w:r>
        <w:rPr>
          <w:rFonts w:ascii="Garamond" w:hAnsi="Garamond"/>
          <w:lang w:val="pt-PT"/>
        </w:rPr>
        <w:t xml:space="preserve"> (apenas 10,2% em 2016) mas, apesar do</w:t>
      </w:r>
      <w:r w:rsidRPr="00F1586F">
        <w:rPr>
          <w:rFonts w:ascii="Garamond" w:hAnsi="Garamond"/>
          <w:lang w:val="pt-PT"/>
        </w:rPr>
        <w:t xml:space="preserve"> avanço, </w:t>
      </w:r>
      <w:r>
        <w:rPr>
          <w:rFonts w:ascii="Garamond" w:hAnsi="Garamond"/>
          <w:lang w:val="pt-PT"/>
        </w:rPr>
        <w:t xml:space="preserve">a </w:t>
      </w:r>
      <w:r w:rsidRPr="00F1586F">
        <w:rPr>
          <w:rFonts w:ascii="Garamond" w:hAnsi="Garamond"/>
          <w:lang w:val="pt-PT"/>
        </w:rPr>
        <w:t>proporção continua aquém do desejável</w:t>
      </w:r>
      <w:r>
        <w:rPr>
          <w:rFonts w:ascii="Garamond" w:hAnsi="Garamond"/>
          <w:lang w:val="pt-PT"/>
        </w:rPr>
        <w:t xml:space="preserve">, já que menos de 1 em cada 5 se encontra inscrito(a) no </w:t>
      </w:r>
      <w:proofErr w:type="spellStart"/>
      <w:r>
        <w:rPr>
          <w:rFonts w:ascii="Garamond" w:hAnsi="Garamond"/>
          <w:lang w:val="pt-PT"/>
        </w:rPr>
        <w:t>INPS</w:t>
      </w:r>
      <w:proofErr w:type="spellEnd"/>
      <w:r>
        <w:rPr>
          <w:rFonts w:ascii="Garamond" w:hAnsi="Garamond"/>
          <w:lang w:val="pt-PT"/>
        </w:rPr>
        <w:t>.</w:t>
      </w:r>
    </w:p>
    <w:p w14:paraId="24075FBE" w14:textId="77777777" w:rsidR="00FB69C4" w:rsidRPr="00E00F68" w:rsidRDefault="00FB69C4" w:rsidP="00FB69C4">
      <w:pPr>
        <w:jc w:val="both"/>
        <w:rPr>
          <w:rFonts w:ascii="Garamond" w:hAnsi="Garamond"/>
          <w:lang w:val="pt-PT"/>
        </w:rPr>
      </w:pPr>
      <w:r>
        <w:rPr>
          <w:rFonts w:ascii="Garamond" w:hAnsi="Garamond"/>
          <w:lang w:val="pt-PT"/>
        </w:rPr>
        <w:t>Por outro lado, o</w:t>
      </w:r>
      <w:r w:rsidRPr="00E00F68">
        <w:rPr>
          <w:rFonts w:ascii="Garamond" w:hAnsi="Garamond"/>
          <w:lang w:val="pt-PT"/>
        </w:rPr>
        <w:t xml:space="preserve"> emprego doméstico não foi contemplado na primeira fase de implementação do subsídio de desemprego, o que suscita alguma preocupação tendo em conta que os regimes especiais, que ficaram para uma segunda fase, dizem respeito a </w:t>
      </w:r>
      <w:proofErr w:type="spellStart"/>
      <w:r w:rsidRPr="00E00F68">
        <w:rPr>
          <w:rFonts w:ascii="Garamond" w:hAnsi="Garamond"/>
          <w:lang w:val="pt-PT"/>
        </w:rPr>
        <w:t>atividades</w:t>
      </w:r>
      <w:proofErr w:type="spellEnd"/>
      <w:r w:rsidRPr="00E00F68">
        <w:rPr>
          <w:rFonts w:ascii="Garamond" w:hAnsi="Garamond"/>
          <w:lang w:val="pt-PT"/>
        </w:rPr>
        <w:t xml:space="preserve"> profissionais em que as mulheres estão sobre representadas (</w:t>
      </w:r>
      <w:r>
        <w:rPr>
          <w:rFonts w:ascii="Garamond" w:hAnsi="Garamond"/>
          <w:lang w:val="pt-PT"/>
        </w:rPr>
        <w:t xml:space="preserve">ex. </w:t>
      </w:r>
      <w:r w:rsidRPr="00E00F68">
        <w:rPr>
          <w:rFonts w:ascii="Garamond" w:hAnsi="Garamond"/>
          <w:lang w:val="pt-PT"/>
        </w:rPr>
        <w:t xml:space="preserve">emprego doméstico e regime </w:t>
      </w:r>
      <w:proofErr w:type="spellStart"/>
      <w:r w:rsidRPr="00E00F68">
        <w:rPr>
          <w:rFonts w:ascii="Garamond" w:hAnsi="Garamond"/>
          <w:lang w:val="pt-PT"/>
        </w:rPr>
        <w:t>REMPE</w:t>
      </w:r>
      <w:proofErr w:type="spellEnd"/>
      <w:r w:rsidRPr="00E00F68">
        <w:rPr>
          <w:rFonts w:ascii="Garamond" w:hAnsi="Garamond"/>
          <w:lang w:val="pt-PT"/>
        </w:rPr>
        <w:t>).</w:t>
      </w:r>
      <w:r w:rsidRPr="00C96041">
        <w:rPr>
          <w:rStyle w:val="Refdenotaderodap"/>
          <w:rFonts w:ascii="Garamond" w:hAnsi="Garamond"/>
          <w:lang w:val="pt-PT"/>
        </w:rPr>
        <w:footnoteReference w:id="24"/>
      </w:r>
      <w:r w:rsidRPr="00E00F68">
        <w:rPr>
          <w:rFonts w:ascii="Garamond" w:hAnsi="Garamond"/>
          <w:lang w:val="pt-PT"/>
        </w:rPr>
        <w:t xml:space="preserve"> </w:t>
      </w:r>
      <w:r>
        <w:rPr>
          <w:rFonts w:ascii="Garamond" w:hAnsi="Garamond"/>
          <w:lang w:val="pt-PT"/>
        </w:rPr>
        <w:t>Paradoxalmente,</w:t>
      </w:r>
      <w:r w:rsidRPr="00E00F68">
        <w:rPr>
          <w:rFonts w:ascii="Garamond" w:hAnsi="Garamond"/>
          <w:lang w:val="pt-PT"/>
        </w:rPr>
        <w:t xml:space="preserve"> as empregadas domésticas têm tido um</w:t>
      </w:r>
      <w:r>
        <w:rPr>
          <w:rFonts w:ascii="Garamond" w:hAnsi="Garamond"/>
          <w:lang w:val="pt-PT"/>
        </w:rPr>
        <w:t>a</w:t>
      </w:r>
      <w:r w:rsidRPr="00E00F68">
        <w:rPr>
          <w:rFonts w:ascii="Garamond" w:hAnsi="Garamond"/>
          <w:lang w:val="pt-PT"/>
        </w:rPr>
        <w:t xml:space="preserve"> contribuição fundamental para a economia do país, viabilizando ganhos económicos tanto a nível familiar como da sociedade: vêm contribuindo em particular para viabilizar a entrada das mulheres e homens com responsabilidades familiares no mercado laboral, na medida em que asseguram cuidados a dependentes nas famílias em que trabalham (cuidados a crianças pequenas, idosos, pessoas com deficiência). Assim, no caso do emprego doméstico, urge a implementação de medidas que garantam a implementação do previsto no Código Laboral</w:t>
      </w:r>
      <w:r>
        <w:rPr>
          <w:rFonts w:ascii="Garamond" w:hAnsi="Garamond"/>
          <w:lang w:val="pt-PT"/>
        </w:rPr>
        <w:t>:</w:t>
      </w:r>
      <w:r w:rsidRPr="00E00F68">
        <w:rPr>
          <w:rFonts w:ascii="Garamond" w:hAnsi="Garamond"/>
          <w:lang w:val="pt-PT"/>
        </w:rPr>
        <w:t xml:space="preserve"> </w:t>
      </w:r>
    </w:p>
    <w:p w14:paraId="49F0AEE6" w14:textId="77777777" w:rsidR="00FB69C4" w:rsidRPr="00C96041" w:rsidRDefault="00FB69C4" w:rsidP="00FB69C4">
      <w:pPr>
        <w:pStyle w:val="PargrafodaLista"/>
        <w:numPr>
          <w:ilvl w:val="0"/>
          <w:numId w:val="11"/>
        </w:numPr>
        <w:spacing w:after="240"/>
        <w:jc w:val="both"/>
        <w:rPr>
          <w:rFonts w:ascii="Garamond" w:hAnsi="Garamond"/>
          <w:lang w:val="pt-PT"/>
        </w:rPr>
      </w:pPr>
      <w:r w:rsidRPr="00C96041">
        <w:rPr>
          <w:rFonts w:ascii="Garamond" w:hAnsi="Garamond"/>
          <w:lang w:val="pt-PT"/>
        </w:rPr>
        <w:t xml:space="preserve">A aprovação </w:t>
      </w:r>
      <w:r>
        <w:rPr>
          <w:rFonts w:ascii="Garamond" w:hAnsi="Garamond"/>
          <w:lang w:val="pt-PT"/>
        </w:rPr>
        <w:t xml:space="preserve">e implementação </w:t>
      </w:r>
      <w:r w:rsidRPr="00C96041">
        <w:rPr>
          <w:rFonts w:ascii="Garamond" w:hAnsi="Garamond"/>
          <w:lang w:val="pt-PT"/>
        </w:rPr>
        <w:t>do Regulamento do Trabalho Doméstico, existindo já uma proposta para o efeito, bem como a divulgação e a efectiva fiscalização da implementação do quadro legal em vigor em matéria de emprego doméstico, definindo procedimentos para o efeito</w:t>
      </w:r>
      <w:r>
        <w:rPr>
          <w:rFonts w:ascii="Garamond" w:hAnsi="Garamond"/>
          <w:lang w:val="pt-PT"/>
        </w:rPr>
        <w:t>.</w:t>
      </w:r>
    </w:p>
    <w:p w14:paraId="31729435" w14:textId="77777777" w:rsidR="00FB69C4" w:rsidRPr="00E63C2E" w:rsidRDefault="00FB69C4" w:rsidP="00FB69C4">
      <w:pPr>
        <w:pStyle w:val="PargrafodaLista"/>
        <w:numPr>
          <w:ilvl w:val="0"/>
          <w:numId w:val="11"/>
        </w:numPr>
        <w:spacing w:after="240"/>
        <w:jc w:val="both"/>
        <w:rPr>
          <w:rFonts w:ascii="Garamond" w:hAnsi="Garamond"/>
          <w:lang w:val="pt-PT"/>
        </w:rPr>
      </w:pPr>
      <w:r w:rsidRPr="00C96041">
        <w:rPr>
          <w:rFonts w:ascii="Garamond" w:hAnsi="Garamond"/>
          <w:lang w:val="pt-PT"/>
        </w:rPr>
        <w:t xml:space="preserve">Promover a inscrição das trabalhadoras domésticas no </w:t>
      </w:r>
      <w:proofErr w:type="spellStart"/>
      <w:r w:rsidRPr="00C96041">
        <w:rPr>
          <w:rFonts w:ascii="Garamond" w:hAnsi="Garamond"/>
          <w:lang w:val="pt-PT"/>
        </w:rPr>
        <w:t>INPS</w:t>
      </w:r>
      <w:proofErr w:type="spellEnd"/>
      <w:r w:rsidRPr="00C96041">
        <w:rPr>
          <w:rFonts w:ascii="Garamond" w:hAnsi="Garamond"/>
          <w:lang w:val="pt-PT"/>
        </w:rPr>
        <w:t xml:space="preserve">, bem como </w:t>
      </w:r>
      <w:r>
        <w:rPr>
          <w:rFonts w:ascii="Garamond" w:hAnsi="Garamond"/>
          <w:lang w:val="pt-PT"/>
        </w:rPr>
        <w:t xml:space="preserve">o pagamento do </w:t>
      </w:r>
      <w:r w:rsidRPr="00E63C2E">
        <w:rPr>
          <w:rFonts w:ascii="Garamond" w:hAnsi="Garamond"/>
          <w:lang w:val="pt-PT"/>
        </w:rPr>
        <w:t xml:space="preserve">subsídio de desemprego </w:t>
      </w:r>
      <w:r>
        <w:rPr>
          <w:rFonts w:ascii="Garamond" w:hAnsi="Garamond"/>
          <w:lang w:val="pt-PT"/>
        </w:rPr>
        <w:t>à</w:t>
      </w:r>
      <w:r w:rsidRPr="00E63C2E">
        <w:rPr>
          <w:rFonts w:ascii="Garamond" w:hAnsi="Garamond"/>
          <w:lang w:val="pt-PT"/>
        </w:rPr>
        <w:t>s empregadas domésticas</w:t>
      </w:r>
      <w:r>
        <w:rPr>
          <w:rFonts w:ascii="Garamond" w:hAnsi="Garamond"/>
          <w:lang w:val="pt-PT"/>
        </w:rPr>
        <w:t>.</w:t>
      </w:r>
    </w:p>
    <w:p w14:paraId="13AC8940" w14:textId="77777777" w:rsidR="00FB69C4" w:rsidRPr="00E63C2E" w:rsidRDefault="00FB69C4" w:rsidP="00FB69C4">
      <w:pPr>
        <w:pStyle w:val="PargrafodaLista"/>
        <w:numPr>
          <w:ilvl w:val="0"/>
          <w:numId w:val="11"/>
        </w:numPr>
        <w:spacing w:after="240"/>
        <w:jc w:val="both"/>
        <w:rPr>
          <w:rFonts w:ascii="Garamond" w:hAnsi="Garamond"/>
          <w:lang w:val="pt-PT"/>
        </w:rPr>
      </w:pPr>
      <w:r w:rsidRPr="00E63C2E">
        <w:rPr>
          <w:rFonts w:ascii="Garamond" w:hAnsi="Garamond"/>
          <w:lang w:val="pt-PT"/>
        </w:rPr>
        <w:t xml:space="preserve">Apoiar a implementação integrada do Roteiro para </w:t>
      </w:r>
      <w:r w:rsidRPr="00B04043">
        <w:rPr>
          <w:rFonts w:ascii="Garamond" w:hAnsi="Garamond"/>
          <w:lang w:val="pt-PT"/>
        </w:rPr>
        <w:t>melhoria da situação laboral das Trabalhadoras</w:t>
      </w:r>
      <w:r>
        <w:rPr>
          <w:rFonts w:ascii="Garamond" w:hAnsi="Garamond"/>
          <w:lang w:val="pt-PT"/>
        </w:rPr>
        <w:t>(</w:t>
      </w:r>
      <w:proofErr w:type="spellStart"/>
      <w:r w:rsidRPr="00B04043">
        <w:rPr>
          <w:rFonts w:ascii="Garamond" w:hAnsi="Garamond"/>
          <w:lang w:val="pt-PT"/>
        </w:rPr>
        <w:t>es</w:t>
      </w:r>
      <w:proofErr w:type="spellEnd"/>
      <w:r>
        <w:rPr>
          <w:rFonts w:ascii="Garamond" w:hAnsi="Garamond"/>
          <w:lang w:val="pt-PT"/>
        </w:rPr>
        <w:t>)</w:t>
      </w:r>
      <w:r w:rsidRPr="00B04043">
        <w:rPr>
          <w:rFonts w:ascii="Garamond" w:hAnsi="Garamond"/>
          <w:lang w:val="pt-PT"/>
        </w:rPr>
        <w:t xml:space="preserve"> Doméstic</w:t>
      </w:r>
      <w:r>
        <w:rPr>
          <w:rFonts w:ascii="Garamond" w:hAnsi="Garamond"/>
          <w:lang w:val="pt-PT"/>
        </w:rPr>
        <w:t>as(</w:t>
      </w:r>
      <w:r w:rsidRPr="00B04043">
        <w:rPr>
          <w:rFonts w:ascii="Garamond" w:hAnsi="Garamond"/>
          <w:lang w:val="pt-PT"/>
        </w:rPr>
        <w:t>os</w:t>
      </w:r>
      <w:r>
        <w:rPr>
          <w:rFonts w:ascii="Garamond" w:hAnsi="Garamond"/>
          <w:lang w:val="pt-PT"/>
        </w:rPr>
        <w:t>)</w:t>
      </w:r>
      <w:r w:rsidRPr="00B04043">
        <w:rPr>
          <w:rFonts w:ascii="Garamond" w:hAnsi="Garamond"/>
          <w:lang w:val="pt-PT"/>
        </w:rPr>
        <w:t xml:space="preserve"> em Cabo Verde (2018)</w:t>
      </w:r>
      <w:r w:rsidRPr="00E63C2E">
        <w:rPr>
          <w:rFonts w:ascii="Garamond" w:hAnsi="Garamond"/>
          <w:lang w:val="pt-PT"/>
        </w:rPr>
        <w:t>, incluindo o fomento à capacitação e à profissionalização das empregadas domésticas, através da criação e implementação do Perfil Profissional de Empregadas(os) Dom</w:t>
      </w:r>
      <w:r>
        <w:rPr>
          <w:rFonts w:ascii="Garamond" w:hAnsi="Garamond"/>
          <w:lang w:val="pt-PT"/>
        </w:rPr>
        <w:t>é</w:t>
      </w:r>
      <w:r w:rsidRPr="00E63C2E">
        <w:rPr>
          <w:rFonts w:ascii="Garamond" w:hAnsi="Garamond"/>
          <w:lang w:val="pt-PT"/>
        </w:rPr>
        <w:t>sticas(os) no Sistema de Qualificação Nacional das Profissões</w:t>
      </w:r>
      <w:r>
        <w:rPr>
          <w:rFonts w:ascii="Garamond" w:hAnsi="Garamond"/>
          <w:lang w:val="pt-PT"/>
        </w:rPr>
        <w:t>, bem como da do R</w:t>
      </w:r>
      <w:r w:rsidRPr="00F372E6">
        <w:rPr>
          <w:rFonts w:ascii="Garamond" w:hAnsi="Garamond"/>
          <w:lang w:val="pt-PT"/>
        </w:rPr>
        <w:t>econhecimento, Validação e Certificação de Competências Profissionais (</w:t>
      </w:r>
      <w:proofErr w:type="spellStart"/>
      <w:r w:rsidRPr="00F372E6">
        <w:rPr>
          <w:rFonts w:ascii="Garamond" w:hAnsi="Garamond"/>
          <w:lang w:val="pt-PT"/>
        </w:rPr>
        <w:t>RVCC</w:t>
      </w:r>
      <w:proofErr w:type="spellEnd"/>
      <w:r w:rsidRPr="00F372E6">
        <w:rPr>
          <w:rFonts w:ascii="Garamond" w:hAnsi="Garamond"/>
          <w:lang w:val="pt-PT"/>
        </w:rPr>
        <w:t xml:space="preserve"> Profissional)</w:t>
      </w:r>
      <w:r>
        <w:rPr>
          <w:rFonts w:ascii="Garamond" w:hAnsi="Garamond"/>
          <w:lang w:val="pt-PT"/>
        </w:rPr>
        <w:t>.</w:t>
      </w:r>
    </w:p>
    <w:p w14:paraId="5D1A277A" w14:textId="29ECDAAA" w:rsidR="00FB69C4" w:rsidRPr="001C50C8" w:rsidRDefault="00FB69C4" w:rsidP="00FB69C4">
      <w:pPr>
        <w:spacing w:after="240"/>
        <w:jc w:val="both"/>
        <w:rPr>
          <w:rFonts w:ascii="Garamond" w:hAnsi="Garamond"/>
          <w:lang w:val="pt-PT"/>
        </w:rPr>
      </w:pPr>
      <w:r w:rsidRPr="001C50C8">
        <w:rPr>
          <w:rFonts w:ascii="Garamond" w:hAnsi="Garamond"/>
          <w:lang w:val="pt-PT"/>
        </w:rPr>
        <w:t xml:space="preserve">De referir que Cabo Verde terá de reportar ao Comité </w:t>
      </w:r>
      <w:proofErr w:type="spellStart"/>
      <w:r w:rsidRPr="001C50C8">
        <w:rPr>
          <w:rFonts w:ascii="Garamond" w:hAnsi="Garamond"/>
          <w:lang w:val="pt-PT"/>
        </w:rPr>
        <w:t>CEDAW</w:t>
      </w:r>
      <w:proofErr w:type="spellEnd"/>
      <w:r w:rsidRPr="001C50C8">
        <w:rPr>
          <w:rFonts w:ascii="Garamond" w:hAnsi="Garamond"/>
          <w:lang w:val="pt-PT"/>
        </w:rPr>
        <w:t xml:space="preserve"> </w:t>
      </w:r>
      <w:r w:rsidR="00D244DF">
        <w:rPr>
          <w:rFonts w:ascii="Garamond" w:hAnsi="Garamond"/>
          <w:lang w:val="pt-PT"/>
        </w:rPr>
        <w:t>(</w:t>
      </w:r>
      <w:proofErr w:type="spellStart"/>
      <w:r w:rsidRPr="001C50C8">
        <w:rPr>
          <w:rFonts w:ascii="Garamond" w:hAnsi="Garamond"/>
          <w:lang w:val="pt-PT"/>
        </w:rPr>
        <w:t>junho</w:t>
      </w:r>
      <w:proofErr w:type="spellEnd"/>
      <w:r w:rsidRPr="001C50C8">
        <w:rPr>
          <w:rFonts w:ascii="Garamond" w:hAnsi="Garamond"/>
          <w:lang w:val="pt-PT"/>
        </w:rPr>
        <w:t xml:space="preserve"> 2021</w:t>
      </w:r>
      <w:r w:rsidR="00D244DF">
        <w:rPr>
          <w:rFonts w:ascii="Garamond" w:hAnsi="Garamond"/>
          <w:lang w:val="pt-PT"/>
        </w:rPr>
        <w:t>)</w:t>
      </w:r>
      <w:r w:rsidRPr="001C50C8">
        <w:rPr>
          <w:rFonts w:ascii="Garamond" w:hAnsi="Garamond"/>
          <w:lang w:val="pt-PT"/>
        </w:rPr>
        <w:t xml:space="preserve"> sobre a </w:t>
      </w:r>
      <w:proofErr w:type="spellStart"/>
      <w:r w:rsidRPr="001C50C8">
        <w:rPr>
          <w:rFonts w:ascii="Garamond" w:hAnsi="Garamond"/>
          <w:lang w:val="pt-PT"/>
        </w:rPr>
        <w:t>adoção</w:t>
      </w:r>
      <w:proofErr w:type="spellEnd"/>
      <w:r w:rsidRPr="001C50C8">
        <w:rPr>
          <w:rFonts w:ascii="Garamond" w:hAnsi="Garamond"/>
          <w:lang w:val="pt-PT"/>
        </w:rPr>
        <w:t xml:space="preserve"> de um quadro regulamentar do trabalho doméstico.</w:t>
      </w:r>
      <w:r w:rsidRPr="001C50C8">
        <w:rPr>
          <w:rStyle w:val="Refdenotaderodap"/>
          <w:rFonts w:ascii="Garamond" w:hAnsi="Garamond"/>
          <w:lang w:val="pt-PT"/>
        </w:rPr>
        <w:footnoteReference w:id="25"/>
      </w:r>
    </w:p>
    <w:p w14:paraId="4F695B3F" w14:textId="77777777" w:rsidR="00FB69C4" w:rsidRPr="00C96041" w:rsidRDefault="00FB69C4" w:rsidP="00FB69C4">
      <w:pPr>
        <w:jc w:val="both"/>
        <w:rPr>
          <w:rFonts w:ascii="Garamond" w:hAnsi="Garamond"/>
          <w:lang w:val="pt-PT"/>
        </w:rPr>
      </w:pPr>
      <w:r w:rsidRPr="00C96041">
        <w:rPr>
          <w:rFonts w:ascii="Garamond" w:hAnsi="Garamond"/>
          <w:lang w:val="pt-PT"/>
        </w:rPr>
        <w:t>Relativamente ao sector informal:</w:t>
      </w:r>
    </w:p>
    <w:p w14:paraId="17DE5742" w14:textId="77777777" w:rsidR="00FB69C4" w:rsidRDefault="00FB69C4" w:rsidP="00FB69C4">
      <w:pPr>
        <w:pStyle w:val="PargrafodaLista"/>
        <w:numPr>
          <w:ilvl w:val="0"/>
          <w:numId w:val="13"/>
        </w:numPr>
        <w:spacing w:after="240"/>
        <w:jc w:val="both"/>
        <w:rPr>
          <w:rFonts w:ascii="Garamond" w:hAnsi="Garamond"/>
          <w:lang w:val="pt-PT"/>
        </w:rPr>
      </w:pPr>
      <w:r w:rsidRPr="004C403A">
        <w:rPr>
          <w:rFonts w:ascii="Garamond" w:hAnsi="Garamond"/>
          <w:lang w:val="pt-PT"/>
        </w:rPr>
        <w:t xml:space="preserve">Tendo em conta a </w:t>
      </w:r>
      <w:r w:rsidRPr="004C403A">
        <w:rPr>
          <w:rFonts w:ascii="Garamond" w:hAnsi="Garamond"/>
          <w:i/>
          <w:iCs/>
          <w:lang w:val="pt-PT"/>
        </w:rPr>
        <w:t>Estratégia Nacional de Transição da Economia Informal para o Formal</w:t>
      </w:r>
      <w:r w:rsidRPr="004C403A">
        <w:rPr>
          <w:rFonts w:ascii="Garamond" w:hAnsi="Garamond"/>
          <w:lang w:val="pt-PT"/>
        </w:rPr>
        <w:t xml:space="preserve"> (</w:t>
      </w:r>
      <w:proofErr w:type="spellStart"/>
      <w:r w:rsidRPr="004C403A">
        <w:rPr>
          <w:rFonts w:ascii="Garamond" w:hAnsi="Garamond"/>
          <w:lang w:val="pt-PT"/>
        </w:rPr>
        <w:t>ETIF</w:t>
      </w:r>
      <w:proofErr w:type="spellEnd"/>
      <w:r w:rsidRPr="004C403A">
        <w:rPr>
          <w:rFonts w:ascii="Garamond" w:hAnsi="Garamond"/>
          <w:lang w:val="pt-PT"/>
        </w:rPr>
        <w:t xml:space="preserve"> 2017–2020), em curso de implementação através da Comissão Interinstitucional </w:t>
      </w:r>
      <w:proofErr w:type="spellStart"/>
      <w:r w:rsidRPr="004C403A">
        <w:rPr>
          <w:rFonts w:ascii="Garamond" w:hAnsi="Garamond"/>
          <w:lang w:val="pt-PT"/>
        </w:rPr>
        <w:t>GETIF</w:t>
      </w:r>
      <w:proofErr w:type="spellEnd"/>
      <w:r w:rsidRPr="004C403A">
        <w:rPr>
          <w:rFonts w:ascii="Garamond" w:hAnsi="Garamond"/>
          <w:lang w:val="pt-PT"/>
        </w:rPr>
        <w:t>, assegurar que as mulheres do sector informal, e as associações que as representam, são incluídas e participam de forma significativa na definição de programas e apoios à transição para o formal, com vista a que beneficiem economicamente da transição. Note-se que poderá ser necessária a criação de programas específicos de acordo com diferentes grupos alvo</w:t>
      </w:r>
      <w:r>
        <w:rPr>
          <w:rFonts w:ascii="Garamond" w:hAnsi="Garamond"/>
          <w:lang w:val="pt-PT"/>
        </w:rPr>
        <w:t>.</w:t>
      </w:r>
    </w:p>
    <w:p w14:paraId="47C62A82" w14:textId="77777777" w:rsidR="00FB69C4" w:rsidRPr="004C403A" w:rsidRDefault="00FB69C4" w:rsidP="00FB69C4">
      <w:pPr>
        <w:pStyle w:val="PargrafodaLista"/>
        <w:numPr>
          <w:ilvl w:val="0"/>
          <w:numId w:val="13"/>
        </w:numPr>
        <w:spacing w:after="240"/>
        <w:jc w:val="both"/>
        <w:rPr>
          <w:rFonts w:ascii="Garamond" w:hAnsi="Garamond"/>
          <w:lang w:val="pt-PT"/>
        </w:rPr>
      </w:pPr>
      <w:r>
        <w:rPr>
          <w:rFonts w:ascii="Garamond" w:hAnsi="Garamond"/>
          <w:lang w:val="pt-PT"/>
        </w:rPr>
        <w:t>G</w:t>
      </w:r>
      <w:r w:rsidRPr="004C403A">
        <w:rPr>
          <w:rFonts w:ascii="Garamond" w:hAnsi="Garamond"/>
          <w:lang w:val="pt-PT"/>
        </w:rPr>
        <w:t xml:space="preserve">arantir que os programas de apoio à formalização (ex. assistência técnica para organização da contabilidade, formação na área de negócios, etc.) são adequadamente divulgados junto das mulheres do </w:t>
      </w:r>
      <w:proofErr w:type="spellStart"/>
      <w:r w:rsidRPr="004C403A">
        <w:rPr>
          <w:rFonts w:ascii="Garamond" w:hAnsi="Garamond"/>
          <w:lang w:val="pt-PT"/>
        </w:rPr>
        <w:t>setor</w:t>
      </w:r>
      <w:proofErr w:type="spellEnd"/>
      <w:r w:rsidRPr="004C403A">
        <w:rPr>
          <w:rFonts w:ascii="Garamond" w:hAnsi="Garamond"/>
          <w:lang w:val="pt-PT"/>
        </w:rPr>
        <w:t xml:space="preserve"> informal, e contam com medidas de discriminação positiva e sistemas de seguimento e avaliação sensíveis ao género.</w:t>
      </w:r>
    </w:p>
    <w:p w14:paraId="1859AB86" w14:textId="77777777" w:rsidR="00FB69C4" w:rsidRPr="00C96041" w:rsidRDefault="00FB69C4" w:rsidP="00FB69C4">
      <w:pPr>
        <w:pStyle w:val="PargrafodaLista"/>
        <w:numPr>
          <w:ilvl w:val="0"/>
          <w:numId w:val="12"/>
        </w:numPr>
        <w:spacing w:after="240"/>
        <w:jc w:val="both"/>
        <w:rPr>
          <w:rFonts w:ascii="Garamond" w:hAnsi="Garamond"/>
          <w:lang w:val="pt-PT"/>
        </w:rPr>
      </w:pPr>
      <w:r w:rsidRPr="00C96041">
        <w:rPr>
          <w:rFonts w:ascii="Garamond" w:hAnsi="Garamond"/>
          <w:lang w:val="pt-PT"/>
        </w:rPr>
        <w:t xml:space="preserve">Seguir a evolução do acesso das mulheres do </w:t>
      </w:r>
      <w:proofErr w:type="spellStart"/>
      <w:r w:rsidRPr="00C96041">
        <w:rPr>
          <w:rFonts w:ascii="Garamond" w:hAnsi="Garamond"/>
          <w:lang w:val="pt-PT"/>
        </w:rPr>
        <w:t>setor</w:t>
      </w:r>
      <w:proofErr w:type="spellEnd"/>
      <w:r w:rsidRPr="00C96041">
        <w:rPr>
          <w:rFonts w:ascii="Garamond" w:hAnsi="Garamond"/>
          <w:lang w:val="pt-PT"/>
        </w:rPr>
        <w:t xml:space="preserve"> informal ao </w:t>
      </w:r>
      <w:r>
        <w:rPr>
          <w:rFonts w:ascii="Garamond" w:hAnsi="Garamond"/>
          <w:lang w:val="pt-PT"/>
        </w:rPr>
        <w:t xml:space="preserve">financiamento, incluindo </w:t>
      </w:r>
      <w:r w:rsidRPr="00C96041">
        <w:rPr>
          <w:rFonts w:ascii="Garamond" w:hAnsi="Garamond"/>
          <w:lang w:val="pt-PT"/>
        </w:rPr>
        <w:t>microcrédito</w:t>
      </w:r>
      <w:r>
        <w:rPr>
          <w:rFonts w:ascii="Garamond" w:hAnsi="Garamond"/>
          <w:lang w:val="pt-PT"/>
        </w:rPr>
        <w:t>,</w:t>
      </w:r>
      <w:r w:rsidRPr="00C96041">
        <w:rPr>
          <w:rFonts w:ascii="Garamond" w:hAnsi="Garamond"/>
          <w:lang w:val="pt-PT"/>
        </w:rPr>
        <w:t xml:space="preserve"> e serviços de apoio aos seus negócios, compilando e divulgando regularmente estes dados</w:t>
      </w:r>
      <w:r>
        <w:rPr>
          <w:rFonts w:ascii="Garamond" w:hAnsi="Garamond"/>
          <w:lang w:val="pt-PT"/>
        </w:rPr>
        <w:t>.</w:t>
      </w:r>
    </w:p>
    <w:p w14:paraId="4315F58B" w14:textId="77777777" w:rsidR="00FB69C4" w:rsidRDefault="00FB69C4" w:rsidP="00FB69C4">
      <w:pPr>
        <w:spacing w:after="240"/>
        <w:jc w:val="both"/>
        <w:rPr>
          <w:lang w:val="pt-PT"/>
        </w:rPr>
      </w:pPr>
      <w:r w:rsidRPr="00C96041">
        <w:rPr>
          <w:rFonts w:ascii="Garamond" w:hAnsi="Garamond"/>
          <w:lang w:val="pt-PT"/>
        </w:rPr>
        <w:t>A presença das mulheres no ramo da Agricultura, Produção Animal, Caça, Floresta e Pesca, continua substancialmente mais baixa do que a dos homens: em 2015 este ramo absorvia 19% das pessoas ocupadas, mas apenas 34% eram mulheres e 66% homens, ou seja pouco mais de 1/3 neste ramo eram mulheres; em 2018, absorve 11,8% das pessoas ocupadas, mas apenas 24,4% são mulheres e 75, 6% homens, ou seja</w:t>
      </w:r>
      <w:r>
        <w:rPr>
          <w:rFonts w:ascii="Garamond" w:hAnsi="Garamond"/>
          <w:lang w:val="pt-PT"/>
        </w:rPr>
        <w:t>, a</w:t>
      </w:r>
      <w:r w:rsidRPr="00C96041">
        <w:rPr>
          <w:rFonts w:ascii="Garamond" w:hAnsi="Garamond"/>
          <w:lang w:val="pt-PT"/>
        </w:rPr>
        <w:t xml:space="preserve"> presença das mulheres desceu ainda e menos de ¼ neste ramo são mulheres. Estes dados são preocupantes tendo em conta que a taxa da pobreza é mais elevada em meio rural, onde </w:t>
      </w:r>
      <w:proofErr w:type="spellStart"/>
      <w:r w:rsidRPr="00C96041">
        <w:rPr>
          <w:rFonts w:ascii="Garamond" w:hAnsi="Garamond"/>
          <w:lang w:val="pt-PT"/>
        </w:rPr>
        <w:t>afeta</w:t>
      </w:r>
      <w:proofErr w:type="spellEnd"/>
      <w:r w:rsidRPr="00C96041">
        <w:rPr>
          <w:rFonts w:ascii="Garamond" w:hAnsi="Garamond"/>
          <w:lang w:val="pt-PT"/>
        </w:rPr>
        <w:t xml:space="preserve"> em particular as mulheres, e que no meio rural as oportunidades de trabalho são </w:t>
      </w:r>
      <w:r>
        <w:rPr>
          <w:rFonts w:ascii="Garamond" w:hAnsi="Garamond"/>
          <w:lang w:val="pt-PT"/>
        </w:rPr>
        <w:t xml:space="preserve">pouco </w:t>
      </w:r>
      <w:r w:rsidRPr="00C96041">
        <w:rPr>
          <w:rFonts w:ascii="Garamond" w:hAnsi="Garamond"/>
          <w:lang w:val="pt-PT"/>
        </w:rPr>
        <w:t xml:space="preserve">diversificadas, além do trabalho disponível não ser necessariamente regular, seguro ou rentável. Apesar da taxa de subemprego ter diminuído, de 19,4% da população empregada em 2016, para 14,7%, </w:t>
      </w:r>
      <w:proofErr w:type="spellStart"/>
      <w:r w:rsidRPr="00C96041">
        <w:rPr>
          <w:rFonts w:ascii="Garamond" w:hAnsi="Garamond"/>
          <w:lang w:val="pt-PT"/>
        </w:rPr>
        <w:t>afeta</w:t>
      </w:r>
      <w:proofErr w:type="spellEnd"/>
      <w:r w:rsidRPr="00C96041">
        <w:rPr>
          <w:rFonts w:ascii="Garamond" w:hAnsi="Garamond"/>
          <w:lang w:val="pt-PT"/>
        </w:rPr>
        <w:t xml:space="preserve"> mais de 1 em cada 5 trabalhadores do meio rural (22%): ¼ das mulheres rurais (26,7%) e </w:t>
      </w:r>
      <w:r>
        <w:rPr>
          <w:rFonts w:ascii="Garamond" w:hAnsi="Garamond"/>
          <w:lang w:val="pt-PT"/>
        </w:rPr>
        <w:t xml:space="preserve">1 em cada 5 </w:t>
      </w:r>
      <w:r w:rsidRPr="00C96041">
        <w:rPr>
          <w:rFonts w:ascii="Garamond" w:hAnsi="Garamond"/>
          <w:lang w:val="pt-PT"/>
        </w:rPr>
        <w:t>dos homens deste meio</w:t>
      </w:r>
      <w:r>
        <w:rPr>
          <w:rFonts w:ascii="Garamond" w:hAnsi="Garamond"/>
          <w:lang w:val="pt-PT"/>
        </w:rPr>
        <w:t xml:space="preserve"> (</w:t>
      </w:r>
      <w:r w:rsidRPr="00C96041">
        <w:rPr>
          <w:rFonts w:ascii="Garamond" w:hAnsi="Garamond"/>
          <w:lang w:val="pt-PT"/>
        </w:rPr>
        <w:t>19,1%</w:t>
      </w:r>
      <w:r>
        <w:rPr>
          <w:rFonts w:ascii="Garamond" w:hAnsi="Garamond"/>
          <w:lang w:val="pt-PT"/>
        </w:rPr>
        <w:t>)</w:t>
      </w:r>
      <w:r w:rsidRPr="00C96041">
        <w:rPr>
          <w:lang w:val="pt-PT"/>
        </w:rPr>
        <w:t>.</w:t>
      </w:r>
      <w:r w:rsidRPr="00C96041">
        <w:rPr>
          <w:rStyle w:val="Refdenotaderodap"/>
          <w:rFonts w:ascii="Garamond" w:hAnsi="Garamond"/>
          <w:lang w:val="pt-PT"/>
        </w:rPr>
        <w:footnoteReference w:id="26"/>
      </w:r>
      <w:r w:rsidRPr="00C96041">
        <w:rPr>
          <w:lang w:val="pt-PT"/>
        </w:rPr>
        <w:t xml:space="preserve"> </w:t>
      </w:r>
    </w:p>
    <w:p w14:paraId="3C79A260" w14:textId="77777777" w:rsidR="00FB69C4" w:rsidRDefault="00FB69C4" w:rsidP="00FB69C4">
      <w:pPr>
        <w:spacing w:after="240"/>
        <w:jc w:val="both"/>
        <w:rPr>
          <w:rFonts w:ascii="Garamond" w:hAnsi="Garamond"/>
          <w:lang w:val="pt-PT"/>
        </w:rPr>
      </w:pPr>
      <w:r w:rsidRPr="00C96041">
        <w:rPr>
          <w:rFonts w:ascii="Garamond" w:hAnsi="Garamond"/>
          <w:lang w:val="pt-PT"/>
        </w:rPr>
        <w:t xml:space="preserve">De acordo com os dados do RGA (2015) a população agrícola </w:t>
      </w:r>
      <w:proofErr w:type="spellStart"/>
      <w:r w:rsidRPr="00C96041">
        <w:rPr>
          <w:rFonts w:ascii="Garamond" w:hAnsi="Garamond"/>
          <w:lang w:val="pt-PT"/>
        </w:rPr>
        <w:t>ativa</w:t>
      </w:r>
      <w:proofErr w:type="spellEnd"/>
      <w:r w:rsidRPr="00C96041">
        <w:rPr>
          <w:rFonts w:ascii="Garamond" w:hAnsi="Garamond"/>
          <w:lang w:val="pt-PT"/>
        </w:rPr>
        <w:t xml:space="preserve"> totalizava 92.322 pessoas, sendo 49,7% mulheres e 50,3% homens. A agricultura é feita essencialmente através de explorações agrícolas familiares, que produzem sobretudo para o autoconsumo (87,5% do total, tanto no caso das exploradas por mulheres como por homens) e apenas 3,3% para comercialização, o que acontece sobretudo com as explorações dos homens: apenas 1 em cada 4 explorações agrícolas familiar que comercializa os seus produtos é explorada por mulheres (23,9% versus 76,1% das exploradas por homens). Como no RGA de 2004, as mulheres continuam essencialmente na agricultura de sequeiro, menos rentável: a agricultura de regadio é praticada por menos de 1/3 das mulheres e </w:t>
      </w:r>
      <w:r>
        <w:rPr>
          <w:rFonts w:ascii="Garamond" w:hAnsi="Garamond"/>
          <w:lang w:val="pt-PT"/>
        </w:rPr>
        <w:t xml:space="preserve">mais de </w:t>
      </w:r>
      <w:r w:rsidRPr="00C96041">
        <w:rPr>
          <w:rFonts w:ascii="Garamond" w:hAnsi="Garamond"/>
          <w:lang w:val="pt-PT"/>
        </w:rPr>
        <w:t>2/3 dos homens (respectivamente 29,9% e 70,1%), nalgumas ilhas e conselhos essa proporção é ainda mais baixa, (em Santo Antão e no Fogo, menos de 2 em cada 10 explorações que praticam agricultura de regadio são exploradas por mulheres</w:t>
      </w:r>
      <w:r>
        <w:rPr>
          <w:rFonts w:ascii="Garamond" w:hAnsi="Garamond"/>
          <w:lang w:val="pt-PT"/>
        </w:rPr>
        <w:t>)</w:t>
      </w:r>
      <w:r w:rsidRPr="00C96041">
        <w:rPr>
          <w:rFonts w:ascii="Garamond" w:hAnsi="Garamond"/>
          <w:lang w:val="pt-PT"/>
        </w:rPr>
        <w:t xml:space="preserve">. Relativamente à posse de terras agrícolas, 18,6% da população agrícola é proprietária ou tem direitos de posse das terras agrícolas, sendo 8,5% mulheres e 10,1% homens. </w:t>
      </w:r>
    </w:p>
    <w:p w14:paraId="2156FE4A" w14:textId="1A06B833" w:rsidR="00FB69C4" w:rsidRDefault="00FB69C4" w:rsidP="00FB69C4">
      <w:pPr>
        <w:spacing w:after="240"/>
        <w:jc w:val="both"/>
        <w:rPr>
          <w:rFonts w:ascii="Garamond" w:hAnsi="Garamond"/>
          <w:lang w:val="pt-PT"/>
        </w:rPr>
      </w:pPr>
      <w:r w:rsidRPr="00C96041">
        <w:rPr>
          <w:rFonts w:ascii="Garamond" w:hAnsi="Garamond"/>
          <w:lang w:val="pt-PT"/>
        </w:rPr>
        <w:t>Os 2 anos consecutivos de seca – 2017 e 2018, poderão ter contribuído para a diminuição do peso da agricultura na geração de emprego. A seca teve impacto na disponibilidade de água, agricultura e pecuária e consequentemente na pobreza, saúde e educação, prevendo-se na</w:t>
      </w:r>
      <w:r w:rsidR="00B4676C">
        <w:rPr>
          <w:rFonts w:ascii="Garamond" w:hAnsi="Garamond"/>
          <w:lang w:val="pt-PT"/>
        </w:rPr>
        <w:t xml:space="preserve"> a</w:t>
      </w:r>
      <w:r w:rsidRPr="00C96041">
        <w:rPr>
          <w:rFonts w:ascii="Garamond" w:hAnsi="Garamond"/>
          <w:lang w:val="pt-PT"/>
        </w:rPr>
        <w:t xml:space="preserve">ltura que o pleno impacto da seca fosse visível após Março de 2018. A avaliação das necessidades teve em conta os impactos de género, destacando o agravamento das dificuldades e vulnerabilidades das mulheres chefes de família com a perda de rendimento, o aumento da pobreza de tempo das mulheres e meninas e relatos de aumento de caso de </w:t>
      </w:r>
      <w:proofErr w:type="spellStart"/>
      <w:r w:rsidRPr="00C96041">
        <w:rPr>
          <w:rFonts w:ascii="Garamond" w:hAnsi="Garamond"/>
          <w:lang w:val="pt-PT"/>
        </w:rPr>
        <w:t>VBG</w:t>
      </w:r>
      <w:proofErr w:type="spellEnd"/>
      <w:r w:rsidRPr="00C96041">
        <w:rPr>
          <w:rFonts w:ascii="Garamond" w:hAnsi="Garamond"/>
          <w:lang w:val="pt-PT"/>
        </w:rPr>
        <w:t xml:space="preserve"> contra as mulheres</w:t>
      </w:r>
      <w:r>
        <w:rPr>
          <w:rFonts w:ascii="Garamond" w:hAnsi="Garamond"/>
          <w:lang w:val="pt-PT"/>
        </w:rPr>
        <w:t xml:space="preserve">, bem como </w:t>
      </w:r>
      <w:r w:rsidRPr="00C96041">
        <w:rPr>
          <w:rFonts w:ascii="Garamond" w:hAnsi="Garamond"/>
          <w:lang w:val="pt-PT"/>
        </w:rPr>
        <w:t>do risco de abuso sexual contra meninas,</w:t>
      </w:r>
      <w:r w:rsidRPr="00C96041">
        <w:rPr>
          <w:rStyle w:val="Refdenotaderodap"/>
          <w:rFonts w:ascii="Garamond" w:hAnsi="Garamond"/>
          <w:lang w:val="pt-PT"/>
        </w:rPr>
        <w:footnoteReference w:id="27"/>
      </w:r>
      <w:r w:rsidRPr="00C96041">
        <w:rPr>
          <w:rFonts w:ascii="Garamond" w:hAnsi="Garamond"/>
          <w:lang w:val="pt-PT"/>
        </w:rPr>
        <w:t xml:space="preserve"> e o </w:t>
      </w:r>
      <w:r w:rsidRPr="003C6CAE">
        <w:rPr>
          <w:rFonts w:ascii="Garamond" w:hAnsi="Garamond"/>
          <w:i/>
          <w:iCs/>
          <w:lang w:val="pt-PT"/>
        </w:rPr>
        <w:t>Programa de Emergência e Mitigação da Seca e do Mau Ano Agrícola 2017/2018</w:t>
      </w:r>
      <w:r w:rsidRPr="00C96041">
        <w:rPr>
          <w:rFonts w:ascii="Garamond" w:hAnsi="Garamond"/>
          <w:lang w:val="pt-PT"/>
        </w:rPr>
        <w:t xml:space="preserve"> pr</w:t>
      </w:r>
      <w:r>
        <w:rPr>
          <w:rFonts w:ascii="Garamond" w:hAnsi="Garamond"/>
          <w:lang w:val="pt-PT"/>
        </w:rPr>
        <w:t>evia a priorização d</w:t>
      </w:r>
      <w:r w:rsidRPr="00C96041">
        <w:rPr>
          <w:rFonts w:ascii="Garamond" w:hAnsi="Garamond"/>
          <w:lang w:val="pt-PT"/>
        </w:rPr>
        <w:t xml:space="preserve">as mulheres chefes de famílias no que tange à criação de empregos para as famílias afectadas. Os dados do </w:t>
      </w:r>
      <w:r>
        <w:rPr>
          <w:rFonts w:ascii="Garamond" w:hAnsi="Garamond"/>
          <w:lang w:val="pt-PT"/>
        </w:rPr>
        <w:t xml:space="preserve">programa </w:t>
      </w:r>
      <w:proofErr w:type="spellStart"/>
      <w:r w:rsidRPr="00C96041">
        <w:rPr>
          <w:rFonts w:ascii="Garamond" w:hAnsi="Garamond"/>
          <w:lang w:val="pt-PT"/>
        </w:rPr>
        <w:t>POSER</w:t>
      </w:r>
      <w:proofErr w:type="spellEnd"/>
      <w:r w:rsidRPr="00C96041">
        <w:rPr>
          <w:rFonts w:ascii="Garamond" w:hAnsi="Garamond"/>
          <w:lang w:val="pt-PT"/>
        </w:rPr>
        <w:t xml:space="preserve">, de combate à pobreza rural, mostram que os </w:t>
      </w:r>
      <w:proofErr w:type="spellStart"/>
      <w:r w:rsidRPr="00C96041">
        <w:rPr>
          <w:rFonts w:ascii="Garamond" w:hAnsi="Garamond"/>
          <w:lang w:val="pt-PT"/>
        </w:rPr>
        <w:t>projetos</w:t>
      </w:r>
      <w:proofErr w:type="spellEnd"/>
      <w:r w:rsidRPr="00C96041">
        <w:rPr>
          <w:rFonts w:ascii="Garamond" w:hAnsi="Garamond"/>
          <w:lang w:val="pt-PT"/>
        </w:rPr>
        <w:t xml:space="preserve"> </w:t>
      </w:r>
      <w:r>
        <w:rPr>
          <w:rFonts w:ascii="Garamond" w:hAnsi="Garamond"/>
          <w:lang w:val="pt-PT"/>
        </w:rPr>
        <w:t xml:space="preserve">financiados </w:t>
      </w:r>
      <w:r w:rsidRPr="00C96041">
        <w:rPr>
          <w:rFonts w:ascii="Garamond" w:hAnsi="Garamond"/>
          <w:lang w:val="pt-PT"/>
        </w:rPr>
        <w:t xml:space="preserve">que menos beneficiaram as mulheres são os projectos agrícolas e </w:t>
      </w:r>
      <w:proofErr w:type="spellStart"/>
      <w:r w:rsidRPr="00C96041">
        <w:rPr>
          <w:rFonts w:ascii="Garamond" w:hAnsi="Garamond"/>
          <w:lang w:val="pt-PT"/>
        </w:rPr>
        <w:t>projetos</w:t>
      </w:r>
      <w:proofErr w:type="spellEnd"/>
      <w:r w:rsidRPr="00C96041">
        <w:rPr>
          <w:rFonts w:ascii="Garamond" w:hAnsi="Garamond"/>
          <w:lang w:val="pt-PT"/>
        </w:rPr>
        <w:t xml:space="preserve"> estruturantes em torno do acesso à água, tecnologias e práticas agrícolas e de criação modernas, em virtude do pouco acesso que as mulheres têm à terra, bem como da falta de experiência e domínio das técnicas necessárias para as actividades em questão.</w:t>
      </w:r>
      <w:r w:rsidRPr="00C96041">
        <w:rPr>
          <w:rStyle w:val="Refdenotaderodap"/>
          <w:rFonts w:ascii="Garamond" w:hAnsi="Garamond"/>
          <w:lang w:val="pt-PT"/>
        </w:rPr>
        <w:footnoteReference w:id="28"/>
      </w:r>
      <w:r>
        <w:rPr>
          <w:rFonts w:ascii="Garamond" w:hAnsi="Garamond"/>
          <w:lang w:val="pt-PT"/>
        </w:rPr>
        <w:t xml:space="preserve"> </w:t>
      </w:r>
    </w:p>
    <w:p w14:paraId="21662651" w14:textId="77777777" w:rsidR="00FB69C4" w:rsidRDefault="00FB69C4" w:rsidP="00FB69C4">
      <w:pPr>
        <w:jc w:val="both"/>
        <w:rPr>
          <w:rFonts w:ascii="Garamond" w:hAnsi="Garamond" w:cs="Arial"/>
          <w:lang w:val="pt-PT"/>
        </w:rPr>
      </w:pPr>
      <w:r>
        <w:rPr>
          <w:rFonts w:ascii="Garamond" w:hAnsi="Garamond"/>
          <w:lang w:val="pt-PT"/>
        </w:rPr>
        <w:t>Concomitantemente, no âmbito das Operações de Cadastro Predial realizadas nas ilhas do Sal, São Vicente, Boa Vista e Maio, foram identificados desafios substanciais, e</w:t>
      </w:r>
      <w:r w:rsidRPr="00AD4426">
        <w:rPr>
          <w:rFonts w:ascii="Garamond" w:hAnsi="Garamond" w:cs="Arial"/>
          <w:lang w:val="pt-PT"/>
        </w:rPr>
        <w:t xml:space="preserve">m particular no que diz respeito à formalização de direitos de homens e mulheres em união de facto (estando as mulheres em desvantagem </w:t>
      </w:r>
      <w:r w:rsidRPr="00DE3E00">
        <w:rPr>
          <w:rFonts w:ascii="Garamond" w:hAnsi="Garamond" w:cs="Arial"/>
          <w:lang w:val="pt-PT"/>
        </w:rPr>
        <w:t>por terem, com menos frequência do que os homens</w:t>
      </w:r>
      <w:r>
        <w:rPr>
          <w:rFonts w:ascii="Garamond" w:hAnsi="Garamond" w:cs="Arial"/>
          <w:lang w:val="pt-PT"/>
        </w:rPr>
        <w:t>,</w:t>
      </w:r>
      <w:r w:rsidRPr="00DE3E00">
        <w:rPr>
          <w:rFonts w:ascii="Garamond" w:hAnsi="Garamond" w:cs="Arial"/>
          <w:lang w:val="pt-PT"/>
        </w:rPr>
        <w:t xml:space="preserve"> o seu nome nos documentos). Na sequência destas operações foi feito um levantamento participativos dos desafios e boas práticas implementadas, que foi sistematizada numa matriz de recomendações, cuja implementação carece de seguimento.</w:t>
      </w:r>
      <w:r w:rsidRPr="00AD4426">
        <w:rPr>
          <w:rFonts w:ascii="Garamond" w:hAnsi="Garamond" w:cs="Arial"/>
          <w:lang w:val="pt-PT"/>
        </w:rPr>
        <w:t xml:space="preserve"> </w:t>
      </w:r>
      <w:r>
        <w:rPr>
          <w:rFonts w:ascii="Garamond" w:hAnsi="Garamond" w:cs="Arial"/>
          <w:lang w:val="pt-PT"/>
        </w:rPr>
        <w:t xml:space="preserve">O </w:t>
      </w:r>
      <w:proofErr w:type="spellStart"/>
      <w:r>
        <w:rPr>
          <w:rFonts w:ascii="Garamond" w:hAnsi="Garamond" w:cs="Arial"/>
          <w:lang w:val="pt-PT"/>
        </w:rPr>
        <w:t>IDSR</w:t>
      </w:r>
      <w:proofErr w:type="spellEnd"/>
      <w:r>
        <w:rPr>
          <w:rFonts w:ascii="Garamond" w:hAnsi="Garamond" w:cs="Arial"/>
          <w:lang w:val="pt-PT"/>
        </w:rPr>
        <w:t xml:space="preserve"> III (2018) incluiu indicadores sobre titulação de terra, </w:t>
      </w:r>
      <w:r w:rsidRPr="00D70684">
        <w:rPr>
          <w:rFonts w:ascii="Garamond" w:hAnsi="Garamond" w:cs="Arial"/>
          <w:u w:val="single"/>
          <w:lang w:val="pt-PT"/>
        </w:rPr>
        <w:t>para quem tem terra</w:t>
      </w:r>
      <w:r>
        <w:rPr>
          <w:rFonts w:ascii="Garamond" w:hAnsi="Garamond" w:cs="Arial"/>
          <w:lang w:val="pt-PT"/>
        </w:rPr>
        <w:t>. Verifica-se que:</w:t>
      </w:r>
    </w:p>
    <w:p w14:paraId="66D8A533" w14:textId="77777777" w:rsidR="00FB69C4" w:rsidRDefault="00FB69C4" w:rsidP="00786DEC">
      <w:pPr>
        <w:pStyle w:val="PargrafodaLista"/>
        <w:numPr>
          <w:ilvl w:val="0"/>
          <w:numId w:val="34"/>
        </w:numPr>
        <w:jc w:val="both"/>
        <w:rPr>
          <w:rFonts w:ascii="Garamond" w:hAnsi="Garamond" w:cs="Arial"/>
          <w:lang w:val="pt-PT"/>
        </w:rPr>
      </w:pPr>
      <w:r>
        <w:rPr>
          <w:rFonts w:ascii="Garamond" w:hAnsi="Garamond" w:cs="Arial"/>
          <w:lang w:val="pt-PT"/>
        </w:rPr>
        <w:t>Globalmente, para quem tem terras, não é diferente a proporção de homens e mulheres que têm o seu nome num título de terra (58,9% homens 58,5% mulheres)</w:t>
      </w:r>
    </w:p>
    <w:p w14:paraId="20468313" w14:textId="77777777" w:rsidR="00FB69C4" w:rsidRDefault="00FB69C4" w:rsidP="00786DEC">
      <w:pPr>
        <w:pStyle w:val="PargrafodaLista"/>
        <w:numPr>
          <w:ilvl w:val="0"/>
          <w:numId w:val="34"/>
        </w:numPr>
        <w:jc w:val="both"/>
        <w:rPr>
          <w:rFonts w:ascii="Garamond" w:hAnsi="Garamond" w:cs="Arial"/>
          <w:lang w:val="pt-PT"/>
        </w:rPr>
      </w:pPr>
      <w:r>
        <w:rPr>
          <w:rFonts w:ascii="Garamond" w:hAnsi="Garamond" w:cs="Arial"/>
          <w:lang w:val="pt-PT"/>
        </w:rPr>
        <w:t>Estas proporções variam substancialmente com o nível de bem-estar e educativo tanto de homens como mulheres: quanto menor os níveis, maior a proporção de pessoas com terras não documentada – posse informal)</w:t>
      </w:r>
    </w:p>
    <w:p w14:paraId="4C1F38CF" w14:textId="77777777" w:rsidR="00FB69C4" w:rsidRDefault="00FB69C4" w:rsidP="00786DEC">
      <w:pPr>
        <w:pStyle w:val="PargrafodaLista"/>
        <w:numPr>
          <w:ilvl w:val="0"/>
          <w:numId w:val="34"/>
        </w:numPr>
        <w:jc w:val="both"/>
        <w:rPr>
          <w:rFonts w:ascii="Garamond" w:hAnsi="Garamond" w:cs="Arial"/>
          <w:lang w:val="pt-PT"/>
        </w:rPr>
      </w:pPr>
      <w:r>
        <w:rPr>
          <w:rFonts w:ascii="Garamond" w:hAnsi="Garamond" w:cs="Arial"/>
          <w:lang w:val="pt-PT"/>
        </w:rPr>
        <w:t>As ilhas onde se regista menor informalidade, tanto para homens como para mulheres, são as 4 ilhas onde já foi realizada a Operação do Cadastro Predial e São Nicolau, e que apresenta taxas elevadas de mulheres que têm o seu nome no título, seja conjuntamente com outro(s) titular(</w:t>
      </w:r>
      <w:proofErr w:type="spellStart"/>
      <w:r>
        <w:rPr>
          <w:rFonts w:ascii="Garamond" w:hAnsi="Garamond" w:cs="Arial"/>
          <w:lang w:val="pt-PT"/>
        </w:rPr>
        <w:t>es</w:t>
      </w:r>
      <w:proofErr w:type="spellEnd"/>
      <w:r>
        <w:rPr>
          <w:rFonts w:ascii="Garamond" w:hAnsi="Garamond" w:cs="Arial"/>
          <w:lang w:val="pt-PT"/>
        </w:rPr>
        <w:t>) ou como única titular, demonstrando o impacto das estratégia de género das Operações, nas 4 ilhas contempladas.</w:t>
      </w:r>
    </w:p>
    <w:p w14:paraId="64D32CEC" w14:textId="77777777" w:rsidR="00FB69C4" w:rsidRDefault="00FB69C4" w:rsidP="00786DEC">
      <w:pPr>
        <w:pStyle w:val="PargrafodaLista"/>
        <w:numPr>
          <w:ilvl w:val="0"/>
          <w:numId w:val="34"/>
        </w:numPr>
        <w:jc w:val="both"/>
        <w:rPr>
          <w:rFonts w:ascii="Garamond" w:hAnsi="Garamond" w:cs="Arial"/>
          <w:lang w:val="pt-PT"/>
        </w:rPr>
      </w:pPr>
      <w:r>
        <w:rPr>
          <w:rFonts w:ascii="Garamond" w:hAnsi="Garamond" w:cs="Arial"/>
          <w:lang w:val="pt-PT"/>
        </w:rPr>
        <w:t>As ilhas com maior informalidade tanto para homens como para mulheres são Santo Antão, Fogo e Santiago Sul, ilhas predominantemente agrícolas.</w:t>
      </w:r>
      <w:r>
        <w:rPr>
          <w:rStyle w:val="Refdenotaderodap"/>
          <w:rFonts w:ascii="Garamond" w:hAnsi="Garamond" w:cs="Arial"/>
          <w:lang w:val="pt-PT"/>
        </w:rPr>
        <w:footnoteReference w:id="29"/>
      </w:r>
    </w:p>
    <w:p w14:paraId="146F3DC4" w14:textId="77777777" w:rsidR="00FB69C4" w:rsidRPr="00C96041" w:rsidRDefault="00FB69C4" w:rsidP="00FB69C4">
      <w:pPr>
        <w:jc w:val="both"/>
        <w:rPr>
          <w:rFonts w:ascii="Garamond" w:hAnsi="Garamond"/>
          <w:lang w:val="pt-PT"/>
        </w:rPr>
      </w:pPr>
    </w:p>
    <w:p w14:paraId="0AA14E7D" w14:textId="33DE292E" w:rsidR="00FB69C4" w:rsidRPr="001C50C8" w:rsidRDefault="00FB69C4" w:rsidP="00FB69C4">
      <w:pPr>
        <w:pStyle w:val="PargrafodaLista"/>
        <w:numPr>
          <w:ilvl w:val="0"/>
          <w:numId w:val="12"/>
        </w:numPr>
        <w:spacing w:after="240"/>
        <w:jc w:val="both"/>
        <w:rPr>
          <w:rFonts w:ascii="Garamond" w:hAnsi="Garamond" w:cs="Arial"/>
          <w:lang w:val="pt-BR"/>
        </w:rPr>
      </w:pPr>
      <w:r w:rsidRPr="001C50C8">
        <w:rPr>
          <w:rFonts w:ascii="Garamond" w:hAnsi="Garamond" w:cs="Arial"/>
          <w:lang w:val="pt-BR"/>
        </w:rPr>
        <w:t>Assim, será necessário prestar assitência técnica para o desenvolvimento de capacidades a todos os níveis do MAA, para a efetiva implementação dos compromissos e objetivos de género  dos seus principais programas</w:t>
      </w:r>
      <w:r w:rsidR="007F1765">
        <w:rPr>
          <w:rFonts w:ascii="Garamond" w:hAnsi="Garamond" w:cs="Arial"/>
          <w:lang w:val="pt-BR"/>
        </w:rPr>
        <w:t>, incluindo as medidas de a secas, entre outras crises</w:t>
      </w:r>
      <w:r>
        <w:rPr>
          <w:rFonts w:ascii="Garamond" w:hAnsi="Garamond" w:cs="Arial"/>
          <w:lang w:val="pt-BR"/>
        </w:rPr>
        <w:t xml:space="preserve"> (considerando as cadeias de valor, acesso à terra</w:t>
      </w:r>
      <w:r w:rsidR="007F1765">
        <w:rPr>
          <w:rFonts w:ascii="Garamond" w:hAnsi="Garamond" w:cs="Arial"/>
          <w:lang w:val="pt-BR"/>
        </w:rPr>
        <w:t>, à água, a</w:t>
      </w:r>
      <w:r>
        <w:rPr>
          <w:rFonts w:ascii="Garamond" w:hAnsi="Garamond" w:cs="Arial"/>
          <w:lang w:val="pt-BR"/>
        </w:rPr>
        <w:t>o crédito</w:t>
      </w:r>
      <w:r w:rsidR="007F1765">
        <w:rPr>
          <w:rFonts w:ascii="Garamond" w:hAnsi="Garamond" w:cs="Arial"/>
          <w:lang w:val="pt-BR"/>
        </w:rPr>
        <w:t xml:space="preserve"> e a </w:t>
      </w:r>
      <w:r>
        <w:rPr>
          <w:rFonts w:ascii="Garamond" w:hAnsi="Garamond" w:cs="Arial"/>
          <w:lang w:val="pt-BR"/>
        </w:rPr>
        <w:t xml:space="preserve">participação), </w:t>
      </w:r>
      <w:r w:rsidRPr="001C50C8">
        <w:rPr>
          <w:rFonts w:ascii="Garamond" w:hAnsi="Garamond" w:cs="Arial"/>
          <w:lang w:val="pt-BR"/>
        </w:rPr>
        <w:t xml:space="preserve">bem como para </w:t>
      </w:r>
      <w:r>
        <w:rPr>
          <w:rFonts w:ascii="Garamond" w:hAnsi="Garamond" w:cs="Arial"/>
          <w:lang w:val="pt-BR"/>
        </w:rPr>
        <w:t xml:space="preserve">seguir </w:t>
      </w:r>
      <w:r w:rsidRPr="001C50C8">
        <w:rPr>
          <w:rFonts w:ascii="Garamond" w:hAnsi="Garamond" w:cs="Arial"/>
          <w:lang w:val="pt-BR"/>
        </w:rPr>
        <w:t>e avaliar resultados e impactos de género (</w:t>
      </w:r>
      <w:r>
        <w:rPr>
          <w:rFonts w:ascii="Garamond" w:hAnsi="Garamond" w:cs="Arial"/>
          <w:lang w:val="pt-BR"/>
        </w:rPr>
        <w:t xml:space="preserve">medida </w:t>
      </w:r>
      <w:r w:rsidRPr="001C50C8">
        <w:rPr>
          <w:rFonts w:ascii="Garamond" w:hAnsi="Garamond"/>
          <w:lang w:val="pt-PT"/>
        </w:rPr>
        <w:t xml:space="preserve">do Eixo </w:t>
      </w:r>
      <w:r w:rsidRPr="001C50C8">
        <w:rPr>
          <w:rFonts w:ascii="Garamond" w:hAnsi="Garamond"/>
          <w:highlight w:val="yellow"/>
          <w:lang w:val="pt-PT"/>
        </w:rPr>
        <w:t>6</w:t>
      </w:r>
      <w:r w:rsidRPr="001C50C8">
        <w:rPr>
          <w:rFonts w:ascii="Garamond" w:hAnsi="Garamond"/>
          <w:lang w:val="pt-PT"/>
        </w:rPr>
        <w:t>)</w:t>
      </w:r>
      <w:r>
        <w:rPr>
          <w:rFonts w:ascii="Garamond" w:hAnsi="Garamond"/>
          <w:lang w:val="pt-PT"/>
        </w:rPr>
        <w:t>.</w:t>
      </w:r>
      <w:r>
        <w:rPr>
          <w:rStyle w:val="Refdenotaderodap"/>
          <w:rFonts w:ascii="Garamond" w:hAnsi="Garamond"/>
          <w:lang w:val="pt-PT"/>
        </w:rPr>
        <w:footnoteReference w:id="30"/>
      </w:r>
    </w:p>
    <w:p w14:paraId="694CD36B" w14:textId="77777777" w:rsidR="00FB69C4" w:rsidRPr="00C548C3" w:rsidRDefault="00FB69C4" w:rsidP="00FB69C4">
      <w:pPr>
        <w:pStyle w:val="PargrafodaLista"/>
        <w:numPr>
          <w:ilvl w:val="0"/>
          <w:numId w:val="12"/>
        </w:numPr>
        <w:spacing w:after="240"/>
        <w:jc w:val="both"/>
        <w:rPr>
          <w:rFonts w:ascii="Garamond" w:hAnsi="Garamond"/>
          <w:lang w:val="pt-PT"/>
        </w:rPr>
      </w:pPr>
      <w:r w:rsidRPr="001C50C8">
        <w:rPr>
          <w:rFonts w:ascii="Garamond" w:hAnsi="Garamond"/>
          <w:lang w:val="pt-BR"/>
        </w:rPr>
        <w:t xml:space="preserve">Devem ser divulgadas e generalizadas aos boas práticas identificadas nos programas estruturados para a inserção laboral de mulheres no meio rural, incluindo exemplos de negócios verdes das mulheres no mundo rural, na economia azul, no setor turístico, os exemplos identificados pelo Programa POSER para o envolvimento das mulheres no projetos </w:t>
      </w:r>
      <w:r w:rsidRPr="001C50C8">
        <w:rPr>
          <w:rFonts w:ascii="Garamond" w:hAnsi="Garamond"/>
          <w:lang w:val="pt-PT"/>
        </w:rPr>
        <w:t xml:space="preserve">agrícolas, especialmente os estruturantes (ex. parceria com Município do Tarrafal, num microprojecto de mobilização de água para beneficiar 30 agricultores em parcelas irrigadas com gota a gota, 27 dos quais mulheres; unidades de produção hortícola </w:t>
      </w:r>
      <w:r w:rsidRPr="00C548C3">
        <w:rPr>
          <w:rFonts w:ascii="Garamond" w:hAnsi="Garamond"/>
          <w:lang w:val="pt-PT"/>
        </w:rPr>
        <w:t>hidropónica</w:t>
      </w:r>
      <w:r w:rsidRPr="00636170">
        <w:rPr>
          <w:rFonts w:ascii="Garamond" w:hAnsi="Garamond"/>
          <w:lang w:val="pt-PT"/>
        </w:rPr>
        <w:t xml:space="preserve"> </w:t>
      </w:r>
      <w:r w:rsidRPr="00C548C3">
        <w:rPr>
          <w:rFonts w:ascii="Garamond" w:hAnsi="Garamond"/>
          <w:lang w:val="pt-PT"/>
        </w:rPr>
        <w:t xml:space="preserve">em serra, contornando questões de posse de terra); bem como do Programa de Inserção </w:t>
      </w:r>
      <w:proofErr w:type="spellStart"/>
      <w:r w:rsidRPr="00C548C3">
        <w:rPr>
          <w:rFonts w:ascii="Garamond" w:hAnsi="Garamond"/>
          <w:lang w:val="pt-PT"/>
        </w:rPr>
        <w:t>pelo</w:t>
      </w:r>
      <w:proofErr w:type="spellEnd"/>
      <w:r w:rsidRPr="00C548C3">
        <w:rPr>
          <w:rFonts w:ascii="Garamond" w:hAnsi="Garamond"/>
          <w:lang w:val="pt-PT"/>
        </w:rPr>
        <w:t xml:space="preserve"> Rendimento (ex. apoio a mulheres para produção de hortícolas e na submissão de processos de acesso à terra, água e tecnologias </w:t>
      </w:r>
      <w:r>
        <w:rPr>
          <w:rFonts w:ascii="Garamond" w:hAnsi="Garamond"/>
          <w:lang w:val="pt-PT"/>
        </w:rPr>
        <w:t>n</w:t>
      </w:r>
      <w:r w:rsidRPr="00C548C3">
        <w:rPr>
          <w:rFonts w:ascii="Garamond" w:hAnsi="Garamond"/>
          <w:lang w:val="pt-PT"/>
        </w:rPr>
        <w:t xml:space="preserve"> Câmara de São Miguel).</w:t>
      </w:r>
    </w:p>
    <w:p w14:paraId="4357B10C" w14:textId="77777777" w:rsidR="00FB69C4" w:rsidRDefault="00FB69C4" w:rsidP="00FB69C4">
      <w:pPr>
        <w:pStyle w:val="PargrafodaLista"/>
        <w:numPr>
          <w:ilvl w:val="0"/>
          <w:numId w:val="12"/>
        </w:numPr>
        <w:spacing w:after="240"/>
        <w:ind w:left="714" w:hanging="357"/>
        <w:jc w:val="both"/>
        <w:rPr>
          <w:rFonts w:ascii="Garamond" w:hAnsi="Garamond"/>
          <w:lang w:val="pt-PT"/>
        </w:rPr>
      </w:pPr>
      <w:r w:rsidRPr="00C96041">
        <w:rPr>
          <w:rFonts w:ascii="Garamond" w:hAnsi="Garamond"/>
          <w:lang w:val="pt-PT"/>
        </w:rPr>
        <w:t xml:space="preserve">Generalizar a prática de avaliar os impactos de género nas respostas pós-crise e dar continuidade à integração do género nos programas de redução do risco de desastres, resiliência e mitigação dos efeitos das mudanças climáticas, tais como o </w:t>
      </w:r>
      <w:proofErr w:type="spellStart"/>
      <w:r w:rsidRPr="00C96041">
        <w:rPr>
          <w:rFonts w:ascii="Garamond" w:hAnsi="Garamond"/>
          <w:i/>
          <w:iCs/>
          <w:lang w:val="pt-PT"/>
        </w:rPr>
        <w:t>Projeto</w:t>
      </w:r>
      <w:proofErr w:type="spellEnd"/>
      <w:r w:rsidRPr="00C96041">
        <w:rPr>
          <w:rFonts w:ascii="Garamond" w:hAnsi="Garamond"/>
          <w:i/>
          <w:iCs/>
          <w:lang w:val="pt-PT"/>
        </w:rPr>
        <w:t xml:space="preserve"> de Reforço da Capacidade de Adaptação e Mitigação do Sector Florestal em Cabo Verde</w:t>
      </w:r>
      <w:r w:rsidRPr="00C96041">
        <w:rPr>
          <w:rFonts w:ascii="Garamond" w:hAnsi="Garamond"/>
          <w:lang w:val="pt-PT"/>
        </w:rPr>
        <w:t xml:space="preserve">, </w:t>
      </w:r>
      <w:proofErr w:type="spellStart"/>
      <w:r w:rsidRPr="00C96041">
        <w:rPr>
          <w:rFonts w:ascii="Garamond" w:hAnsi="Garamond"/>
          <w:i/>
          <w:iCs/>
          <w:lang w:val="pt-PT"/>
        </w:rPr>
        <w:t>Projeto</w:t>
      </w:r>
      <w:proofErr w:type="spellEnd"/>
      <w:r w:rsidRPr="00C96041">
        <w:rPr>
          <w:rFonts w:ascii="Garamond" w:hAnsi="Garamond"/>
          <w:i/>
          <w:iCs/>
          <w:lang w:val="pt-PT"/>
        </w:rPr>
        <w:t xml:space="preserve"> de Integração da Conservação da Biodiversidade no </w:t>
      </w:r>
      <w:proofErr w:type="spellStart"/>
      <w:r w:rsidRPr="00C96041">
        <w:rPr>
          <w:rFonts w:ascii="Garamond" w:hAnsi="Garamond"/>
          <w:i/>
          <w:iCs/>
          <w:lang w:val="pt-PT"/>
        </w:rPr>
        <w:t>Setor</w:t>
      </w:r>
      <w:proofErr w:type="spellEnd"/>
      <w:r w:rsidRPr="00C96041">
        <w:rPr>
          <w:rFonts w:ascii="Garamond" w:hAnsi="Garamond"/>
          <w:i/>
          <w:iCs/>
          <w:lang w:val="pt-PT"/>
        </w:rPr>
        <w:t xml:space="preserve"> do Turismo e o Reforço do Sistema de Áreas Protegidas de Cabo Verde</w:t>
      </w:r>
      <w:r w:rsidRPr="00C96041">
        <w:rPr>
          <w:rFonts w:ascii="Garamond" w:hAnsi="Garamond"/>
          <w:lang w:val="pt-PT"/>
        </w:rPr>
        <w:t xml:space="preserve">, o </w:t>
      </w:r>
      <w:proofErr w:type="spellStart"/>
      <w:r w:rsidRPr="00C96041">
        <w:rPr>
          <w:rFonts w:ascii="Garamond" w:hAnsi="Garamond"/>
          <w:i/>
          <w:iCs/>
          <w:lang w:val="pt-PT"/>
        </w:rPr>
        <w:t>Projeto</w:t>
      </w:r>
      <w:proofErr w:type="spellEnd"/>
      <w:r w:rsidRPr="00C96041">
        <w:rPr>
          <w:rFonts w:ascii="Garamond" w:hAnsi="Garamond"/>
          <w:i/>
          <w:iCs/>
          <w:lang w:val="pt-PT"/>
        </w:rPr>
        <w:t xml:space="preserve"> para a Adaptação da Agricultura às Mudanças Climáticas</w:t>
      </w:r>
      <w:r w:rsidRPr="00C96041">
        <w:rPr>
          <w:rFonts w:ascii="Garamond" w:hAnsi="Garamond"/>
          <w:lang w:val="pt-PT"/>
        </w:rPr>
        <w:t>, entre outros, garantido que as boas práticas sejam documentadas e divulgadas.</w:t>
      </w:r>
    </w:p>
    <w:p w14:paraId="0A845662" w14:textId="53D889DA" w:rsidR="007F1765" w:rsidRPr="007F1765" w:rsidRDefault="00FB69C4" w:rsidP="007F1765">
      <w:pPr>
        <w:pStyle w:val="PargrafodaLista"/>
        <w:numPr>
          <w:ilvl w:val="0"/>
          <w:numId w:val="12"/>
        </w:numPr>
        <w:spacing w:after="240"/>
        <w:ind w:left="714" w:hanging="357"/>
        <w:jc w:val="both"/>
        <w:rPr>
          <w:rFonts w:ascii="Garamond" w:hAnsi="Garamond"/>
          <w:lang w:val="pt-PT"/>
        </w:rPr>
      </w:pPr>
      <w:r>
        <w:rPr>
          <w:rFonts w:ascii="Garamond" w:hAnsi="Garamond"/>
          <w:lang w:val="pt-PT"/>
        </w:rPr>
        <w:t xml:space="preserve">Continuar a integrar a abordagem e género nas Operações de Cadastro Predial à medida que forem realizadas no país e garantir a implementação da </w:t>
      </w:r>
      <w:r w:rsidRPr="00DE3E00">
        <w:rPr>
          <w:rFonts w:ascii="Garamond" w:hAnsi="Garamond" w:cs="Arial"/>
          <w:lang w:val="pt-PT"/>
        </w:rPr>
        <w:t>matriz de recomendações</w:t>
      </w:r>
      <w:r>
        <w:rPr>
          <w:rFonts w:ascii="Garamond" w:hAnsi="Garamond" w:cs="Arial"/>
          <w:lang w:val="pt-PT"/>
        </w:rPr>
        <w:t xml:space="preserve"> existente para dar respostas aos desafios sociais e de género identificados como remanescentes </w:t>
      </w:r>
      <w:r w:rsidRPr="001C50C8">
        <w:rPr>
          <w:rFonts w:ascii="Garamond" w:hAnsi="Garamond"/>
          <w:lang w:val="pt-PT"/>
        </w:rPr>
        <w:t xml:space="preserve">(medida que fará parte do Eixo </w:t>
      </w:r>
      <w:r w:rsidRPr="001C50C8">
        <w:rPr>
          <w:rFonts w:ascii="Garamond" w:hAnsi="Garamond"/>
          <w:highlight w:val="yellow"/>
          <w:lang w:val="pt-PT"/>
        </w:rPr>
        <w:t>6</w:t>
      </w:r>
      <w:r w:rsidRPr="001C50C8">
        <w:rPr>
          <w:rFonts w:ascii="Garamond" w:hAnsi="Garamond"/>
          <w:lang w:val="pt-PT"/>
        </w:rPr>
        <w:t>).</w:t>
      </w:r>
    </w:p>
    <w:p w14:paraId="496C335F" w14:textId="77777777" w:rsidR="00FB69C4" w:rsidRDefault="00FB69C4" w:rsidP="00FB69C4">
      <w:pPr>
        <w:jc w:val="both"/>
        <w:rPr>
          <w:rFonts w:ascii="Garamond" w:eastAsia="Times New Roman" w:hAnsi="Garamond" w:cs="Tahoma"/>
          <w:bCs/>
          <w:sz w:val="28"/>
          <w:szCs w:val="28"/>
          <w:lang w:val="pt-PT" w:eastAsia="pt-PT"/>
        </w:rPr>
      </w:pPr>
      <w:r w:rsidRPr="00FA40B1">
        <w:rPr>
          <w:rFonts w:ascii="Garamond" w:hAnsi="Garamond"/>
          <w:lang w:val="pt-PT"/>
        </w:rPr>
        <w:t>Analisando a entidade que tem o vínculo com o trabalhador, em 2018, o sector privado é o maior empregador no país (40,4%), seguido dos trabalhadores por conta própria (26%). Contudo o sector privado emprega quase 1 em cada 2 homens (48,7%) e menos de 1/3 das mulheres (30%), estando as mulheres mais representadas no trabalho por conta própria, que emprega 29,6% das mulheres e 23,2% dos homens. Em termos da l</w:t>
      </w:r>
      <w:r w:rsidRPr="00FA40B1">
        <w:rPr>
          <w:rFonts w:ascii="Garamond" w:eastAsia="Times New Roman" w:hAnsi="Garamond" w:cs="Tahoma"/>
          <w:bCs/>
          <w:lang w:val="pt-PT" w:eastAsia="pt-PT"/>
        </w:rPr>
        <w:t xml:space="preserve">iderança no sector privado, os dados disponíveis datam de </w:t>
      </w:r>
      <w:r w:rsidRPr="00FA40B1">
        <w:rPr>
          <w:rFonts w:ascii="Garamond" w:hAnsi="Garamond"/>
          <w:lang w:val="pt-PT"/>
        </w:rPr>
        <w:t>2012:</w:t>
      </w:r>
      <w:r w:rsidRPr="00FA40B1">
        <w:rPr>
          <w:rFonts w:ascii="Garamond" w:eastAsia="Times New Roman" w:hAnsi="Garamond" w:cs="Tahoma"/>
          <w:bCs/>
          <w:lang w:val="pt-PT" w:eastAsia="pt-PT"/>
        </w:rPr>
        <w:t xml:space="preserve"> a maioria das empresas em Cabo Verde são geridas por homens (65% versus 35% por mulheres), proporção que desce para 18% se forem consideradas as empresas com contabilidade organizada.</w:t>
      </w:r>
      <w:r w:rsidRPr="00C96041">
        <w:rPr>
          <w:rStyle w:val="Refdenotaderodap"/>
          <w:rFonts w:ascii="Garamond" w:eastAsia="Times New Roman" w:hAnsi="Garamond" w:cs="Tahoma"/>
          <w:bCs/>
          <w:lang w:val="pt-PT" w:eastAsia="pt-PT"/>
        </w:rPr>
        <w:footnoteReference w:id="31"/>
      </w:r>
      <w:r w:rsidRPr="00FA40B1">
        <w:rPr>
          <w:rFonts w:ascii="Garamond" w:eastAsia="Times New Roman" w:hAnsi="Garamond" w:cs="Tahoma"/>
          <w:bCs/>
          <w:sz w:val="28"/>
          <w:szCs w:val="28"/>
          <w:lang w:val="pt-PT" w:eastAsia="pt-PT"/>
        </w:rPr>
        <w:t xml:space="preserve"> </w:t>
      </w:r>
    </w:p>
    <w:p w14:paraId="56FB969B" w14:textId="77777777" w:rsidR="00FB69C4" w:rsidRPr="001C50C8" w:rsidRDefault="00FB69C4" w:rsidP="00FB69C4">
      <w:pPr>
        <w:pStyle w:val="PargrafodaLista"/>
        <w:numPr>
          <w:ilvl w:val="0"/>
          <w:numId w:val="12"/>
        </w:numPr>
        <w:spacing w:after="240"/>
        <w:jc w:val="both"/>
        <w:rPr>
          <w:rFonts w:ascii="Garamond" w:hAnsi="Garamond"/>
          <w:lang w:val="pt-PT"/>
        </w:rPr>
      </w:pPr>
      <w:r w:rsidRPr="001C50C8">
        <w:rPr>
          <w:rFonts w:ascii="Garamond" w:hAnsi="Garamond"/>
          <w:lang w:val="pt-PT"/>
        </w:rPr>
        <w:t xml:space="preserve">Será importante trabalhar com o INE para a integração da abordagem de género nas estatísticas relativas às empresas (medida que fará parte do Eixo </w:t>
      </w:r>
      <w:r w:rsidRPr="001C50C8">
        <w:rPr>
          <w:rFonts w:ascii="Garamond" w:hAnsi="Garamond"/>
          <w:highlight w:val="yellow"/>
          <w:lang w:val="pt-PT"/>
        </w:rPr>
        <w:t>6</w:t>
      </w:r>
      <w:r w:rsidRPr="001C50C8">
        <w:rPr>
          <w:rFonts w:ascii="Garamond" w:hAnsi="Garamond"/>
          <w:lang w:val="pt-PT"/>
        </w:rPr>
        <w:t>).</w:t>
      </w:r>
    </w:p>
    <w:p w14:paraId="0CCDA303" w14:textId="77777777" w:rsidR="00FB69C4" w:rsidRPr="001C50C8" w:rsidRDefault="00FB69C4" w:rsidP="00FB69C4">
      <w:pPr>
        <w:spacing w:after="240"/>
        <w:jc w:val="both"/>
        <w:rPr>
          <w:rFonts w:ascii="Garamond" w:hAnsi="Garamond"/>
          <w:lang w:val="pt-PT"/>
        </w:rPr>
      </w:pPr>
      <w:r w:rsidRPr="001C50C8">
        <w:rPr>
          <w:rFonts w:ascii="Garamond" w:hAnsi="Garamond"/>
          <w:lang w:val="pt-PT"/>
        </w:rPr>
        <w:t>Adicionalmente, o gráfico</w:t>
      </w:r>
      <w:r>
        <w:rPr>
          <w:rFonts w:ascii="Garamond" w:hAnsi="Garamond"/>
          <w:lang w:val="pt-PT"/>
        </w:rPr>
        <w:t xml:space="preserve"> que se segue </w:t>
      </w:r>
      <w:r w:rsidRPr="001C50C8">
        <w:rPr>
          <w:rFonts w:ascii="Garamond" w:hAnsi="Garamond"/>
          <w:lang w:val="pt-PT"/>
        </w:rPr>
        <w:t xml:space="preserve">ilustra </w:t>
      </w:r>
      <w:r>
        <w:rPr>
          <w:rFonts w:ascii="Garamond" w:hAnsi="Garamond"/>
          <w:lang w:val="pt-PT"/>
        </w:rPr>
        <w:t>a persistência da</w:t>
      </w:r>
      <w:r w:rsidRPr="001C50C8">
        <w:rPr>
          <w:rFonts w:ascii="Garamond" w:hAnsi="Garamond"/>
          <w:lang w:val="pt-PT"/>
        </w:rPr>
        <w:t xml:space="preserve"> segregação ocupacional entre mulheres e homens: as maiores diferenças de género estão nos </w:t>
      </w:r>
      <w:proofErr w:type="spellStart"/>
      <w:r w:rsidRPr="001C50C8">
        <w:rPr>
          <w:rFonts w:ascii="Garamond" w:hAnsi="Garamond"/>
          <w:lang w:val="pt-PT"/>
        </w:rPr>
        <w:t>setores</w:t>
      </w:r>
      <w:proofErr w:type="spellEnd"/>
      <w:r w:rsidRPr="001C50C8">
        <w:rPr>
          <w:rFonts w:ascii="Garamond" w:hAnsi="Garamond"/>
          <w:lang w:val="pt-PT"/>
        </w:rPr>
        <w:t xml:space="preserve"> da construção, do transporte e armazenamento, da electricidade, gás, água quente e fria e ar frio, e actividades artísticas e desportivas, dominados por homens; e do emprego doméstico, da educação e da saúde e acção social, essencialmente realizadas por mulheres. </w:t>
      </w:r>
    </w:p>
    <w:p w14:paraId="47F35061" w14:textId="50E68EE8" w:rsidR="00FB69C4" w:rsidRPr="00C96EED" w:rsidRDefault="00FB69C4" w:rsidP="00FB69C4">
      <w:pPr>
        <w:pStyle w:val="Legenda"/>
        <w:spacing w:after="0"/>
        <w:jc w:val="center"/>
        <w:rPr>
          <w:rFonts w:ascii="Garamond" w:hAnsi="Garamond"/>
          <w:b/>
          <w:bCs/>
          <w:i w:val="0"/>
          <w:iCs w:val="0"/>
          <w:color w:val="auto"/>
          <w:sz w:val="20"/>
          <w:szCs w:val="20"/>
          <w:lang w:val="pt-PT"/>
        </w:rPr>
      </w:pPr>
      <w:bookmarkStart w:id="36" w:name="_Toc32856860"/>
      <w:proofErr w:type="spellStart"/>
      <w:r w:rsidRPr="00C96EED">
        <w:rPr>
          <w:rFonts w:ascii="Garamond" w:hAnsi="Garamond"/>
          <w:b/>
          <w:bCs/>
          <w:i w:val="0"/>
          <w:iCs w:val="0"/>
          <w:color w:val="auto"/>
          <w:sz w:val="20"/>
          <w:szCs w:val="20"/>
          <w:lang w:val="pt-PT"/>
        </w:rPr>
        <w:t>Grafico</w:t>
      </w:r>
      <w:proofErr w:type="spellEnd"/>
      <w:r w:rsidRPr="00C96EED">
        <w:rPr>
          <w:rFonts w:ascii="Garamond" w:hAnsi="Garamond"/>
          <w:b/>
          <w:bCs/>
          <w:i w:val="0"/>
          <w:iCs w:val="0"/>
          <w:color w:val="auto"/>
          <w:sz w:val="20"/>
          <w:szCs w:val="20"/>
          <w:lang w:val="pt-PT"/>
        </w:rPr>
        <w:t xml:space="preserve"> </w:t>
      </w:r>
      <w:r w:rsidRPr="00C96EED">
        <w:rPr>
          <w:rFonts w:ascii="Garamond" w:hAnsi="Garamond"/>
          <w:b/>
          <w:bCs/>
          <w:i w:val="0"/>
          <w:iCs w:val="0"/>
          <w:color w:val="auto"/>
          <w:sz w:val="20"/>
          <w:szCs w:val="20"/>
          <w:lang w:val="pt-PT"/>
        </w:rPr>
        <w:fldChar w:fldCharType="begin"/>
      </w:r>
      <w:r w:rsidRPr="00C96EED">
        <w:rPr>
          <w:rFonts w:ascii="Garamond" w:hAnsi="Garamond"/>
          <w:b/>
          <w:bCs/>
          <w:i w:val="0"/>
          <w:iCs w:val="0"/>
          <w:color w:val="auto"/>
          <w:sz w:val="20"/>
          <w:szCs w:val="20"/>
          <w:lang w:val="pt-PT"/>
        </w:rPr>
        <w:instrText xml:space="preserve"> SEQ Grafico \* ARABIC </w:instrText>
      </w:r>
      <w:r w:rsidRPr="00C96EED">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6</w:t>
      </w:r>
      <w:r w:rsidRPr="00C96EED">
        <w:rPr>
          <w:rFonts w:ascii="Garamond" w:hAnsi="Garamond"/>
          <w:b/>
          <w:bCs/>
          <w:i w:val="0"/>
          <w:iCs w:val="0"/>
          <w:color w:val="auto"/>
          <w:sz w:val="20"/>
          <w:szCs w:val="20"/>
          <w:lang w:val="pt-PT"/>
        </w:rPr>
        <w:fldChar w:fldCharType="end"/>
      </w:r>
      <w:r>
        <w:rPr>
          <w:rFonts w:ascii="Garamond" w:hAnsi="Garamond"/>
          <w:b/>
          <w:bCs/>
          <w:i w:val="0"/>
          <w:iCs w:val="0"/>
          <w:color w:val="auto"/>
          <w:sz w:val="20"/>
          <w:szCs w:val="20"/>
          <w:lang w:val="pt-PT"/>
        </w:rPr>
        <w:t xml:space="preserve">- </w:t>
      </w:r>
      <w:r w:rsidRPr="00C96EED">
        <w:rPr>
          <w:rFonts w:ascii="Garamond" w:hAnsi="Garamond"/>
          <w:b/>
          <w:bCs/>
          <w:i w:val="0"/>
          <w:iCs w:val="0"/>
          <w:color w:val="auto"/>
          <w:sz w:val="20"/>
          <w:szCs w:val="20"/>
          <w:lang w:val="pt-PT"/>
        </w:rPr>
        <w:t xml:space="preserve">População empregada por sexo segundo o ramo de actividade económica </w:t>
      </w:r>
      <w:r>
        <w:rPr>
          <w:rFonts w:ascii="Garamond" w:hAnsi="Garamond"/>
          <w:b/>
          <w:bCs/>
          <w:i w:val="0"/>
          <w:iCs w:val="0"/>
          <w:color w:val="auto"/>
          <w:sz w:val="20"/>
          <w:szCs w:val="20"/>
          <w:lang w:val="pt-PT"/>
        </w:rPr>
        <w:t>(%)</w:t>
      </w:r>
      <w:bookmarkEnd w:id="36"/>
    </w:p>
    <w:p w14:paraId="5C5F6C1C" w14:textId="77777777" w:rsidR="00FB69C4" w:rsidRDefault="00FB69C4" w:rsidP="00FB69C4">
      <w:pPr>
        <w:jc w:val="center"/>
        <w:rPr>
          <w:rFonts w:cs="Tahoma"/>
          <w:bCs/>
          <w:lang w:val="pt-PT"/>
        </w:rPr>
      </w:pPr>
      <w:r>
        <w:rPr>
          <w:noProof/>
        </w:rPr>
        <w:drawing>
          <wp:inline distT="0" distB="0" distL="0" distR="0" wp14:anchorId="250F20D3" wp14:editId="506B1831">
            <wp:extent cx="5525037" cy="3017949"/>
            <wp:effectExtent l="0" t="0" r="0" b="0"/>
            <wp:docPr id="31" name="Gráfico 31">
              <a:extLst xmlns:a="http://schemas.openxmlformats.org/drawingml/2006/main">
                <a:ext uri="{FF2B5EF4-FFF2-40B4-BE49-F238E27FC236}">
                  <a16:creationId xmlns:a16="http://schemas.microsoft.com/office/drawing/2014/main" id="{C27BA6B5-5D60-41A7-A580-E0CA0B75F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C343F7" w14:textId="77777777" w:rsidR="00FB69C4" w:rsidRDefault="00FB69C4" w:rsidP="00FB69C4">
      <w:pPr>
        <w:spacing w:after="240"/>
        <w:jc w:val="center"/>
        <w:rPr>
          <w:rFonts w:ascii="Garamond" w:hAnsi="Garamond"/>
          <w:b/>
          <w:bCs/>
          <w:sz w:val="20"/>
          <w:szCs w:val="20"/>
          <w:lang w:val="pt-PT"/>
        </w:rPr>
      </w:pPr>
      <w:r w:rsidRPr="00C96EED">
        <w:rPr>
          <w:rFonts w:ascii="Garamond" w:hAnsi="Garamond"/>
          <w:b/>
          <w:bCs/>
          <w:sz w:val="20"/>
          <w:szCs w:val="20"/>
          <w:lang w:val="pt-PT"/>
        </w:rPr>
        <w:t>F</w:t>
      </w:r>
      <w:r>
        <w:rPr>
          <w:rFonts w:ascii="Garamond" w:hAnsi="Garamond"/>
          <w:b/>
          <w:bCs/>
          <w:sz w:val="20"/>
          <w:szCs w:val="20"/>
          <w:lang w:val="pt-PT"/>
        </w:rPr>
        <w:t>onte: e</w:t>
      </w:r>
      <w:r w:rsidRPr="00C96EED">
        <w:rPr>
          <w:rFonts w:ascii="Garamond" w:hAnsi="Garamond"/>
          <w:b/>
          <w:bCs/>
          <w:sz w:val="20"/>
          <w:szCs w:val="20"/>
          <w:lang w:val="pt-PT"/>
        </w:rPr>
        <w:t>laboração própria com base nos dados do INE</w:t>
      </w:r>
      <w:r>
        <w:rPr>
          <w:rFonts w:ascii="Garamond" w:hAnsi="Garamond"/>
          <w:b/>
          <w:bCs/>
          <w:sz w:val="20"/>
          <w:szCs w:val="20"/>
          <w:lang w:val="pt-PT"/>
        </w:rPr>
        <w:t>, IMC (2018)</w:t>
      </w:r>
    </w:p>
    <w:p w14:paraId="051333C0" w14:textId="77777777" w:rsidR="00FB69C4" w:rsidRPr="001C50C8" w:rsidRDefault="00FB69C4" w:rsidP="00FB69C4">
      <w:pPr>
        <w:spacing w:after="240"/>
        <w:jc w:val="both"/>
        <w:rPr>
          <w:lang w:val="pt-PT"/>
        </w:rPr>
      </w:pPr>
      <w:r w:rsidRPr="00C96041">
        <w:rPr>
          <w:rFonts w:ascii="Garamond" w:hAnsi="Garamond"/>
          <w:lang w:val="pt-PT"/>
        </w:rPr>
        <w:t>Na Administração Pública, apesar d</w:t>
      </w:r>
      <w:r>
        <w:rPr>
          <w:rFonts w:ascii="Garamond" w:hAnsi="Garamond"/>
          <w:lang w:val="pt-PT"/>
        </w:rPr>
        <w:t xml:space="preserve">o </w:t>
      </w:r>
      <w:r w:rsidRPr="00C96041">
        <w:rPr>
          <w:rFonts w:ascii="Garamond" w:hAnsi="Garamond"/>
          <w:lang w:val="pt-PT"/>
        </w:rPr>
        <w:t>equilíbrio global entre mulheres e homens,</w:t>
      </w:r>
      <w:r>
        <w:rPr>
          <w:rStyle w:val="Refdenotaderodap"/>
          <w:rFonts w:ascii="Garamond" w:hAnsi="Garamond"/>
          <w:lang w:val="pt-PT"/>
        </w:rPr>
        <w:footnoteReference w:id="32"/>
      </w:r>
      <w:r>
        <w:rPr>
          <w:rFonts w:ascii="Garamond" w:hAnsi="Garamond"/>
          <w:lang w:val="pt-PT"/>
        </w:rPr>
        <w:t xml:space="preserve"> elas </w:t>
      </w:r>
      <w:r w:rsidRPr="00C96041">
        <w:rPr>
          <w:rFonts w:ascii="Garamond" w:hAnsi="Garamond"/>
          <w:lang w:val="pt-PT"/>
        </w:rPr>
        <w:t xml:space="preserve">são a maioria sobretudo nas áreas funcionais sociais (educação, investigação e cultura – 58,1%; e assuntos sociais, saúde e comunidades – 64,2%) enquanto </w:t>
      </w:r>
      <w:r>
        <w:rPr>
          <w:rFonts w:ascii="Garamond" w:hAnsi="Garamond"/>
          <w:lang w:val="pt-PT"/>
        </w:rPr>
        <w:t>eles</w:t>
      </w:r>
      <w:r w:rsidRPr="00C96041">
        <w:rPr>
          <w:rFonts w:ascii="Garamond" w:hAnsi="Garamond"/>
          <w:lang w:val="pt-PT"/>
        </w:rPr>
        <w:t xml:space="preserve"> são a maioria nas áreas funcionais de cariz produtivo, técnico e ligados à segurança (ambiente, agricultura e desenvolvimento do território – 73,5%; e justiça e defesa nacional – 74,6%), o que </w:t>
      </w:r>
      <w:proofErr w:type="spellStart"/>
      <w:r w:rsidRPr="00C96041">
        <w:rPr>
          <w:rFonts w:ascii="Garamond" w:hAnsi="Garamond"/>
          <w:lang w:val="pt-PT"/>
        </w:rPr>
        <w:t>reflete</w:t>
      </w:r>
      <w:proofErr w:type="spellEnd"/>
      <w:r w:rsidRPr="00C96041">
        <w:rPr>
          <w:rFonts w:ascii="Garamond" w:hAnsi="Garamond"/>
          <w:lang w:val="pt-PT"/>
        </w:rPr>
        <w:t xml:space="preserve"> uma divisão com base em estereótipos de género, à luz de expectativas e pressões sociais quanto ao papel das mulheres e dos </w:t>
      </w:r>
      <w:r w:rsidRPr="001C50C8">
        <w:rPr>
          <w:rFonts w:ascii="Garamond" w:hAnsi="Garamond"/>
          <w:lang w:val="pt-PT"/>
        </w:rPr>
        <w:t>homens na sociedade e as áreas profissionais tidas como próprios para cada sexo.</w:t>
      </w:r>
    </w:p>
    <w:p w14:paraId="4CB4F822" w14:textId="77777777" w:rsidR="00FB69C4" w:rsidRPr="001C50C8" w:rsidRDefault="00FB69C4" w:rsidP="00FB69C4">
      <w:pPr>
        <w:spacing w:after="240"/>
        <w:jc w:val="both"/>
        <w:rPr>
          <w:rFonts w:ascii="Garamond" w:eastAsia="Times New Roman" w:hAnsi="Garamond" w:cs="Tahoma"/>
          <w:bCs/>
          <w:lang w:val="pt-PT" w:eastAsia="pt-PT"/>
        </w:rPr>
      </w:pPr>
      <w:r w:rsidRPr="001C50C8">
        <w:rPr>
          <w:rFonts w:ascii="Garamond" w:eastAsia="Times New Roman" w:hAnsi="Garamond" w:cs="Tahoma"/>
          <w:bCs/>
          <w:lang w:val="pt-PT" w:eastAsia="pt-PT"/>
        </w:rPr>
        <w:t>O Plano Nacional do Emprego (</w:t>
      </w:r>
      <w:proofErr w:type="spellStart"/>
      <w:r w:rsidRPr="001C50C8">
        <w:rPr>
          <w:rFonts w:ascii="Garamond" w:eastAsia="Times New Roman" w:hAnsi="Garamond" w:cs="Tahoma"/>
          <w:bCs/>
          <w:lang w:val="pt-PT" w:eastAsia="pt-PT"/>
        </w:rPr>
        <w:t>PNE</w:t>
      </w:r>
      <w:proofErr w:type="spellEnd"/>
      <w:r w:rsidRPr="001C50C8">
        <w:rPr>
          <w:rFonts w:ascii="Garamond" w:eastAsia="Times New Roman" w:hAnsi="Garamond" w:cs="Tahoma"/>
          <w:bCs/>
          <w:lang w:val="pt-PT" w:eastAsia="pt-PT"/>
        </w:rPr>
        <w:t xml:space="preserve"> 2018-2023) tem enfoque em particular no emprego jovem e das mulheres, e referencia, entre outras questões, a segregação profissional de género como um problema. O seu subproduto específico para o emprego jovem (15-34 anos) – o Plano Nacional de </w:t>
      </w:r>
      <w:proofErr w:type="spellStart"/>
      <w:r w:rsidRPr="001C50C8">
        <w:rPr>
          <w:rFonts w:ascii="Garamond" w:eastAsia="Times New Roman" w:hAnsi="Garamond" w:cs="Tahoma"/>
          <w:bCs/>
          <w:lang w:val="pt-PT" w:eastAsia="pt-PT"/>
        </w:rPr>
        <w:t>Ação</w:t>
      </w:r>
      <w:proofErr w:type="spellEnd"/>
      <w:r w:rsidRPr="001C50C8">
        <w:rPr>
          <w:rFonts w:ascii="Garamond" w:eastAsia="Times New Roman" w:hAnsi="Garamond" w:cs="Tahoma"/>
          <w:bCs/>
          <w:lang w:val="pt-PT" w:eastAsia="pt-PT"/>
        </w:rPr>
        <w:t xml:space="preserve"> para o Emprego Jovem (</w:t>
      </w:r>
      <w:proofErr w:type="spellStart"/>
      <w:r w:rsidRPr="001C50C8">
        <w:rPr>
          <w:rFonts w:ascii="Garamond" w:eastAsia="Times New Roman" w:hAnsi="Garamond" w:cs="Tahoma"/>
          <w:bCs/>
          <w:lang w:val="pt-PT" w:eastAsia="pt-PT"/>
        </w:rPr>
        <w:t>PNAEJ</w:t>
      </w:r>
      <w:proofErr w:type="spellEnd"/>
      <w:r w:rsidRPr="001C50C8">
        <w:rPr>
          <w:rFonts w:ascii="Garamond" w:eastAsia="Times New Roman" w:hAnsi="Garamond" w:cs="Tahoma"/>
          <w:bCs/>
          <w:lang w:val="pt-PT" w:eastAsia="pt-PT"/>
        </w:rPr>
        <w:t xml:space="preserve">), tem uma seção específica de género. O Programa de Emprego Digno e Qualificado, em curso de implementação sob a coordenação da </w:t>
      </w:r>
      <w:proofErr w:type="spellStart"/>
      <w:r w:rsidRPr="001C50C8">
        <w:rPr>
          <w:rFonts w:ascii="Garamond" w:eastAsia="Times New Roman" w:hAnsi="Garamond" w:cs="Tahoma"/>
          <w:bCs/>
          <w:lang w:val="pt-PT" w:eastAsia="pt-PT"/>
        </w:rPr>
        <w:t>DGEFPEP</w:t>
      </w:r>
      <w:proofErr w:type="spellEnd"/>
      <w:r w:rsidRPr="001C50C8">
        <w:rPr>
          <w:rFonts w:ascii="Garamond" w:eastAsia="Times New Roman" w:hAnsi="Garamond" w:cs="Tahoma"/>
          <w:bCs/>
          <w:lang w:val="pt-PT" w:eastAsia="pt-PT"/>
        </w:rPr>
        <w:t xml:space="preserve"> no contexto do </w:t>
      </w:r>
      <w:proofErr w:type="spellStart"/>
      <w:r w:rsidRPr="001C50C8">
        <w:rPr>
          <w:rFonts w:ascii="Garamond" w:eastAsia="Times New Roman" w:hAnsi="Garamond" w:cs="Tahoma"/>
          <w:bCs/>
          <w:lang w:val="pt-PT" w:eastAsia="pt-PT"/>
        </w:rPr>
        <w:t>PEDS</w:t>
      </w:r>
      <w:proofErr w:type="spellEnd"/>
      <w:r w:rsidRPr="001C50C8">
        <w:rPr>
          <w:rFonts w:ascii="Garamond" w:eastAsia="Times New Roman" w:hAnsi="Garamond" w:cs="Tahoma"/>
          <w:bCs/>
          <w:lang w:val="pt-PT" w:eastAsia="pt-PT"/>
        </w:rPr>
        <w:t xml:space="preserve">, visa reduzir a taxa de desemprego num dígito com prioridade para a criação de emprego qualificado jovem (mulheres e homens) e das mulheres, e prevê </w:t>
      </w:r>
      <w:proofErr w:type="spellStart"/>
      <w:r w:rsidRPr="001C50C8">
        <w:rPr>
          <w:rFonts w:ascii="Garamond" w:hAnsi="Garamond" w:cs="Times New Roman"/>
          <w:bCs/>
          <w:lang w:val="pt-PT"/>
        </w:rPr>
        <w:t>pelo</w:t>
      </w:r>
      <w:proofErr w:type="spellEnd"/>
      <w:r w:rsidRPr="001C50C8">
        <w:rPr>
          <w:rFonts w:ascii="Garamond" w:hAnsi="Garamond" w:cs="Times New Roman"/>
          <w:bCs/>
          <w:lang w:val="pt-PT"/>
        </w:rPr>
        <w:t xml:space="preserve"> menos 60% da participação das mulheres em medidas de apoio à formação, qualificação e empregabilidade. </w:t>
      </w:r>
      <w:r w:rsidRPr="001C50C8">
        <w:rPr>
          <w:rFonts w:ascii="Garamond" w:eastAsia="Times New Roman" w:hAnsi="Garamond" w:cs="Tahoma"/>
          <w:bCs/>
          <w:lang w:val="pt-PT" w:eastAsia="pt-PT"/>
        </w:rPr>
        <w:t>Neste contexto político propício, será necessário promover o acesso de mulheres e homens às oportunidades ligadas às áreas priorizadas para o crescimento económico no país, muitas delas tradicionalmente dominadas por homens, para garantir que mulheres e homens possam beneficiar igualmente dos investimentos em curso para promover o emprego. Especificamente:</w:t>
      </w: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4630"/>
        <w:gridCol w:w="3874"/>
      </w:tblGrid>
      <w:tr w:rsidR="00FB69C4" w:rsidRPr="005808D4" w14:paraId="23101D3B" w14:textId="77777777" w:rsidTr="00FE67BB">
        <w:trPr>
          <w:trHeight w:hRule="exact" w:val="4423"/>
          <w:jc w:val="center"/>
        </w:trPr>
        <w:tc>
          <w:tcPr>
            <w:tcW w:w="4630" w:type="dxa"/>
            <w:shd w:val="clear" w:color="auto" w:fill="FBE4D5" w:themeFill="accent2" w:themeFillTint="33"/>
            <w:vAlign w:val="center"/>
          </w:tcPr>
          <w:p w14:paraId="55A010B5" w14:textId="77777777" w:rsidR="00FB69C4" w:rsidRDefault="00FB69C4" w:rsidP="00FE67BB">
            <w:pPr>
              <w:spacing w:before="120" w:after="120"/>
              <w:contextualSpacing/>
              <w:jc w:val="both"/>
              <w:rPr>
                <w:rFonts w:ascii="Garamond" w:eastAsia="Times New Roman" w:hAnsi="Garamond" w:cs="Tahoma"/>
                <w:bCs/>
                <w:sz w:val="28"/>
                <w:szCs w:val="28"/>
                <w:lang w:val="pt-PT" w:eastAsia="pt-PT"/>
              </w:rPr>
            </w:pPr>
            <w:r w:rsidRPr="006D7FF6">
              <w:rPr>
                <w:rFonts w:ascii="Arial" w:eastAsia="Times New Roman" w:hAnsi="Arial" w:cs="Arial"/>
                <w:noProof/>
                <w:lang w:eastAsia="pt-PT"/>
              </w:rPr>
              <w:drawing>
                <wp:inline distT="0" distB="0" distL="0" distR="0" wp14:anchorId="378BEBF7" wp14:editId="0DE8263F">
                  <wp:extent cx="2803301" cy="2663389"/>
                  <wp:effectExtent l="0" t="0" r="0" b="381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7888" cy="2686748"/>
                          </a:xfrm>
                          <a:prstGeom prst="rect">
                            <a:avLst/>
                          </a:prstGeom>
                          <a:noFill/>
                          <a:ln>
                            <a:noFill/>
                          </a:ln>
                        </pic:spPr>
                      </pic:pic>
                    </a:graphicData>
                  </a:graphic>
                </wp:inline>
              </w:drawing>
            </w:r>
          </w:p>
        </w:tc>
        <w:tc>
          <w:tcPr>
            <w:tcW w:w="3874" w:type="dxa"/>
            <w:shd w:val="clear" w:color="auto" w:fill="FBE4D5" w:themeFill="accent2" w:themeFillTint="33"/>
            <w:vAlign w:val="center"/>
          </w:tcPr>
          <w:p w14:paraId="78ADE038" w14:textId="77777777" w:rsidR="00FB69C4" w:rsidRDefault="00FB69C4" w:rsidP="00FB69C4">
            <w:pPr>
              <w:pStyle w:val="PargrafodaLista"/>
              <w:numPr>
                <w:ilvl w:val="0"/>
                <w:numId w:val="15"/>
              </w:numPr>
              <w:autoSpaceDE w:val="0"/>
              <w:autoSpaceDN w:val="0"/>
              <w:adjustRightInd w:val="0"/>
              <w:spacing w:before="120" w:after="120"/>
              <w:ind w:left="227" w:hanging="227"/>
              <w:jc w:val="both"/>
              <w:rPr>
                <w:rFonts w:ascii="Garamond" w:eastAsia="Times New Roman" w:hAnsi="Garamond" w:cs="Tahoma"/>
                <w:bCs/>
                <w:lang w:val="pt-PT" w:eastAsia="pt-PT"/>
              </w:rPr>
            </w:pPr>
            <w:r>
              <w:rPr>
                <w:rFonts w:ascii="Garamond" w:eastAsia="Times New Roman" w:hAnsi="Garamond" w:cs="Tahoma"/>
                <w:bCs/>
                <w:lang w:val="pt-PT" w:eastAsia="pt-PT"/>
              </w:rPr>
              <w:t xml:space="preserve">O </w:t>
            </w:r>
            <w:proofErr w:type="spellStart"/>
            <w:r w:rsidRPr="00B855B2">
              <w:rPr>
                <w:rFonts w:ascii="Garamond" w:eastAsia="Times New Roman" w:hAnsi="Garamond" w:cs="Tahoma"/>
                <w:bCs/>
                <w:lang w:val="pt-PT" w:eastAsia="pt-PT"/>
              </w:rPr>
              <w:t>PEDS</w:t>
            </w:r>
            <w:proofErr w:type="spellEnd"/>
            <w:r w:rsidRPr="00B855B2">
              <w:rPr>
                <w:rFonts w:ascii="Garamond" w:eastAsia="Times New Roman" w:hAnsi="Garamond" w:cs="Tahoma"/>
                <w:bCs/>
                <w:lang w:val="pt-PT" w:eastAsia="pt-PT"/>
              </w:rPr>
              <w:t xml:space="preserve"> preconiza a promoção de um ambiente de negócios </w:t>
            </w:r>
            <w:r>
              <w:rPr>
                <w:rFonts w:ascii="Garamond" w:eastAsia="Times New Roman" w:hAnsi="Garamond" w:cs="Tahoma"/>
                <w:bCs/>
                <w:lang w:val="pt-PT" w:eastAsia="pt-PT"/>
              </w:rPr>
              <w:t>à</w:t>
            </w:r>
            <w:r w:rsidRPr="00B855B2">
              <w:rPr>
                <w:rFonts w:ascii="Garamond" w:eastAsia="Times New Roman" w:hAnsi="Garamond" w:cs="Tahoma"/>
                <w:bCs/>
                <w:lang w:val="pt-PT" w:eastAsia="pt-PT"/>
              </w:rPr>
              <w:t xml:space="preserve"> volta das </w:t>
            </w:r>
            <w:r w:rsidRPr="0015303E">
              <w:rPr>
                <w:rFonts w:ascii="Garamond" w:eastAsia="Times New Roman" w:hAnsi="Garamond" w:cs="Tahoma"/>
                <w:bCs/>
                <w:i/>
                <w:iCs/>
                <w:lang w:val="pt-PT" w:eastAsia="pt-PT"/>
              </w:rPr>
              <w:t>Tecnologias de Informação e Comunicação (</w:t>
            </w:r>
            <w:proofErr w:type="spellStart"/>
            <w:r w:rsidRPr="0015303E">
              <w:rPr>
                <w:rFonts w:ascii="Garamond" w:eastAsia="Times New Roman" w:hAnsi="Garamond" w:cs="Tahoma"/>
                <w:bCs/>
                <w:i/>
                <w:iCs/>
                <w:lang w:val="pt-PT" w:eastAsia="pt-PT"/>
              </w:rPr>
              <w:t>TICs</w:t>
            </w:r>
            <w:proofErr w:type="spellEnd"/>
            <w:r w:rsidRPr="0015303E">
              <w:rPr>
                <w:rFonts w:ascii="Garamond" w:eastAsia="Times New Roman" w:hAnsi="Garamond" w:cs="Tahoma"/>
                <w:bCs/>
                <w:i/>
                <w:iCs/>
                <w:lang w:val="pt-PT" w:eastAsia="pt-PT"/>
              </w:rPr>
              <w:t>)</w:t>
            </w:r>
            <w:r w:rsidRPr="00B855B2">
              <w:rPr>
                <w:rFonts w:ascii="Garamond" w:eastAsia="Times New Roman" w:hAnsi="Garamond" w:cs="Tahoma"/>
                <w:bCs/>
                <w:lang w:val="pt-PT" w:eastAsia="pt-PT"/>
              </w:rPr>
              <w:t xml:space="preserve"> e </w:t>
            </w:r>
            <w:r w:rsidRPr="0015303E">
              <w:rPr>
                <w:rFonts w:ascii="Garamond" w:eastAsia="Times New Roman" w:hAnsi="Garamond" w:cs="Tahoma"/>
                <w:bCs/>
                <w:i/>
                <w:iCs/>
                <w:lang w:val="pt-PT" w:eastAsia="pt-PT"/>
              </w:rPr>
              <w:t>Investigação &amp; Desenvolvimento (</w:t>
            </w:r>
            <w:proofErr w:type="spellStart"/>
            <w:r w:rsidRPr="0015303E">
              <w:rPr>
                <w:rFonts w:ascii="Garamond" w:eastAsia="Times New Roman" w:hAnsi="Garamond" w:cs="Tahoma"/>
                <w:bCs/>
                <w:i/>
                <w:iCs/>
                <w:lang w:val="pt-PT" w:eastAsia="pt-PT"/>
              </w:rPr>
              <w:t>I</w:t>
            </w:r>
            <w:r w:rsidRPr="00864E34">
              <w:rPr>
                <w:rFonts w:ascii="Garamond" w:eastAsia="Times New Roman" w:hAnsi="Garamond" w:cs="Tahoma"/>
                <w:bCs/>
                <w:lang w:val="pt-PT" w:eastAsia="pt-PT"/>
              </w:rPr>
              <w:t>&amp;</w:t>
            </w:r>
            <w:r w:rsidRPr="0015303E">
              <w:rPr>
                <w:rFonts w:ascii="Garamond" w:eastAsia="Times New Roman" w:hAnsi="Garamond" w:cs="Tahoma"/>
                <w:bCs/>
                <w:i/>
                <w:iCs/>
                <w:lang w:val="pt-PT" w:eastAsia="pt-PT"/>
              </w:rPr>
              <w:t>D</w:t>
            </w:r>
            <w:proofErr w:type="spellEnd"/>
            <w:r w:rsidRPr="0015303E">
              <w:rPr>
                <w:rFonts w:ascii="Garamond" w:eastAsia="Times New Roman" w:hAnsi="Garamond" w:cs="Tahoma"/>
                <w:bCs/>
                <w:i/>
                <w:iCs/>
                <w:lang w:val="pt-PT" w:eastAsia="pt-PT"/>
              </w:rPr>
              <w:t>)</w:t>
            </w:r>
            <w:r w:rsidRPr="0011569B">
              <w:rPr>
                <w:rFonts w:ascii="Garamond" w:eastAsia="Times New Roman" w:hAnsi="Garamond" w:cs="Tahoma"/>
                <w:bCs/>
                <w:lang w:val="pt-PT" w:eastAsia="pt-PT"/>
              </w:rPr>
              <w:t xml:space="preserve"> para atrair e criar oportunidades de trabalho e centros de competências</w:t>
            </w:r>
            <w:r>
              <w:rPr>
                <w:rFonts w:ascii="Garamond" w:eastAsia="Times New Roman" w:hAnsi="Garamond" w:cs="Tahoma"/>
                <w:bCs/>
                <w:lang w:val="pt-PT" w:eastAsia="pt-PT"/>
              </w:rPr>
              <w:t>.</w:t>
            </w:r>
          </w:p>
          <w:p w14:paraId="417FB6D6" w14:textId="77777777" w:rsidR="00FB69C4" w:rsidRDefault="00FB69C4" w:rsidP="00FB69C4">
            <w:pPr>
              <w:pStyle w:val="PargrafodaLista"/>
              <w:numPr>
                <w:ilvl w:val="0"/>
                <w:numId w:val="15"/>
              </w:numPr>
              <w:autoSpaceDE w:val="0"/>
              <w:autoSpaceDN w:val="0"/>
              <w:adjustRightInd w:val="0"/>
              <w:spacing w:before="120" w:after="120"/>
              <w:ind w:left="227" w:hanging="227"/>
              <w:jc w:val="both"/>
              <w:rPr>
                <w:rFonts w:ascii="Garamond" w:eastAsia="Times New Roman" w:hAnsi="Garamond" w:cs="Tahoma"/>
                <w:bCs/>
                <w:lang w:val="pt-PT" w:eastAsia="pt-PT"/>
              </w:rPr>
            </w:pPr>
            <w:r w:rsidRPr="00B855B2">
              <w:rPr>
                <w:rFonts w:ascii="Garamond" w:eastAsia="Times New Roman" w:hAnsi="Garamond" w:cs="Tahoma"/>
                <w:bCs/>
                <w:lang w:val="pt-PT" w:eastAsia="pt-PT"/>
              </w:rPr>
              <w:t>A nível sectorial</w:t>
            </w:r>
            <w:r>
              <w:rPr>
                <w:rFonts w:ascii="Garamond" w:eastAsia="Times New Roman" w:hAnsi="Garamond" w:cs="Tahoma"/>
                <w:bCs/>
                <w:lang w:val="pt-PT" w:eastAsia="pt-PT"/>
              </w:rPr>
              <w:t xml:space="preserve">, </w:t>
            </w:r>
            <w:r w:rsidRPr="00B855B2">
              <w:rPr>
                <w:rFonts w:ascii="Garamond" w:eastAsia="Times New Roman" w:hAnsi="Garamond" w:cs="Tahoma"/>
                <w:bCs/>
                <w:lang w:val="pt-PT" w:eastAsia="pt-PT"/>
              </w:rPr>
              <w:t>iniciativa</w:t>
            </w:r>
            <w:r>
              <w:rPr>
                <w:rFonts w:ascii="Garamond" w:eastAsia="Times New Roman" w:hAnsi="Garamond" w:cs="Tahoma"/>
                <w:bCs/>
                <w:lang w:val="pt-PT" w:eastAsia="pt-PT"/>
              </w:rPr>
              <w:t>s</w:t>
            </w:r>
            <w:r w:rsidRPr="00B855B2">
              <w:rPr>
                <w:rFonts w:ascii="Garamond" w:eastAsia="Times New Roman" w:hAnsi="Garamond" w:cs="Tahoma"/>
                <w:bCs/>
                <w:lang w:val="pt-PT" w:eastAsia="pt-PT"/>
              </w:rPr>
              <w:t xml:space="preserve"> para criar </w:t>
            </w:r>
            <w:r>
              <w:rPr>
                <w:rFonts w:ascii="Garamond" w:eastAsia="Times New Roman" w:hAnsi="Garamond" w:cs="Tahoma"/>
                <w:bCs/>
                <w:lang w:val="pt-PT" w:eastAsia="pt-PT"/>
              </w:rPr>
              <w:t>«</w:t>
            </w:r>
            <w:r w:rsidRPr="0081242F">
              <w:rPr>
                <w:rFonts w:ascii="Garamond" w:eastAsia="Times New Roman" w:hAnsi="Garamond" w:cs="Tahoma"/>
                <w:bCs/>
                <w:i/>
                <w:iCs/>
                <w:lang w:val="pt-PT" w:eastAsia="pt-PT"/>
              </w:rPr>
              <w:t xml:space="preserve">parques científicos e tecnológicos, abrangendo as </w:t>
            </w:r>
            <w:proofErr w:type="spellStart"/>
            <w:r w:rsidRPr="0081242F">
              <w:rPr>
                <w:rFonts w:ascii="Garamond" w:eastAsia="Times New Roman" w:hAnsi="Garamond" w:cs="Tahoma"/>
                <w:bCs/>
                <w:i/>
                <w:iCs/>
                <w:lang w:val="pt-PT" w:eastAsia="pt-PT"/>
              </w:rPr>
              <w:t>TICs</w:t>
            </w:r>
            <w:proofErr w:type="spellEnd"/>
            <w:r w:rsidRPr="0081242F">
              <w:rPr>
                <w:rFonts w:ascii="Garamond" w:eastAsia="Times New Roman" w:hAnsi="Garamond" w:cs="Tahoma"/>
                <w:bCs/>
                <w:i/>
                <w:iCs/>
                <w:lang w:val="pt-PT" w:eastAsia="pt-PT"/>
              </w:rPr>
              <w:t xml:space="preserve"> e as economias criativas, e o fomento das externalidades positivas da constelação do turismo associadas à agricultura, pescas, cultura e desporto.</w:t>
            </w:r>
            <w:r>
              <w:rPr>
                <w:rFonts w:ascii="Garamond" w:eastAsia="Times New Roman" w:hAnsi="Garamond" w:cs="Tahoma"/>
                <w:bCs/>
                <w:lang w:val="pt-PT" w:eastAsia="pt-PT"/>
              </w:rPr>
              <w:t>»</w:t>
            </w:r>
          </w:p>
          <w:p w14:paraId="5B95F832" w14:textId="77777777" w:rsidR="00FB69C4" w:rsidRPr="00D53E9C" w:rsidRDefault="00FB69C4" w:rsidP="00FE67BB">
            <w:pPr>
              <w:spacing w:before="120" w:after="120"/>
              <w:contextualSpacing/>
              <w:jc w:val="right"/>
              <w:rPr>
                <w:rFonts w:ascii="Garamond" w:eastAsia="Times New Roman" w:hAnsi="Garamond" w:cs="Tahoma"/>
                <w:b/>
                <w:sz w:val="18"/>
                <w:szCs w:val="18"/>
                <w:lang w:val="pt-PT" w:eastAsia="pt-PT"/>
              </w:rPr>
            </w:pPr>
            <w:r w:rsidRPr="00D53E9C">
              <w:rPr>
                <w:rFonts w:ascii="Garamond" w:eastAsia="Times New Roman" w:hAnsi="Garamond" w:cs="Tahoma"/>
                <w:b/>
                <w:sz w:val="18"/>
                <w:szCs w:val="18"/>
                <w:lang w:val="pt-PT" w:eastAsia="pt-PT"/>
              </w:rPr>
              <w:t>Plano Nacional de Emprego (</w:t>
            </w:r>
            <w:proofErr w:type="spellStart"/>
            <w:r w:rsidRPr="00D53E9C">
              <w:rPr>
                <w:rFonts w:ascii="Garamond" w:eastAsia="Times New Roman" w:hAnsi="Garamond" w:cs="Tahoma"/>
                <w:b/>
                <w:sz w:val="18"/>
                <w:szCs w:val="18"/>
                <w:lang w:val="pt-PT" w:eastAsia="pt-PT"/>
              </w:rPr>
              <w:t>PNE</w:t>
            </w:r>
            <w:proofErr w:type="spellEnd"/>
            <w:r w:rsidRPr="00D53E9C">
              <w:rPr>
                <w:rFonts w:ascii="Garamond" w:eastAsia="Times New Roman" w:hAnsi="Garamond" w:cs="Tahoma"/>
                <w:b/>
                <w:sz w:val="18"/>
                <w:szCs w:val="18"/>
                <w:lang w:val="pt-PT" w:eastAsia="pt-PT"/>
              </w:rPr>
              <w:t xml:space="preserve"> 2018</w:t>
            </w:r>
            <w:r w:rsidRPr="00D53E9C">
              <w:rPr>
                <w:rFonts w:ascii="Garamond" w:eastAsia="Times New Roman" w:hAnsi="Garamond" w:cs="Tahoma" w:hint="eastAsia"/>
                <w:b/>
                <w:sz w:val="18"/>
                <w:szCs w:val="18"/>
                <w:lang w:val="pt-PT" w:eastAsia="pt-PT"/>
              </w:rPr>
              <w:t>–</w:t>
            </w:r>
            <w:r w:rsidRPr="00D53E9C">
              <w:rPr>
                <w:rFonts w:ascii="Garamond" w:eastAsia="Times New Roman" w:hAnsi="Garamond" w:cs="Tahoma"/>
                <w:b/>
                <w:sz w:val="18"/>
                <w:szCs w:val="18"/>
                <w:lang w:val="pt-PT" w:eastAsia="pt-PT"/>
              </w:rPr>
              <w:t>2023)</w:t>
            </w:r>
          </w:p>
          <w:p w14:paraId="235F88CE" w14:textId="77777777" w:rsidR="00FB69C4" w:rsidRPr="0081242F" w:rsidRDefault="00FB69C4" w:rsidP="00FE67BB">
            <w:pPr>
              <w:pStyle w:val="PargrafodaLista"/>
              <w:autoSpaceDE w:val="0"/>
              <w:autoSpaceDN w:val="0"/>
              <w:adjustRightInd w:val="0"/>
              <w:spacing w:before="120" w:after="120"/>
              <w:ind w:left="227"/>
              <w:jc w:val="right"/>
              <w:rPr>
                <w:rFonts w:ascii="Garamond" w:eastAsia="Times New Roman" w:hAnsi="Garamond" w:cs="Tahoma"/>
                <w:bCs/>
                <w:lang w:val="pt-PT" w:eastAsia="pt-PT"/>
              </w:rPr>
            </w:pPr>
          </w:p>
        </w:tc>
      </w:tr>
    </w:tbl>
    <w:p w14:paraId="3C3E2478" w14:textId="77777777" w:rsidR="00FB69C4" w:rsidRDefault="00FB69C4" w:rsidP="00FB69C4">
      <w:pPr>
        <w:pStyle w:val="PargrafodaLista"/>
        <w:spacing w:after="240"/>
        <w:jc w:val="both"/>
        <w:rPr>
          <w:rFonts w:ascii="Garamond" w:eastAsia="Times New Roman" w:hAnsi="Garamond" w:cs="Tahoma"/>
          <w:bCs/>
          <w:lang w:val="pt-PT" w:eastAsia="pt-PT"/>
        </w:rPr>
      </w:pPr>
    </w:p>
    <w:p w14:paraId="3709E6BC" w14:textId="77777777" w:rsidR="00FB69C4" w:rsidRPr="001C50C8" w:rsidRDefault="00FB69C4" w:rsidP="000F5FE9">
      <w:pPr>
        <w:pStyle w:val="PargrafodaLista"/>
        <w:numPr>
          <w:ilvl w:val="0"/>
          <w:numId w:val="16"/>
        </w:numPr>
        <w:spacing w:after="240"/>
        <w:jc w:val="both"/>
        <w:rPr>
          <w:rFonts w:ascii="Garamond" w:eastAsia="Times New Roman" w:hAnsi="Garamond" w:cs="Tahoma"/>
          <w:bCs/>
          <w:lang w:val="pt-PT" w:eastAsia="pt-PT"/>
        </w:rPr>
      </w:pPr>
      <w:r w:rsidRPr="001C50C8">
        <w:rPr>
          <w:rFonts w:ascii="Garamond" w:eastAsia="Times New Roman" w:hAnsi="Garamond" w:cs="Tahoma"/>
          <w:bCs/>
          <w:lang w:val="pt-PT" w:eastAsia="pt-PT"/>
        </w:rPr>
        <w:t xml:space="preserve">Nas iniciativas de promoção das </w:t>
      </w:r>
      <w:proofErr w:type="spellStart"/>
      <w:r w:rsidRPr="001C50C8">
        <w:rPr>
          <w:rFonts w:ascii="Garamond" w:eastAsia="Times New Roman" w:hAnsi="Garamond" w:cs="Tahoma"/>
          <w:bCs/>
          <w:lang w:val="pt-PT" w:eastAsia="pt-PT"/>
        </w:rPr>
        <w:t>TICs</w:t>
      </w:r>
      <w:proofErr w:type="spellEnd"/>
      <w:r w:rsidRPr="001C50C8">
        <w:rPr>
          <w:rFonts w:ascii="Garamond" w:eastAsia="Times New Roman" w:hAnsi="Garamond" w:cs="Tahoma"/>
          <w:bCs/>
          <w:lang w:val="pt-PT" w:eastAsia="pt-PT"/>
        </w:rPr>
        <w:t xml:space="preserve"> e </w:t>
      </w:r>
      <w:proofErr w:type="spellStart"/>
      <w:r w:rsidRPr="001C50C8">
        <w:rPr>
          <w:rFonts w:ascii="Garamond" w:eastAsia="Times New Roman" w:hAnsi="Garamond" w:cs="Tahoma"/>
          <w:bCs/>
          <w:lang w:val="pt-PT" w:eastAsia="pt-PT"/>
        </w:rPr>
        <w:t>STEM</w:t>
      </w:r>
      <w:proofErr w:type="spellEnd"/>
      <w:r w:rsidRPr="001C50C8">
        <w:rPr>
          <w:rFonts w:ascii="Garamond" w:eastAsia="Times New Roman" w:hAnsi="Garamond" w:cs="Tahoma"/>
          <w:bCs/>
          <w:lang w:val="pt-PT" w:eastAsia="pt-PT"/>
        </w:rPr>
        <w:t>, deve ser identificada e seguida a participação de mulheres e homens, definindo medidas temporárias especiais sempre que necessário e divulgando-as (entre outras, nas iniciativas de reconversão profissional em curso de implementação, no contexto da economia digital</w:t>
      </w:r>
      <w:r>
        <w:rPr>
          <w:rFonts w:ascii="Garamond" w:eastAsia="Times New Roman" w:hAnsi="Garamond" w:cs="Tahoma"/>
          <w:bCs/>
          <w:lang w:val="pt-PT" w:eastAsia="pt-PT"/>
        </w:rPr>
        <w:t>, e acções previstas no contexto da Agenda de Transformação Digital</w:t>
      </w:r>
      <w:r w:rsidRPr="001C50C8">
        <w:rPr>
          <w:rFonts w:ascii="Garamond" w:eastAsia="Times New Roman" w:hAnsi="Garamond" w:cs="Tahoma"/>
          <w:bCs/>
          <w:lang w:val="pt-PT" w:eastAsia="pt-PT"/>
        </w:rPr>
        <w:t>).</w:t>
      </w:r>
    </w:p>
    <w:p w14:paraId="11E59DA8" w14:textId="77777777" w:rsidR="00FB69C4" w:rsidRPr="001C50C8" w:rsidRDefault="00FB69C4" w:rsidP="000F5FE9">
      <w:pPr>
        <w:pStyle w:val="PargrafodaLista"/>
        <w:numPr>
          <w:ilvl w:val="0"/>
          <w:numId w:val="16"/>
        </w:numPr>
        <w:spacing w:after="240"/>
        <w:ind w:left="714" w:hanging="357"/>
        <w:jc w:val="both"/>
        <w:rPr>
          <w:rFonts w:ascii="Garamond" w:eastAsia="Times New Roman" w:hAnsi="Garamond" w:cs="Tahoma"/>
          <w:bCs/>
          <w:lang w:val="pt-PT" w:eastAsia="pt-PT"/>
        </w:rPr>
      </w:pPr>
      <w:r w:rsidRPr="001C50C8">
        <w:rPr>
          <w:rFonts w:ascii="Garamond" w:eastAsia="Times New Roman" w:hAnsi="Garamond" w:cs="Tahoma"/>
          <w:bCs/>
          <w:lang w:val="pt-PT" w:eastAsia="pt-PT"/>
        </w:rPr>
        <w:t xml:space="preserve">No </w:t>
      </w:r>
      <w:proofErr w:type="spellStart"/>
      <w:r w:rsidRPr="001C50C8">
        <w:rPr>
          <w:rFonts w:ascii="Garamond" w:eastAsia="Times New Roman" w:hAnsi="Garamond" w:cs="Tahoma"/>
          <w:bCs/>
          <w:lang w:val="pt-PT" w:eastAsia="pt-PT"/>
        </w:rPr>
        <w:t>setor</w:t>
      </w:r>
      <w:proofErr w:type="spellEnd"/>
      <w:r w:rsidRPr="001C50C8">
        <w:rPr>
          <w:rFonts w:ascii="Garamond" w:eastAsia="Times New Roman" w:hAnsi="Garamond" w:cs="Tahoma"/>
          <w:bCs/>
          <w:lang w:val="pt-PT" w:eastAsia="pt-PT"/>
        </w:rPr>
        <w:t xml:space="preserve"> da energia está em curso a elaboração de um </w:t>
      </w:r>
      <w:r w:rsidRPr="001C50C8">
        <w:rPr>
          <w:rFonts w:ascii="Garamond" w:eastAsia="Times New Roman" w:hAnsi="Garamond" w:cs="Tahoma"/>
          <w:bCs/>
          <w:i/>
          <w:iCs/>
          <w:lang w:val="pt-PT" w:eastAsia="pt-PT"/>
        </w:rPr>
        <w:t xml:space="preserve">Plano de </w:t>
      </w:r>
      <w:proofErr w:type="spellStart"/>
      <w:r w:rsidRPr="001C50C8">
        <w:rPr>
          <w:rFonts w:ascii="Garamond" w:eastAsia="Times New Roman" w:hAnsi="Garamond" w:cs="Tahoma"/>
          <w:bCs/>
          <w:i/>
          <w:iCs/>
          <w:lang w:val="pt-PT" w:eastAsia="pt-PT"/>
        </w:rPr>
        <w:t>Ação</w:t>
      </w:r>
      <w:proofErr w:type="spellEnd"/>
      <w:r w:rsidRPr="001C50C8">
        <w:rPr>
          <w:rFonts w:ascii="Garamond" w:eastAsia="Times New Roman" w:hAnsi="Garamond" w:cs="Tahoma"/>
          <w:bCs/>
          <w:i/>
          <w:iCs/>
          <w:lang w:val="pt-PT" w:eastAsia="pt-PT"/>
        </w:rPr>
        <w:t xml:space="preserve"> em matéria de Género e Energia</w:t>
      </w:r>
      <w:r w:rsidRPr="001C50C8">
        <w:rPr>
          <w:rFonts w:ascii="Garamond" w:eastAsia="Times New Roman" w:hAnsi="Garamond" w:cs="Tahoma"/>
          <w:bCs/>
          <w:lang w:val="pt-PT" w:eastAsia="pt-PT"/>
        </w:rPr>
        <w:t xml:space="preserve">, alinhado à </w:t>
      </w:r>
      <w:r w:rsidRPr="001C50C8">
        <w:rPr>
          <w:rFonts w:ascii="Garamond" w:eastAsia="Times New Roman" w:hAnsi="Garamond" w:cs="Tahoma"/>
          <w:bCs/>
          <w:i/>
          <w:iCs/>
          <w:lang w:val="pt-PT" w:eastAsia="pt-PT"/>
        </w:rPr>
        <w:t>Política de Género e Acesso à Energia da CEDEAO</w:t>
      </w:r>
      <w:r w:rsidRPr="001C50C8">
        <w:rPr>
          <w:rFonts w:ascii="Garamond" w:eastAsia="Times New Roman" w:hAnsi="Garamond" w:cs="Tahoma"/>
          <w:bCs/>
          <w:lang w:val="pt-PT" w:eastAsia="pt-PT"/>
        </w:rPr>
        <w:t xml:space="preserve"> (2016) tendo esta última como principais </w:t>
      </w:r>
      <w:proofErr w:type="spellStart"/>
      <w:r w:rsidRPr="001C50C8">
        <w:rPr>
          <w:rFonts w:ascii="Garamond" w:eastAsia="Times New Roman" w:hAnsi="Garamond" w:cs="Tahoma"/>
          <w:bCs/>
          <w:lang w:val="pt-PT" w:eastAsia="pt-PT"/>
        </w:rPr>
        <w:t>objetivos</w:t>
      </w:r>
      <w:proofErr w:type="spellEnd"/>
      <w:r w:rsidRPr="001C50C8">
        <w:rPr>
          <w:rFonts w:ascii="Garamond" w:eastAsia="Times New Roman" w:hAnsi="Garamond" w:cs="Tahoma"/>
          <w:bCs/>
          <w:lang w:val="pt-PT" w:eastAsia="pt-PT"/>
        </w:rPr>
        <w:t xml:space="preserve"> </w:t>
      </w:r>
      <w:r w:rsidRPr="001C50C8">
        <w:rPr>
          <w:rFonts w:ascii="Garamond" w:eastAsia="Times New Roman" w:hAnsi="Garamond" w:cs="Tahoma"/>
          <w:bCs/>
          <w:i/>
          <w:iCs/>
          <w:lang w:val="pt-PT" w:eastAsia="pt-PT"/>
        </w:rPr>
        <w:t>(1) melhorar a compreensão das questões de género no acesso à energia a todos os níveis da sociedade, (2) assegurar políticas de energia, programas e iniciativas inclusivas em termos de género, incluindo nos grandes investimentos do sector, (3) aumentar a participação das mulheres em áreas técnicas e posições de tomada de decisão no sector, (4) assegurar a igualdade de oportunidades no ingresso e sucesso no sector privado da energia, (5) estabelecer e manter um seguimento e prestação de contas sensíveis ao género no sector da energia</w:t>
      </w:r>
      <w:r w:rsidRPr="001C50C8">
        <w:rPr>
          <w:rFonts w:ascii="Garamond" w:eastAsia="Times New Roman" w:hAnsi="Garamond" w:cs="Tahoma"/>
          <w:bCs/>
          <w:lang w:val="pt-PT" w:eastAsia="pt-PT"/>
        </w:rPr>
        <w:t xml:space="preserve">. O Plano de </w:t>
      </w:r>
      <w:proofErr w:type="spellStart"/>
      <w:r w:rsidRPr="001C50C8">
        <w:rPr>
          <w:rFonts w:ascii="Garamond" w:eastAsia="Times New Roman" w:hAnsi="Garamond" w:cs="Tahoma"/>
          <w:bCs/>
          <w:lang w:val="pt-PT" w:eastAsia="pt-PT"/>
        </w:rPr>
        <w:t>Ação</w:t>
      </w:r>
      <w:proofErr w:type="spellEnd"/>
      <w:r w:rsidRPr="001C50C8">
        <w:rPr>
          <w:rFonts w:ascii="Garamond" w:eastAsia="Times New Roman" w:hAnsi="Garamond" w:cs="Tahoma"/>
          <w:bCs/>
          <w:lang w:val="pt-PT" w:eastAsia="pt-PT"/>
        </w:rPr>
        <w:t xml:space="preserve"> de Cabo Verde deverá ter em conta as questões de emprego e empregabilidade das mulheres no </w:t>
      </w:r>
      <w:proofErr w:type="spellStart"/>
      <w:r w:rsidRPr="001C50C8">
        <w:rPr>
          <w:rFonts w:ascii="Garamond" w:eastAsia="Times New Roman" w:hAnsi="Garamond" w:cs="Tahoma"/>
          <w:bCs/>
          <w:lang w:val="pt-PT" w:eastAsia="pt-PT"/>
        </w:rPr>
        <w:t>setor</w:t>
      </w:r>
      <w:proofErr w:type="spellEnd"/>
      <w:r w:rsidRPr="001C50C8">
        <w:rPr>
          <w:rFonts w:ascii="Garamond" w:eastAsia="Times New Roman" w:hAnsi="Garamond" w:cs="Tahoma"/>
          <w:bCs/>
          <w:lang w:val="pt-PT" w:eastAsia="pt-PT"/>
        </w:rPr>
        <w:t xml:space="preserve">, em particular no contexto das energias renováveis e eficiência energética </w:t>
      </w:r>
      <w:r w:rsidRPr="001C50C8">
        <w:rPr>
          <w:rFonts w:ascii="Garamond" w:hAnsi="Garamond"/>
          <w:lang w:val="pt-PT"/>
        </w:rPr>
        <w:t>(medida que fará parte do Eixo 6)</w:t>
      </w:r>
      <w:r w:rsidRPr="001C50C8">
        <w:rPr>
          <w:rFonts w:ascii="Garamond" w:eastAsia="Times New Roman" w:hAnsi="Garamond" w:cs="Tahoma"/>
          <w:bCs/>
          <w:lang w:val="pt-PT" w:eastAsia="pt-PT"/>
        </w:rPr>
        <w:t>.</w:t>
      </w:r>
    </w:p>
    <w:p w14:paraId="30DDE3F7" w14:textId="77777777" w:rsidR="00FB69C4" w:rsidRPr="001C50C8" w:rsidRDefault="00FB69C4" w:rsidP="000F5FE9">
      <w:pPr>
        <w:pStyle w:val="PargrafodaLista"/>
        <w:numPr>
          <w:ilvl w:val="0"/>
          <w:numId w:val="16"/>
        </w:numPr>
        <w:spacing w:before="200"/>
        <w:jc w:val="both"/>
        <w:rPr>
          <w:rFonts w:ascii="Garamond" w:eastAsia="Times New Roman" w:hAnsi="Garamond" w:cs="Tahoma"/>
          <w:bCs/>
          <w:lang w:val="pt-PT" w:eastAsia="pt-PT"/>
        </w:rPr>
      </w:pPr>
      <w:r w:rsidRPr="001C50C8">
        <w:rPr>
          <w:rFonts w:ascii="Garamond" w:eastAsia="Times New Roman" w:hAnsi="Garamond" w:cs="Tahoma"/>
          <w:bCs/>
          <w:lang w:val="pt-PT" w:eastAsia="pt-PT"/>
        </w:rPr>
        <w:t>Está sendo finalizado o Quadro Estratégico Unificado para a Economia Azul (</w:t>
      </w:r>
      <w:proofErr w:type="spellStart"/>
      <w:r w:rsidRPr="001C50C8">
        <w:rPr>
          <w:rFonts w:ascii="Garamond" w:eastAsia="Times New Roman" w:hAnsi="Garamond" w:cs="Tahoma"/>
          <w:bCs/>
          <w:lang w:val="pt-PT" w:eastAsia="pt-PT"/>
        </w:rPr>
        <w:t>CaSUEB</w:t>
      </w:r>
      <w:proofErr w:type="spellEnd"/>
      <w:r w:rsidRPr="001C50C8">
        <w:rPr>
          <w:rFonts w:ascii="Garamond" w:eastAsia="Times New Roman" w:hAnsi="Garamond" w:cs="Tahoma"/>
          <w:bCs/>
          <w:lang w:val="pt-PT" w:eastAsia="pt-PT"/>
        </w:rPr>
        <w:t xml:space="preserve">), que fornece orientações estratégicas no domínio da Economia Azul. O </w:t>
      </w:r>
      <w:proofErr w:type="spellStart"/>
      <w:r w:rsidRPr="001C50C8">
        <w:rPr>
          <w:rFonts w:ascii="Garamond" w:eastAsia="Times New Roman" w:hAnsi="Garamond" w:cs="Tahoma"/>
          <w:bCs/>
          <w:lang w:val="pt-PT" w:eastAsia="pt-PT"/>
        </w:rPr>
        <w:t>CaSUEB</w:t>
      </w:r>
      <w:proofErr w:type="spellEnd"/>
      <w:r w:rsidRPr="001C50C8">
        <w:rPr>
          <w:rFonts w:ascii="Garamond" w:eastAsia="Times New Roman" w:hAnsi="Garamond" w:cs="Tahoma"/>
          <w:bCs/>
          <w:lang w:val="pt-PT" w:eastAsia="pt-PT"/>
        </w:rPr>
        <w:t xml:space="preserve"> considera algumas questões de género em virtude da participação das mulheres na cadeia de valores da pesca, sobretudo na comercialização, mas sem propor uma abordagem transformadora. Será fundamental uma abordagem de género sistemática na economia azul, em particular </w:t>
      </w:r>
      <w:r>
        <w:rPr>
          <w:rFonts w:ascii="Garamond" w:eastAsia="Times New Roman" w:hAnsi="Garamond" w:cs="Tahoma"/>
          <w:bCs/>
          <w:lang w:val="pt-PT" w:eastAsia="pt-PT"/>
        </w:rPr>
        <w:t xml:space="preserve">nas </w:t>
      </w:r>
      <w:r w:rsidRPr="001C50C8">
        <w:rPr>
          <w:rFonts w:ascii="Garamond" w:eastAsia="Times New Roman" w:hAnsi="Garamond" w:cs="Tahoma"/>
          <w:bCs/>
          <w:lang w:val="pt-PT" w:eastAsia="pt-PT"/>
        </w:rPr>
        <w:t xml:space="preserve">vertentes de promoção do empreendedorismo e desenvolvimento de empregos, promoção das inovações em benefício da diversificação das </w:t>
      </w:r>
      <w:r>
        <w:rPr>
          <w:rFonts w:ascii="Garamond" w:eastAsia="Times New Roman" w:hAnsi="Garamond" w:cs="Tahoma"/>
          <w:bCs/>
          <w:lang w:val="pt-PT" w:eastAsia="pt-PT"/>
        </w:rPr>
        <w:t xml:space="preserve">actividades, de </w:t>
      </w:r>
      <w:r w:rsidRPr="001C50C8">
        <w:rPr>
          <w:rFonts w:ascii="Garamond" w:eastAsia="Times New Roman" w:hAnsi="Garamond" w:cs="Tahoma"/>
          <w:bCs/>
          <w:lang w:val="pt-PT" w:eastAsia="pt-PT"/>
        </w:rPr>
        <w:t xml:space="preserve">novos mercados e </w:t>
      </w:r>
      <w:r>
        <w:rPr>
          <w:rFonts w:ascii="Garamond" w:eastAsia="Times New Roman" w:hAnsi="Garamond" w:cs="Tahoma"/>
          <w:bCs/>
          <w:lang w:val="pt-PT" w:eastAsia="pt-PT"/>
        </w:rPr>
        <w:t xml:space="preserve">de </w:t>
      </w:r>
      <w:r w:rsidRPr="001C50C8">
        <w:rPr>
          <w:rFonts w:ascii="Garamond" w:eastAsia="Times New Roman" w:hAnsi="Garamond" w:cs="Tahoma"/>
          <w:bCs/>
          <w:lang w:val="pt-PT" w:eastAsia="pt-PT"/>
        </w:rPr>
        <w:t>novos empregos.</w:t>
      </w:r>
    </w:p>
    <w:p w14:paraId="4B7F3B78" w14:textId="77777777" w:rsidR="00FB69C4" w:rsidRPr="001C50C8" w:rsidRDefault="00FB69C4" w:rsidP="000F5FE9">
      <w:pPr>
        <w:pStyle w:val="PargrafodaLista"/>
        <w:numPr>
          <w:ilvl w:val="0"/>
          <w:numId w:val="16"/>
        </w:numPr>
        <w:spacing w:before="200" w:after="240"/>
        <w:ind w:left="714" w:hanging="357"/>
        <w:jc w:val="both"/>
        <w:rPr>
          <w:rFonts w:ascii="Garamond" w:eastAsia="Times New Roman" w:hAnsi="Garamond" w:cs="Tahoma"/>
          <w:bCs/>
          <w:lang w:val="pt-PT" w:eastAsia="pt-PT"/>
        </w:rPr>
      </w:pPr>
      <w:r w:rsidRPr="001C50C8">
        <w:rPr>
          <w:rFonts w:ascii="Garamond" w:eastAsia="Times New Roman" w:hAnsi="Garamond" w:cs="Tahoma"/>
          <w:bCs/>
          <w:lang w:val="pt-PT" w:eastAsia="pt-PT"/>
        </w:rPr>
        <w:t>Um dos instrumentos da União Africana relativos aos sectores considerados na Economia Azul, é a Carta Africana dos Transportes Marítimos. Cabo Verde ratificou a Carta em 2015, que entre outras responsabilidades, traz ao país a obrigação de promover a igualdade de género e adoptar políticas que promovam vigorosamente oportunidades económicas, recrutamento, colocação, promoção e progressão das mulheres no sector marítimo (artigo 37º); e legislação pertinente para acelerar o empoderamento das mulheres no sector marítimo, incluindo o encorajamento de educação específica e orientação das mulheres a todos os níveis.</w:t>
      </w:r>
      <w:r w:rsidRPr="001C50C8">
        <w:rPr>
          <w:rStyle w:val="Refdenotaderodap"/>
          <w:rFonts w:ascii="Garamond" w:eastAsia="Times New Roman" w:hAnsi="Garamond" w:cs="Tahoma"/>
          <w:bCs/>
          <w:lang w:val="pt-PT" w:eastAsia="pt-PT"/>
        </w:rPr>
        <w:footnoteReference w:id="33"/>
      </w:r>
      <w:r w:rsidRPr="001C50C8">
        <w:rPr>
          <w:rFonts w:ascii="Garamond" w:eastAsia="Times New Roman" w:hAnsi="Garamond" w:cs="Tahoma"/>
          <w:bCs/>
          <w:lang w:val="pt-PT" w:eastAsia="pt-PT"/>
        </w:rPr>
        <w:t xml:space="preserve"> A planificação e implementação destas medidas deverá ser acompanhada </w:t>
      </w:r>
      <w:r w:rsidRPr="001C50C8">
        <w:rPr>
          <w:rFonts w:ascii="Garamond" w:hAnsi="Garamond" w:cs="Arial"/>
          <w:lang w:val="pt-BR"/>
        </w:rPr>
        <w:t>(</w:t>
      </w:r>
      <w:r w:rsidRPr="001C50C8">
        <w:rPr>
          <w:rFonts w:ascii="Garamond" w:hAnsi="Garamond"/>
          <w:lang w:val="pt-PT"/>
        </w:rPr>
        <w:t xml:space="preserve">medida parte do Eixo </w:t>
      </w:r>
      <w:r w:rsidRPr="001C50C8">
        <w:rPr>
          <w:rFonts w:ascii="Garamond" w:hAnsi="Garamond"/>
          <w:highlight w:val="yellow"/>
          <w:lang w:val="pt-PT"/>
        </w:rPr>
        <w:t>6</w:t>
      </w:r>
      <w:r w:rsidRPr="001C50C8">
        <w:rPr>
          <w:rFonts w:ascii="Garamond" w:hAnsi="Garamond"/>
          <w:lang w:val="pt-PT"/>
        </w:rPr>
        <w:t>).</w:t>
      </w:r>
    </w:p>
    <w:p w14:paraId="6B194208" w14:textId="77777777" w:rsidR="00FB69C4" w:rsidRDefault="00FB69C4" w:rsidP="000F5FE9">
      <w:pPr>
        <w:pStyle w:val="PargrafodaLista"/>
        <w:numPr>
          <w:ilvl w:val="0"/>
          <w:numId w:val="16"/>
        </w:numPr>
        <w:spacing w:after="240"/>
        <w:jc w:val="both"/>
        <w:rPr>
          <w:rFonts w:ascii="Garamond" w:eastAsia="Times New Roman" w:hAnsi="Garamond" w:cs="Tahoma"/>
          <w:bCs/>
          <w:lang w:val="pt-PT" w:eastAsia="pt-PT"/>
        </w:rPr>
      </w:pPr>
      <w:r w:rsidRPr="001C50C8">
        <w:rPr>
          <w:rFonts w:ascii="Garamond" w:eastAsia="Times New Roman" w:hAnsi="Garamond" w:cs="Tahoma"/>
          <w:bCs/>
          <w:lang w:val="pt-PT" w:eastAsia="pt-PT"/>
        </w:rPr>
        <w:t xml:space="preserve">A promoção da economia verde é outra área que deverá considerar uma abordagem de género, bem como as iniciativas de promoção do turismo e áreas conexas – agronegócios, indústrias criativas, entre outras, incluindo os estudos em curso sobre as cadeias de valores (turismo e agricultura). </w:t>
      </w:r>
    </w:p>
    <w:p w14:paraId="43072C22" w14:textId="77777777" w:rsidR="00FB69C4" w:rsidRDefault="00FB69C4" w:rsidP="000F5FE9">
      <w:pPr>
        <w:pStyle w:val="PargrafodaLista"/>
        <w:numPr>
          <w:ilvl w:val="0"/>
          <w:numId w:val="16"/>
        </w:numPr>
        <w:spacing w:after="240"/>
        <w:jc w:val="both"/>
        <w:rPr>
          <w:rFonts w:ascii="Garamond" w:eastAsia="Times New Roman" w:hAnsi="Garamond" w:cs="Tahoma"/>
          <w:bCs/>
          <w:lang w:val="pt-PT" w:eastAsia="pt-PT"/>
        </w:rPr>
      </w:pPr>
      <w:r>
        <w:rPr>
          <w:rFonts w:ascii="Garamond" w:eastAsia="Times New Roman" w:hAnsi="Garamond" w:cs="Tahoma"/>
          <w:bCs/>
          <w:lang w:val="pt-PT" w:eastAsia="pt-PT"/>
        </w:rPr>
        <w:t xml:space="preserve">O Instituto do Turismo deverá ter as capacidades necessárias para a integração transversal da abordagem de género, incluindo para a implementação, seguimento e avaliação do Plano de </w:t>
      </w:r>
      <w:proofErr w:type="spellStart"/>
      <w:r>
        <w:rPr>
          <w:rFonts w:ascii="Garamond" w:eastAsia="Times New Roman" w:hAnsi="Garamond" w:cs="Tahoma"/>
          <w:bCs/>
          <w:lang w:val="pt-PT" w:eastAsia="pt-PT"/>
        </w:rPr>
        <w:t>Transversalização</w:t>
      </w:r>
      <w:proofErr w:type="spellEnd"/>
      <w:r>
        <w:rPr>
          <w:rFonts w:ascii="Garamond" w:eastAsia="Times New Roman" w:hAnsi="Garamond" w:cs="Tahoma"/>
          <w:bCs/>
          <w:lang w:val="pt-PT" w:eastAsia="pt-PT"/>
        </w:rPr>
        <w:t xml:space="preserve"> existente para o Turismo </w:t>
      </w:r>
      <w:r w:rsidRPr="001C50C8">
        <w:rPr>
          <w:rFonts w:ascii="Garamond" w:hAnsi="Garamond" w:cs="Arial"/>
          <w:lang w:val="pt-BR"/>
        </w:rPr>
        <w:t>(</w:t>
      </w:r>
      <w:r w:rsidRPr="001C50C8">
        <w:rPr>
          <w:rFonts w:ascii="Garamond" w:hAnsi="Garamond"/>
          <w:lang w:val="pt-PT"/>
        </w:rPr>
        <w:t xml:space="preserve">parte do Eixo </w:t>
      </w:r>
      <w:r w:rsidRPr="001C50C8">
        <w:rPr>
          <w:rFonts w:ascii="Garamond" w:hAnsi="Garamond"/>
          <w:highlight w:val="yellow"/>
          <w:lang w:val="pt-PT"/>
        </w:rPr>
        <w:t>6</w:t>
      </w:r>
      <w:r w:rsidRPr="001C50C8">
        <w:rPr>
          <w:rFonts w:ascii="Garamond" w:hAnsi="Garamond"/>
          <w:lang w:val="pt-PT"/>
        </w:rPr>
        <w:t>).</w:t>
      </w:r>
      <w:r>
        <w:rPr>
          <w:rFonts w:ascii="Garamond" w:eastAsia="Times New Roman" w:hAnsi="Garamond" w:cs="Tahoma"/>
          <w:bCs/>
          <w:lang w:val="pt-PT" w:eastAsia="pt-PT"/>
        </w:rPr>
        <w:t xml:space="preserve"> </w:t>
      </w:r>
    </w:p>
    <w:p w14:paraId="0534FEAE" w14:textId="77777777" w:rsidR="00FB69C4" w:rsidRPr="001C50C8" w:rsidRDefault="00FB69C4" w:rsidP="000F5FE9">
      <w:pPr>
        <w:pStyle w:val="PargrafodaLista"/>
        <w:numPr>
          <w:ilvl w:val="0"/>
          <w:numId w:val="16"/>
        </w:numPr>
        <w:spacing w:after="240"/>
        <w:jc w:val="both"/>
        <w:rPr>
          <w:rFonts w:ascii="Garamond" w:eastAsia="Times New Roman" w:hAnsi="Garamond" w:cs="Tahoma"/>
          <w:bCs/>
          <w:lang w:val="pt-PT" w:eastAsia="pt-PT"/>
        </w:rPr>
      </w:pPr>
      <w:r w:rsidRPr="001C50C8">
        <w:rPr>
          <w:rFonts w:ascii="Garamond" w:eastAsia="Times New Roman" w:hAnsi="Garamond" w:cs="Tahoma"/>
          <w:bCs/>
          <w:lang w:val="pt-PT" w:eastAsia="pt-PT"/>
        </w:rPr>
        <w:t xml:space="preserve">Tendo em conta as várias instituições envolvidas nas políticas de emprego, será fundamental que o sistema do seguimento da sua implementação seja sensível ao género, devendo ser desenvolvidas </w:t>
      </w:r>
      <w:proofErr w:type="spellStart"/>
      <w:r w:rsidRPr="001C50C8">
        <w:rPr>
          <w:rFonts w:ascii="Garamond" w:eastAsia="Times New Roman" w:hAnsi="Garamond" w:cs="Tahoma"/>
          <w:bCs/>
          <w:lang w:val="pt-PT" w:eastAsia="pt-PT"/>
        </w:rPr>
        <w:t>diretrizes</w:t>
      </w:r>
      <w:proofErr w:type="spellEnd"/>
      <w:r w:rsidRPr="001C50C8">
        <w:rPr>
          <w:rFonts w:ascii="Garamond" w:eastAsia="Times New Roman" w:hAnsi="Garamond" w:cs="Tahoma"/>
          <w:bCs/>
          <w:lang w:val="pt-PT" w:eastAsia="pt-PT"/>
        </w:rPr>
        <w:t xml:space="preserve"> nesse sentido </w:t>
      </w:r>
      <w:proofErr w:type="spellStart"/>
      <w:r w:rsidRPr="001C50C8">
        <w:rPr>
          <w:rFonts w:ascii="Garamond" w:eastAsia="Times New Roman" w:hAnsi="Garamond" w:cs="Tahoma"/>
          <w:bCs/>
          <w:lang w:val="pt-PT" w:eastAsia="pt-PT"/>
        </w:rPr>
        <w:t>pela</w:t>
      </w:r>
      <w:proofErr w:type="spellEnd"/>
      <w:r w:rsidRPr="001C50C8">
        <w:rPr>
          <w:rFonts w:ascii="Garamond" w:eastAsia="Times New Roman" w:hAnsi="Garamond" w:cs="Tahoma"/>
          <w:bCs/>
          <w:lang w:val="pt-PT" w:eastAsia="pt-PT"/>
        </w:rPr>
        <w:t xml:space="preserve"> </w:t>
      </w:r>
      <w:proofErr w:type="spellStart"/>
      <w:r w:rsidRPr="001C50C8">
        <w:rPr>
          <w:rFonts w:ascii="Garamond" w:eastAsia="Times New Roman" w:hAnsi="Garamond" w:cs="Tahoma"/>
          <w:bCs/>
          <w:lang w:val="pt-PT" w:eastAsia="pt-PT"/>
        </w:rPr>
        <w:t>DGEFPEP</w:t>
      </w:r>
      <w:proofErr w:type="spellEnd"/>
      <w:r w:rsidRPr="001C50C8">
        <w:rPr>
          <w:rFonts w:ascii="Garamond" w:eastAsia="Times New Roman" w:hAnsi="Garamond" w:cs="Tahoma"/>
          <w:bCs/>
          <w:lang w:val="pt-PT" w:eastAsia="pt-PT"/>
        </w:rPr>
        <w:t>.</w:t>
      </w:r>
    </w:p>
    <w:p w14:paraId="5D1B0305" w14:textId="77777777" w:rsidR="00FB69C4" w:rsidRPr="001C50C8" w:rsidRDefault="00FB69C4" w:rsidP="000F5FE9">
      <w:pPr>
        <w:jc w:val="both"/>
        <w:rPr>
          <w:rFonts w:ascii="Garamond" w:hAnsi="Garamond"/>
          <w:lang w:val="pt-PT"/>
        </w:rPr>
      </w:pPr>
      <w:r w:rsidRPr="001C50C8">
        <w:rPr>
          <w:rFonts w:ascii="Garamond" w:hAnsi="Garamond"/>
          <w:lang w:val="pt-PT"/>
        </w:rPr>
        <w:t xml:space="preserve">A PRO-Empresa tem o mandato de promover as micro, pequenas e médias empresas, intermediar o seu acesso ao financiamento bancário ou de </w:t>
      </w:r>
      <w:proofErr w:type="spellStart"/>
      <w:r w:rsidRPr="001C50C8">
        <w:rPr>
          <w:rFonts w:ascii="Garamond" w:hAnsi="Garamond"/>
          <w:lang w:val="pt-PT"/>
        </w:rPr>
        <w:t>micro-finanças</w:t>
      </w:r>
      <w:proofErr w:type="spellEnd"/>
      <w:r w:rsidRPr="001C50C8">
        <w:rPr>
          <w:rFonts w:ascii="Garamond" w:hAnsi="Garamond"/>
          <w:lang w:val="pt-PT"/>
        </w:rPr>
        <w:t xml:space="preserve"> (sendo o acesso ao financiamento um constrangimento maior para os empreendedores, em particular para as mulheres), e acompanhar o desenvolvimento dos negócios. O enfoque é na promoção do emprego de jovens (mulheres e homens), mas no caso das mulheres não se estabelece limite (qualquer idade) e vários programas incluem metas mínimas de apoio a negócios de mulheres. Assim, neste contexto propício</w:t>
      </w:r>
      <w:r w:rsidRPr="001C50C8">
        <w:rPr>
          <w:rFonts w:ascii="Garamond" w:eastAsia="Times New Roman" w:hAnsi="Garamond" w:cs="Tahoma"/>
          <w:bCs/>
          <w:lang w:val="pt-PT" w:eastAsia="pt-PT"/>
        </w:rPr>
        <w:t xml:space="preserve">, será importante seguir a concretização das metas traçadas, mas também analisar que estratégias/serviços são </w:t>
      </w:r>
      <w:proofErr w:type="spellStart"/>
      <w:r w:rsidRPr="001C50C8">
        <w:rPr>
          <w:rFonts w:ascii="Garamond" w:eastAsia="Times New Roman" w:hAnsi="Garamond" w:cs="Tahoma"/>
          <w:bCs/>
          <w:lang w:val="pt-PT" w:eastAsia="pt-PT"/>
        </w:rPr>
        <w:t>suscetíveis</w:t>
      </w:r>
      <w:proofErr w:type="spellEnd"/>
      <w:r w:rsidRPr="001C50C8">
        <w:rPr>
          <w:rFonts w:ascii="Garamond" w:eastAsia="Times New Roman" w:hAnsi="Garamond" w:cs="Tahoma"/>
          <w:bCs/>
          <w:lang w:val="pt-PT" w:eastAsia="pt-PT"/>
        </w:rPr>
        <w:t xml:space="preserve"> de apoiar o </w:t>
      </w:r>
      <w:r w:rsidRPr="001C50C8">
        <w:rPr>
          <w:rFonts w:ascii="Garamond" w:hAnsi="Garamond"/>
          <w:lang w:val="pt-PT"/>
        </w:rPr>
        <w:t xml:space="preserve">empreendedorismo feminino e dar resposta aos desafios específicos que as mulheres empreendedoras enfrentam. Com efeito a avaliação de impacto dos programas de emprego e empreendedorismo implementados </w:t>
      </w:r>
      <w:proofErr w:type="spellStart"/>
      <w:r w:rsidRPr="001C50C8">
        <w:rPr>
          <w:rFonts w:ascii="Garamond" w:hAnsi="Garamond"/>
          <w:lang w:val="pt-PT"/>
        </w:rPr>
        <w:t>pelo</w:t>
      </w:r>
      <w:proofErr w:type="spellEnd"/>
      <w:r w:rsidRPr="001C50C8">
        <w:rPr>
          <w:rFonts w:ascii="Garamond" w:hAnsi="Garamond"/>
          <w:lang w:val="pt-PT"/>
        </w:rPr>
        <w:t xml:space="preserve"> IEFP de 2015 a 2017,</w:t>
      </w:r>
      <w:r w:rsidRPr="001C50C8">
        <w:rPr>
          <w:rStyle w:val="Refdenotaderodap"/>
          <w:rFonts w:ascii="Garamond" w:hAnsi="Garamond"/>
          <w:lang w:val="pt-PT"/>
        </w:rPr>
        <w:footnoteReference w:id="34"/>
      </w:r>
      <w:r w:rsidRPr="001C50C8">
        <w:rPr>
          <w:rFonts w:ascii="Garamond" w:hAnsi="Garamond"/>
          <w:lang w:val="pt-PT"/>
        </w:rPr>
        <w:t xml:space="preserve"> mostra que apesar das mulheres serem a maioria das beneficiárias (67,9%), a taxa de inserção no mercado de trabalho pós-programa é superior para os homens beneficiários (72,3% versus 64,6% para as mulheres); em termos salariais, embora tenha havido um incremento considerável para todos os beneficiários (pós participação num dos programas), constata-se que em média os beneficiários homens ganham salários mais elevado do que as mulheres à partida (antes do programa), diferença que se mantem após a participação no programa, com </w:t>
      </w:r>
      <w:proofErr w:type="spellStart"/>
      <w:r w:rsidRPr="001C50C8">
        <w:rPr>
          <w:rFonts w:ascii="Garamond" w:hAnsi="Garamond"/>
          <w:lang w:val="pt-PT"/>
        </w:rPr>
        <w:t>exceção</w:t>
      </w:r>
      <w:proofErr w:type="spellEnd"/>
      <w:r w:rsidRPr="001C50C8">
        <w:rPr>
          <w:rFonts w:ascii="Garamond" w:hAnsi="Garamond"/>
          <w:lang w:val="pt-PT"/>
        </w:rPr>
        <w:t xml:space="preserve"> do programa de empreendedorismo, em que existe algum equilíbrio entre rendimentos obtidos por mulheres e homens. Também a antiga </w:t>
      </w:r>
      <w:proofErr w:type="spellStart"/>
      <w:r w:rsidRPr="001C50C8">
        <w:rPr>
          <w:rFonts w:ascii="Garamond" w:hAnsi="Garamond"/>
          <w:lang w:val="pt-PT"/>
        </w:rPr>
        <w:t>ADEI</w:t>
      </w:r>
      <w:proofErr w:type="spellEnd"/>
      <w:r w:rsidRPr="001C50C8">
        <w:rPr>
          <w:rFonts w:ascii="Garamond" w:hAnsi="Garamond"/>
          <w:lang w:val="pt-PT"/>
        </w:rPr>
        <w:t xml:space="preserve"> havia verificado que, apesar da participação das mulheres nas </w:t>
      </w:r>
      <w:proofErr w:type="spellStart"/>
      <w:r w:rsidRPr="001C50C8">
        <w:rPr>
          <w:rFonts w:ascii="Garamond" w:hAnsi="Garamond"/>
          <w:lang w:val="pt-PT"/>
        </w:rPr>
        <w:t>ações</w:t>
      </w:r>
      <w:proofErr w:type="spellEnd"/>
      <w:r w:rsidRPr="001C50C8">
        <w:rPr>
          <w:rFonts w:ascii="Garamond" w:hAnsi="Garamond"/>
          <w:lang w:val="pt-PT"/>
        </w:rPr>
        <w:t xml:space="preserve"> de formação em empreendedorismo ser superior à dos homens (56%), a proporção de concretização de projectos e desenvolvimento empresarial delas é inferior à deles (40% em 2015 e 45% em 2016).</w:t>
      </w:r>
    </w:p>
    <w:p w14:paraId="704FBE4A" w14:textId="77777777" w:rsidR="00FB69C4" w:rsidRPr="001C50C8" w:rsidRDefault="00FB69C4" w:rsidP="000F5FE9">
      <w:pPr>
        <w:pStyle w:val="PargrafodaLista"/>
        <w:numPr>
          <w:ilvl w:val="0"/>
          <w:numId w:val="38"/>
        </w:numPr>
        <w:ind w:left="714" w:hanging="357"/>
        <w:jc w:val="both"/>
        <w:rPr>
          <w:rFonts w:ascii="Garamond" w:hAnsi="Garamond"/>
          <w:lang w:val="pt-PT"/>
        </w:rPr>
      </w:pPr>
      <w:r w:rsidRPr="001C50C8">
        <w:rPr>
          <w:rFonts w:ascii="Garamond" w:hAnsi="Garamond"/>
          <w:lang w:val="pt-PT"/>
        </w:rPr>
        <w:t xml:space="preserve">Assim, para garantir que os investimentos se concretizam em resultados, será importante, no acompanhamento do desenvolvimento dos negócios, analisar o tipo de desafios específicos que mulheres e homens enfrentam ( ex. levantamento específico, formação em género e empreendedorismo do(a)s técnico(a)s de acompanhamento, definição de instrumentos de acompanhamento sensíveis ao género, etc.) e tê-los em conta na montagem dos serviços de apoio ao empreendedorismo, em parceria com as </w:t>
      </w:r>
      <w:proofErr w:type="spellStart"/>
      <w:r w:rsidRPr="001C50C8">
        <w:rPr>
          <w:rFonts w:ascii="Garamond" w:hAnsi="Garamond"/>
          <w:lang w:val="pt-PT"/>
        </w:rPr>
        <w:t>OSC</w:t>
      </w:r>
      <w:proofErr w:type="spellEnd"/>
      <w:r w:rsidRPr="001C50C8">
        <w:rPr>
          <w:rFonts w:ascii="Garamond" w:hAnsi="Garamond"/>
          <w:lang w:val="pt-PT"/>
        </w:rPr>
        <w:t xml:space="preserve"> que trabalham sobre o empoderamento económico das mulheres, associações de mulheres empresárias, ou outras organizações/instituições que trabalhem neste domínio.</w:t>
      </w:r>
    </w:p>
    <w:p w14:paraId="3E44172B" w14:textId="77777777" w:rsidR="00FB69C4" w:rsidRPr="001C50C8" w:rsidRDefault="00FB69C4" w:rsidP="00786DEC">
      <w:pPr>
        <w:pStyle w:val="PargrafodaLista"/>
        <w:numPr>
          <w:ilvl w:val="0"/>
          <w:numId w:val="38"/>
        </w:numPr>
        <w:jc w:val="both"/>
        <w:rPr>
          <w:rFonts w:ascii="Garamond" w:hAnsi="Garamond"/>
          <w:lang w:val="pt-PT"/>
        </w:rPr>
      </w:pPr>
      <w:r w:rsidRPr="001C50C8">
        <w:rPr>
          <w:rFonts w:ascii="Garamond" w:hAnsi="Garamond"/>
          <w:lang w:val="pt-PT"/>
        </w:rPr>
        <w:t>Tendo em conta que a Pro-Empresa está a montar um Sistema de Acreditação de Consultores, para prestação de Serviços de Desenvolvimento Empresarial (</w:t>
      </w:r>
      <w:proofErr w:type="spellStart"/>
      <w:r w:rsidRPr="001C50C8">
        <w:rPr>
          <w:rFonts w:ascii="Garamond" w:hAnsi="Garamond"/>
          <w:lang w:val="pt-PT"/>
        </w:rPr>
        <w:t>SDE</w:t>
      </w:r>
      <w:proofErr w:type="spellEnd"/>
      <w:r w:rsidRPr="001C50C8">
        <w:rPr>
          <w:rFonts w:ascii="Garamond" w:hAnsi="Garamond"/>
          <w:lang w:val="pt-PT"/>
        </w:rPr>
        <w:t xml:space="preserve">) no âmbito dos seus programas, </w:t>
      </w:r>
      <w:r>
        <w:rPr>
          <w:rFonts w:ascii="Garamond" w:hAnsi="Garamond"/>
          <w:lang w:val="pt-PT"/>
        </w:rPr>
        <w:t xml:space="preserve">deve </w:t>
      </w:r>
      <w:r w:rsidRPr="001C50C8">
        <w:rPr>
          <w:rFonts w:ascii="Garamond" w:hAnsi="Garamond"/>
          <w:lang w:val="pt-PT"/>
        </w:rPr>
        <w:t xml:space="preserve">assegurar que o(a)s </w:t>
      </w:r>
      <w:proofErr w:type="spellStart"/>
      <w:r w:rsidRPr="001C50C8">
        <w:rPr>
          <w:rFonts w:ascii="Garamond" w:hAnsi="Garamond"/>
          <w:lang w:val="pt-PT"/>
        </w:rPr>
        <w:t>consultore</w:t>
      </w:r>
      <w:proofErr w:type="spellEnd"/>
      <w:r w:rsidRPr="001C50C8">
        <w:rPr>
          <w:rFonts w:ascii="Garamond" w:hAnsi="Garamond"/>
          <w:lang w:val="pt-PT"/>
        </w:rPr>
        <w:t>(a)s acreditados têm competências de género, colocando à sua disposição formação neste domínio.</w:t>
      </w:r>
    </w:p>
    <w:p w14:paraId="553990E1" w14:textId="77777777" w:rsidR="00FB69C4" w:rsidRPr="00450129" w:rsidRDefault="00FB69C4" w:rsidP="00FB69C4">
      <w:pPr>
        <w:pStyle w:val="PargrafodaLista"/>
        <w:numPr>
          <w:ilvl w:val="0"/>
          <w:numId w:val="12"/>
        </w:numPr>
        <w:spacing w:after="240"/>
        <w:jc w:val="both"/>
        <w:rPr>
          <w:rFonts w:ascii="Garamond" w:hAnsi="Garamond"/>
          <w:color w:val="7030A0"/>
          <w:lang w:val="pt-PT"/>
        </w:rPr>
      </w:pPr>
      <w:r w:rsidRPr="001C50C8">
        <w:rPr>
          <w:rFonts w:ascii="Garamond" w:hAnsi="Garamond"/>
          <w:lang w:val="pt-PT"/>
        </w:rPr>
        <w:t xml:space="preserve">Relativamente a dados sobre o acesso de mulheres e homens ao crédito, advogar junto do </w:t>
      </w:r>
      <w:proofErr w:type="spellStart"/>
      <w:r w:rsidRPr="001C50C8">
        <w:rPr>
          <w:rFonts w:ascii="Garamond" w:hAnsi="Garamond"/>
          <w:lang w:val="pt-PT"/>
        </w:rPr>
        <w:t>BCV</w:t>
      </w:r>
      <w:proofErr w:type="spellEnd"/>
      <w:r w:rsidRPr="001C50C8">
        <w:rPr>
          <w:rFonts w:ascii="Garamond" w:hAnsi="Garamond"/>
          <w:lang w:val="pt-PT"/>
        </w:rPr>
        <w:t xml:space="preserve"> a necessidade de adaptar os formatos de relatórios que são solicitados aos bancos e instituições de microcrédito, para que os dados sejam fornecidos desagregados por sexo </w:t>
      </w:r>
      <w:r w:rsidRPr="001C50C8">
        <w:rPr>
          <w:rFonts w:ascii="Garamond" w:hAnsi="Garamond" w:cs="Arial"/>
          <w:lang w:val="pt-BR"/>
        </w:rPr>
        <w:t>(</w:t>
      </w:r>
      <w:r w:rsidRPr="001C50C8">
        <w:rPr>
          <w:rFonts w:ascii="Garamond" w:hAnsi="Garamond"/>
          <w:lang w:val="pt-PT"/>
        </w:rPr>
        <w:t xml:space="preserve">medida que fará parte do Eixo </w:t>
      </w:r>
      <w:r w:rsidRPr="001C50C8">
        <w:rPr>
          <w:rFonts w:ascii="Garamond" w:hAnsi="Garamond"/>
          <w:highlight w:val="yellow"/>
          <w:lang w:val="pt-PT"/>
        </w:rPr>
        <w:t>6</w:t>
      </w:r>
      <w:r w:rsidRPr="001C50C8">
        <w:rPr>
          <w:rFonts w:ascii="Garamond" w:hAnsi="Garamond"/>
          <w:lang w:val="pt-PT"/>
        </w:rPr>
        <w:t xml:space="preserve">).   </w:t>
      </w:r>
    </w:p>
    <w:p w14:paraId="1C77F3CA" w14:textId="77777777" w:rsidR="00FB69C4" w:rsidRPr="00C96041" w:rsidRDefault="00FB69C4" w:rsidP="00FB69C4">
      <w:pPr>
        <w:spacing w:after="240"/>
        <w:contextualSpacing/>
        <w:jc w:val="both"/>
        <w:rPr>
          <w:rFonts w:ascii="Garamond" w:hAnsi="Garamond"/>
          <w:b/>
          <w:bCs/>
          <w:lang w:val="pt-PT"/>
        </w:rPr>
      </w:pPr>
      <w:r w:rsidRPr="00C96041">
        <w:rPr>
          <w:rFonts w:ascii="Garamond" w:hAnsi="Garamond"/>
          <w:b/>
          <w:bCs/>
          <w:lang w:val="pt-PT"/>
        </w:rPr>
        <w:t>Desemprego</w:t>
      </w:r>
    </w:p>
    <w:p w14:paraId="40D03D03" w14:textId="77777777" w:rsidR="00FB69C4" w:rsidRDefault="00FB69C4" w:rsidP="00FB69C4">
      <w:pPr>
        <w:jc w:val="both"/>
        <w:rPr>
          <w:rFonts w:ascii="Garamond" w:hAnsi="Garamond"/>
          <w:lang w:val="pt-PT"/>
        </w:rPr>
      </w:pPr>
      <w:r w:rsidRPr="00C96041">
        <w:rPr>
          <w:rFonts w:ascii="Garamond" w:hAnsi="Garamond"/>
          <w:lang w:val="pt-PT"/>
        </w:rPr>
        <w:t>A taxa de desemprego em 2018 foi de 12,2% e</w:t>
      </w:r>
      <w:r>
        <w:rPr>
          <w:rFonts w:ascii="Garamond" w:hAnsi="Garamond"/>
          <w:lang w:val="pt-PT"/>
        </w:rPr>
        <w:t xml:space="preserve">, globalmente, </w:t>
      </w:r>
      <w:proofErr w:type="spellStart"/>
      <w:r w:rsidRPr="00C96041">
        <w:rPr>
          <w:rFonts w:ascii="Garamond" w:hAnsi="Garamond"/>
          <w:lang w:val="pt-PT"/>
        </w:rPr>
        <w:t>afetou</w:t>
      </w:r>
      <w:proofErr w:type="spellEnd"/>
      <w:r w:rsidRPr="00C96041">
        <w:rPr>
          <w:rFonts w:ascii="Garamond" w:hAnsi="Garamond"/>
          <w:lang w:val="pt-PT"/>
        </w:rPr>
        <w:t xml:space="preserve"> mais os homens (12,7%) do que as mulheres (11,6%)</w:t>
      </w:r>
      <w:r>
        <w:rPr>
          <w:rFonts w:ascii="Garamond" w:hAnsi="Garamond"/>
          <w:lang w:val="pt-PT"/>
        </w:rPr>
        <w:t xml:space="preserve">. Contudo, a taxa de desemprego das mulheres no meio rural é superior à dos homens (14,1% para as mulheres, 9,8% para os homens). </w:t>
      </w:r>
      <w:r w:rsidRPr="00F028DD">
        <w:rPr>
          <w:rFonts w:ascii="Garamond" w:hAnsi="Garamond"/>
          <w:lang w:val="pt-PT"/>
        </w:rPr>
        <w:t xml:space="preserve">O grupo etário </w:t>
      </w:r>
      <w:r>
        <w:rPr>
          <w:rFonts w:ascii="Garamond" w:hAnsi="Garamond"/>
          <w:lang w:val="pt-PT"/>
        </w:rPr>
        <w:t xml:space="preserve">mais </w:t>
      </w:r>
      <w:proofErr w:type="spellStart"/>
      <w:r>
        <w:rPr>
          <w:rFonts w:ascii="Garamond" w:hAnsi="Garamond"/>
          <w:lang w:val="pt-PT"/>
        </w:rPr>
        <w:t>afetado</w:t>
      </w:r>
      <w:proofErr w:type="spellEnd"/>
      <w:r>
        <w:rPr>
          <w:rFonts w:ascii="Garamond" w:hAnsi="Garamond"/>
          <w:lang w:val="pt-PT"/>
        </w:rPr>
        <w:t xml:space="preserve"> </w:t>
      </w:r>
      <w:proofErr w:type="spellStart"/>
      <w:r>
        <w:rPr>
          <w:rFonts w:ascii="Garamond" w:hAnsi="Garamond"/>
          <w:lang w:val="pt-PT"/>
        </w:rPr>
        <w:t>pelo</w:t>
      </w:r>
      <w:proofErr w:type="spellEnd"/>
      <w:r>
        <w:rPr>
          <w:rFonts w:ascii="Garamond" w:hAnsi="Garamond"/>
          <w:lang w:val="pt-PT"/>
        </w:rPr>
        <w:t xml:space="preserve"> </w:t>
      </w:r>
      <w:r w:rsidRPr="00F028DD">
        <w:rPr>
          <w:rFonts w:ascii="Garamond" w:hAnsi="Garamond"/>
          <w:lang w:val="pt-PT"/>
        </w:rPr>
        <w:t xml:space="preserve">desemprego </w:t>
      </w:r>
      <w:r>
        <w:rPr>
          <w:rFonts w:ascii="Garamond" w:hAnsi="Garamond"/>
          <w:lang w:val="pt-PT"/>
        </w:rPr>
        <w:t>é o d</w:t>
      </w:r>
      <w:r w:rsidRPr="00F028DD">
        <w:rPr>
          <w:rFonts w:ascii="Garamond" w:hAnsi="Garamond"/>
          <w:lang w:val="pt-PT"/>
        </w:rPr>
        <w:t xml:space="preserve">os jovens 15-24 anos </w:t>
      </w:r>
      <w:r>
        <w:rPr>
          <w:rFonts w:ascii="Garamond" w:hAnsi="Garamond"/>
          <w:lang w:val="pt-PT"/>
        </w:rPr>
        <w:t>(</w:t>
      </w:r>
      <w:r w:rsidRPr="00F028DD">
        <w:rPr>
          <w:rFonts w:ascii="Garamond" w:hAnsi="Garamond"/>
          <w:lang w:val="pt-PT"/>
        </w:rPr>
        <w:t>27,8%</w:t>
      </w:r>
      <w:r>
        <w:rPr>
          <w:rFonts w:ascii="Garamond" w:hAnsi="Garamond"/>
          <w:lang w:val="pt-PT"/>
        </w:rPr>
        <w:t xml:space="preserve">) e em particular as mulheres jovens: quase 1 em cada 3 </w:t>
      </w:r>
      <w:proofErr w:type="gramStart"/>
      <w:r>
        <w:rPr>
          <w:rFonts w:ascii="Garamond" w:hAnsi="Garamond"/>
          <w:lang w:val="pt-PT"/>
        </w:rPr>
        <w:t>jovem mulheres</w:t>
      </w:r>
      <w:proofErr w:type="gramEnd"/>
      <w:r>
        <w:rPr>
          <w:rFonts w:ascii="Garamond" w:hAnsi="Garamond"/>
          <w:lang w:val="pt-PT"/>
        </w:rPr>
        <w:t xml:space="preserve"> de 15-24 anos está desempregada (31,9%) o que acontece com quase 1 em 4 jovem homens (</w:t>
      </w:r>
      <w:r w:rsidRPr="009E3386">
        <w:rPr>
          <w:rFonts w:ascii="Garamond" w:hAnsi="Garamond"/>
          <w:lang w:val="pt-PT"/>
        </w:rPr>
        <w:t>24,6</w:t>
      </w:r>
      <w:r>
        <w:rPr>
          <w:rFonts w:ascii="Garamond" w:hAnsi="Garamond"/>
          <w:lang w:val="pt-PT"/>
        </w:rPr>
        <w:t xml:space="preserve">%). Relativamente ao desemprego </w:t>
      </w:r>
      <w:r w:rsidRPr="00F028DD">
        <w:rPr>
          <w:rFonts w:ascii="Garamond" w:hAnsi="Garamond"/>
          <w:lang w:val="pt-PT"/>
        </w:rPr>
        <w:t>na população com nível superior</w:t>
      </w:r>
      <w:r>
        <w:rPr>
          <w:rFonts w:ascii="Garamond" w:hAnsi="Garamond"/>
          <w:lang w:val="pt-PT"/>
        </w:rPr>
        <w:t xml:space="preserve"> de educação</w:t>
      </w:r>
      <w:r w:rsidRPr="00F028DD">
        <w:rPr>
          <w:rFonts w:ascii="Garamond" w:hAnsi="Garamond"/>
          <w:lang w:val="pt-PT"/>
        </w:rPr>
        <w:t xml:space="preserve">, </w:t>
      </w:r>
      <w:r>
        <w:rPr>
          <w:rFonts w:ascii="Garamond" w:hAnsi="Garamond"/>
          <w:lang w:val="pt-PT"/>
        </w:rPr>
        <w:t xml:space="preserve">passou </w:t>
      </w:r>
      <w:r w:rsidRPr="00F028DD">
        <w:rPr>
          <w:rFonts w:ascii="Garamond" w:hAnsi="Garamond"/>
          <w:lang w:val="pt-PT"/>
        </w:rPr>
        <w:t>de 10,9% em 2017 para 6,2% em 2018</w:t>
      </w:r>
      <w:r>
        <w:rPr>
          <w:rFonts w:ascii="Garamond" w:hAnsi="Garamond"/>
          <w:lang w:val="pt-PT"/>
        </w:rPr>
        <w:t xml:space="preserve">, sendo de </w:t>
      </w:r>
      <w:r w:rsidRPr="009E3386">
        <w:rPr>
          <w:rFonts w:ascii="Garamond" w:hAnsi="Garamond"/>
          <w:lang w:val="pt-PT"/>
        </w:rPr>
        <w:t>6,9</w:t>
      </w:r>
      <w:r>
        <w:rPr>
          <w:rFonts w:ascii="Garamond" w:hAnsi="Garamond"/>
          <w:lang w:val="pt-PT"/>
        </w:rPr>
        <w:t xml:space="preserve">% entre as mulheres com formação superior e </w:t>
      </w:r>
      <w:r w:rsidRPr="009E3386">
        <w:rPr>
          <w:rFonts w:ascii="Garamond" w:hAnsi="Garamond"/>
          <w:lang w:val="pt-PT"/>
        </w:rPr>
        <w:t>5,3</w:t>
      </w:r>
      <w:r>
        <w:rPr>
          <w:rFonts w:ascii="Garamond" w:hAnsi="Garamond"/>
          <w:lang w:val="pt-PT"/>
        </w:rPr>
        <w:t>% entre os homens. Note-se que a taxa de mulheres empregadas com formação superior é mais elevada do que a dos homens (</w:t>
      </w:r>
      <w:r w:rsidRPr="00DC2BD2">
        <w:rPr>
          <w:rFonts w:ascii="Garamond" w:hAnsi="Garamond"/>
          <w:lang w:val="pt-PT"/>
        </w:rPr>
        <w:t>20,9</w:t>
      </w:r>
      <w:r>
        <w:rPr>
          <w:rFonts w:ascii="Garamond" w:hAnsi="Garamond"/>
          <w:lang w:val="pt-PT"/>
        </w:rPr>
        <w:t xml:space="preserve">% e </w:t>
      </w:r>
      <w:r w:rsidRPr="00DC2BD2">
        <w:rPr>
          <w:rFonts w:ascii="Garamond" w:hAnsi="Garamond"/>
          <w:lang w:val="pt-PT"/>
        </w:rPr>
        <w:t>13,1</w:t>
      </w:r>
      <w:r>
        <w:rPr>
          <w:rFonts w:ascii="Garamond" w:hAnsi="Garamond"/>
          <w:lang w:val="pt-PT"/>
        </w:rPr>
        <w:t xml:space="preserve">% </w:t>
      </w:r>
      <w:proofErr w:type="spellStart"/>
      <w:r>
        <w:rPr>
          <w:rFonts w:ascii="Garamond" w:hAnsi="Garamond"/>
          <w:lang w:val="pt-PT"/>
        </w:rPr>
        <w:t>respetivamente</w:t>
      </w:r>
      <w:proofErr w:type="spellEnd"/>
      <w:r>
        <w:rPr>
          <w:rFonts w:ascii="Garamond" w:hAnsi="Garamond"/>
          <w:lang w:val="pt-PT"/>
        </w:rPr>
        <w:t>). Contudo, analisando o perfil dos desempregados, verifica-se que 11,5% das mulheres desempregadas têm formação superior o que acontece com 5,1% dos homens desempregados.</w:t>
      </w:r>
    </w:p>
    <w:p w14:paraId="0FC17183" w14:textId="77777777" w:rsidR="00FB69C4" w:rsidRPr="001C50C8" w:rsidRDefault="00FB69C4" w:rsidP="00786DEC">
      <w:pPr>
        <w:pStyle w:val="PargrafodaLista"/>
        <w:numPr>
          <w:ilvl w:val="0"/>
          <w:numId w:val="38"/>
        </w:numPr>
        <w:ind w:left="714" w:hanging="357"/>
        <w:contextualSpacing w:val="0"/>
        <w:jc w:val="both"/>
        <w:rPr>
          <w:rFonts w:ascii="Garamond" w:hAnsi="Garamond"/>
          <w:lang w:val="pt-PT"/>
        </w:rPr>
      </w:pPr>
      <w:r w:rsidRPr="001C50C8">
        <w:rPr>
          <w:rFonts w:ascii="Garamond" w:hAnsi="Garamond"/>
          <w:lang w:val="pt-PT"/>
        </w:rPr>
        <w:t>Tendo em conta estes dados compreende-se que a maioria dos beneficiários do Programa Nacional de Estágios Profissionais (</w:t>
      </w:r>
      <w:proofErr w:type="spellStart"/>
      <w:r w:rsidRPr="001C50C8">
        <w:rPr>
          <w:rFonts w:ascii="Garamond" w:hAnsi="Garamond"/>
          <w:lang w:val="pt-PT"/>
        </w:rPr>
        <w:t>PNEP</w:t>
      </w:r>
      <w:proofErr w:type="spellEnd"/>
      <w:r w:rsidRPr="001C50C8">
        <w:rPr>
          <w:rFonts w:ascii="Garamond" w:hAnsi="Garamond"/>
          <w:lang w:val="pt-PT"/>
        </w:rPr>
        <w:t>), orientado para jovens 18-35 anos, diplomados da formação profissional ou do ensino superior, à procura do 1º emprego, vêm sendo mulheres (66,8% de 2015 a 2017). Será importante consolidar a abordagem de género, integrando-a no Roteiro sobre Estágios Profissionais em curso de elaboração e nas directrizes anuais do Programa.</w:t>
      </w:r>
    </w:p>
    <w:p w14:paraId="0B2C64C4" w14:textId="77777777" w:rsidR="00FB69C4" w:rsidRPr="001C50C8" w:rsidRDefault="00FB69C4" w:rsidP="00786DEC">
      <w:pPr>
        <w:pStyle w:val="PargrafodaLista"/>
        <w:numPr>
          <w:ilvl w:val="0"/>
          <w:numId w:val="38"/>
        </w:numPr>
        <w:spacing w:after="160" w:line="259" w:lineRule="auto"/>
        <w:jc w:val="both"/>
        <w:rPr>
          <w:rFonts w:ascii="Garamond" w:hAnsi="Garamond"/>
          <w:lang w:val="pt-PT"/>
        </w:rPr>
      </w:pPr>
      <w:r w:rsidRPr="001C50C8">
        <w:rPr>
          <w:rFonts w:ascii="Garamond" w:hAnsi="Garamond"/>
          <w:lang w:val="pt-PT"/>
        </w:rPr>
        <w:t xml:space="preserve">O </w:t>
      </w:r>
      <w:proofErr w:type="spellStart"/>
      <w:r w:rsidRPr="001C50C8">
        <w:rPr>
          <w:rFonts w:ascii="Garamond" w:hAnsi="Garamond"/>
          <w:lang w:val="pt-PT"/>
        </w:rPr>
        <w:t>PNE</w:t>
      </w:r>
      <w:proofErr w:type="spellEnd"/>
      <w:r w:rsidRPr="001C50C8">
        <w:rPr>
          <w:rFonts w:ascii="Garamond" w:hAnsi="Garamond"/>
          <w:lang w:val="pt-PT"/>
        </w:rPr>
        <w:t xml:space="preserve"> e </w:t>
      </w:r>
      <w:proofErr w:type="spellStart"/>
      <w:r w:rsidRPr="001C50C8">
        <w:rPr>
          <w:rFonts w:ascii="Garamond" w:hAnsi="Garamond"/>
          <w:lang w:val="pt-PT"/>
        </w:rPr>
        <w:t>PNAEJ</w:t>
      </w:r>
      <w:proofErr w:type="spellEnd"/>
      <w:r w:rsidRPr="001C50C8">
        <w:rPr>
          <w:rFonts w:ascii="Garamond" w:hAnsi="Garamond"/>
          <w:lang w:val="pt-PT"/>
        </w:rPr>
        <w:t xml:space="preserve"> propõem a redinamização e reforço dos serviços de orientação profissional e de intermediação laboral, que apoie o desenvolvimento de percursos de inserção personalizados para os jovens em cada ilha. Será importante ter em conta as experiências e lições aprendidas com o modelo do </w:t>
      </w:r>
      <w:proofErr w:type="spellStart"/>
      <w:r w:rsidRPr="001C50C8">
        <w:rPr>
          <w:rFonts w:ascii="Garamond" w:hAnsi="Garamond"/>
          <w:lang w:val="pt-PT"/>
        </w:rPr>
        <w:t>GOIP</w:t>
      </w:r>
      <w:proofErr w:type="spellEnd"/>
      <w:r w:rsidRPr="001C50C8">
        <w:rPr>
          <w:rFonts w:ascii="Garamond" w:hAnsi="Garamond"/>
          <w:lang w:val="pt-PT"/>
        </w:rPr>
        <w:t xml:space="preserve"> - Gabinete de Orientação e Inserção Profissional Mulheres (programa da </w:t>
      </w:r>
      <w:proofErr w:type="spellStart"/>
      <w:r w:rsidRPr="001C50C8">
        <w:rPr>
          <w:rFonts w:ascii="Garamond" w:hAnsi="Garamond"/>
          <w:lang w:val="pt-PT"/>
        </w:rPr>
        <w:t>OMCV</w:t>
      </w:r>
      <w:proofErr w:type="spellEnd"/>
      <w:r w:rsidRPr="001C50C8">
        <w:rPr>
          <w:rFonts w:ascii="Garamond" w:hAnsi="Garamond"/>
          <w:lang w:val="pt-PT"/>
        </w:rPr>
        <w:t>), reflectindo-as no reforço dos serviços de intermediação laboral.</w:t>
      </w:r>
    </w:p>
    <w:p w14:paraId="41227331" w14:textId="77777777" w:rsidR="00FB69C4" w:rsidRPr="001C50C8" w:rsidRDefault="00FB69C4" w:rsidP="00786DEC">
      <w:pPr>
        <w:pStyle w:val="PargrafodaLista"/>
        <w:numPr>
          <w:ilvl w:val="0"/>
          <w:numId w:val="38"/>
        </w:numPr>
        <w:spacing w:after="240"/>
        <w:ind w:left="714" w:hanging="357"/>
        <w:contextualSpacing w:val="0"/>
        <w:jc w:val="both"/>
        <w:rPr>
          <w:rFonts w:ascii="Garamond" w:hAnsi="Garamond"/>
          <w:lang w:val="pt-PT"/>
        </w:rPr>
      </w:pPr>
      <w:r w:rsidRPr="001C50C8">
        <w:rPr>
          <w:rFonts w:ascii="Garamond" w:hAnsi="Garamond"/>
          <w:lang w:val="pt-PT"/>
        </w:rPr>
        <w:t>Relativamente à empregabilidade dos desempregados de longa duração e dos recém-formados desempregados, estão previstas medidas específicas (plano de formação específico, programas de reconversão de perfil e da qualificação, etc.), que deverão ter em conta o perfil de género destes dois grupos alvo na definição dos programas e no seu seguimento.</w:t>
      </w:r>
      <w:r w:rsidRPr="001C50C8">
        <w:rPr>
          <w:rStyle w:val="Refdenotaderodap"/>
          <w:rFonts w:ascii="Garamond" w:hAnsi="Garamond"/>
          <w:lang w:val="pt-PT"/>
        </w:rPr>
        <w:footnoteReference w:id="35"/>
      </w:r>
    </w:p>
    <w:p w14:paraId="61A9FD49" w14:textId="77777777" w:rsidR="00FB69C4" w:rsidRPr="001C50C8" w:rsidRDefault="00FB69C4" w:rsidP="00FB69C4">
      <w:pPr>
        <w:contextualSpacing/>
        <w:jc w:val="both"/>
        <w:rPr>
          <w:rFonts w:ascii="Garamond" w:hAnsi="Garamond"/>
          <w:b/>
          <w:bCs/>
          <w:lang w:val="pt-PT"/>
        </w:rPr>
      </w:pPr>
      <w:r w:rsidRPr="001C50C8">
        <w:rPr>
          <w:rFonts w:ascii="Garamond" w:hAnsi="Garamond"/>
          <w:b/>
          <w:bCs/>
          <w:lang w:val="pt-PT"/>
        </w:rPr>
        <w:t>Outras questões de género no mundo laboral</w:t>
      </w:r>
    </w:p>
    <w:p w14:paraId="5166B53B" w14:textId="77777777" w:rsidR="00FB69C4" w:rsidRPr="001C50C8" w:rsidRDefault="00FB69C4" w:rsidP="00FB69C4">
      <w:pPr>
        <w:spacing w:after="240"/>
        <w:jc w:val="both"/>
        <w:rPr>
          <w:rFonts w:ascii="Garamond" w:hAnsi="Garamond"/>
          <w:lang w:val="pt-PT"/>
        </w:rPr>
      </w:pPr>
      <w:r w:rsidRPr="001C50C8">
        <w:rPr>
          <w:rFonts w:ascii="Garamond" w:hAnsi="Garamond"/>
          <w:lang w:val="pt-PT"/>
        </w:rPr>
        <w:t xml:space="preserve">Embora o país não disponha de dados sistemáticos a respeito da </w:t>
      </w:r>
      <w:r w:rsidRPr="001C50C8">
        <w:rPr>
          <w:rFonts w:ascii="Garamond" w:hAnsi="Garamond"/>
          <w:b/>
          <w:bCs/>
          <w:lang w:val="pt-PT"/>
        </w:rPr>
        <w:t>discriminação salarial entre mulheres e homens</w:t>
      </w:r>
      <w:r w:rsidRPr="001C50C8">
        <w:rPr>
          <w:rFonts w:ascii="Garamond" w:hAnsi="Garamond"/>
          <w:lang w:val="pt-PT"/>
        </w:rPr>
        <w:t xml:space="preserve">, várias informações dão indicação de que ela existe, entre as quais a análise do </w:t>
      </w:r>
      <w:proofErr w:type="spellStart"/>
      <w:r w:rsidRPr="001C50C8">
        <w:rPr>
          <w:rFonts w:ascii="Garamond" w:hAnsi="Garamond"/>
          <w:lang w:val="pt-PT"/>
        </w:rPr>
        <w:t>setor</w:t>
      </w:r>
      <w:proofErr w:type="spellEnd"/>
      <w:r w:rsidRPr="001C50C8">
        <w:rPr>
          <w:rFonts w:ascii="Garamond" w:hAnsi="Garamond"/>
          <w:lang w:val="pt-PT"/>
        </w:rPr>
        <w:t xml:space="preserve"> informal: em 2015 o salário médio mensal dos homens assalariados do </w:t>
      </w:r>
      <w:proofErr w:type="spellStart"/>
      <w:r w:rsidRPr="001C50C8">
        <w:rPr>
          <w:rFonts w:ascii="Garamond" w:hAnsi="Garamond"/>
          <w:lang w:val="pt-PT"/>
        </w:rPr>
        <w:t>setor</w:t>
      </w:r>
      <w:proofErr w:type="spellEnd"/>
      <w:r w:rsidRPr="001C50C8">
        <w:rPr>
          <w:rFonts w:ascii="Garamond" w:hAnsi="Garamond"/>
          <w:lang w:val="pt-PT"/>
        </w:rPr>
        <w:t xml:space="preserve"> informal foi de cerca de 10.455 </w:t>
      </w:r>
      <w:proofErr w:type="spellStart"/>
      <w:r w:rsidRPr="001C50C8">
        <w:rPr>
          <w:rFonts w:ascii="Garamond" w:hAnsi="Garamond"/>
          <w:lang w:val="pt-PT"/>
        </w:rPr>
        <w:t>ECV</w:t>
      </w:r>
      <w:proofErr w:type="spellEnd"/>
      <w:r w:rsidRPr="001C50C8">
        <w:rPr>
          <w:rFonts w:ascii="Garamond" w:hAnsi="Garamond"/>
          <w:lang w:val="pt-PT"/>
        </w:rPr>
        <w:t xml:space="preserve"> a mais do que o das mulheres, ou seja elas recebem em média menos 28% do que eles.</w:t>
      </w:r>
      <w:r w:rsidRPr="001C50C8">
        <w:rPr>
          <w:rStyle w:val="Refdenotaderodap"/>
          <w:rFonts w:ascii="Garamond" w:hAnsi="Garamond"/>
          <w:lang w:val="pt-PT"/>
        </w:rPr>
        <w:footnoteReference w:id="36"/>
      </w:r>
      <w:r w:rsidRPr="001C50C8">
        <w:rPr>
          <w:rFonts w:ascii="Garamond" w:hAnsi="Garamond"/>
          <w:lang w:val="pt-PT"/>
        </w:rPr>
        <w:t xml:space="preserve"> </w:t>
      </w:r>
      <w:r w:rsidRPr="001C50C8">
        <w:rPr>
          <w:rStyle w:val="Refdenotaderodap"/>
          <w:rFonts w:ascii="Garamond" w:hAnsi="Garamond"/>
          <w:lang w:val="pt-PT"/>
        </w:rPr>
        <w:footnoteReference w:id="37"/>
      </w:r>
      <w:r w:rsidRPr="001C50C8">
        <w:rPr>
          <w:rFonts w:ascii="Garamond" w:hAnsi="Garamond"/>
          <w:lang w:val="pt-PT"/>
        </w:rPr>
        <w:t xml:space="preserve"> </w:t>
      </w:r>
    </w:p>
    <w:p w14:paraId="6C437EDC" w14:textId="77777777" w:rsidR="00FB69C4" w:rsidRPr="001C50C8" w:rsidRDefault="00FB69C4" w:rsidP="00FB69C4">
      <w:pPr>
        <w:jc w:val="both"/>
        <w:rPr>
          <w:rFonts w:ascii="Garamond" w:hAnsi="Garamond"/>
          <w:lang w:val="pt-PT"/>
        </w:rPr>
      </w:pPr>
      <w:r w:rsidRPr="001C50C8">
        <w:rPr>
          <w:rFonts w:ascii="Garamond" w:hAnsi="Garamond"/>
          <w:lang w:val="pt-PT"/>
        </w:rPr>
        <w:t xml:space="preserve">A </w:t>
      </w:r>
      <w:r w:rsidRPr="001C50C8">
        <w:rPr>
          <w:rFonts w:ascii="Garamond" w:hAnsi="Garamond"/>
          <w:i/>
          <w:iCs/>
          <w:lang w:val="pt-PT"/>
        </w:rPr>
        <w:t>diferença salarial</w:t>
      </w:r>
      <w:r w:rsidRPr="001C50C8">
        <w:rPr>
          <w:rFonts w:ascii="Garamond" w:hAnsi="Garamond"/>
          <w:lang w:val="pt-PT"/>
        </w:rPr>
        <w:t xml:space="preserve"> diz respeito à distância entre o que mulheres e homens recebem como retribuição média, que pode estar vinculada a diferentes </w:t>
      </w:r>
      <w:proofErr w:type="spellStart"/>
      <w:r w:rsidRPr="001C50C8">
        <w:rPr>
          <w:rFonts w:ascii="Garamond" w:hAnsi="Garamond"/>
          <w:lang w:val="pt-PT"/>
        </w:rPr>
        <w:t>fatores</w:t>
      </w:r>
      <w:proofErr w:type="spellEnd"/>
      <w:r w:rsidRPr="001C50C8">
        <w:rPr>
          <w:rFonts w:ascii="Garamond" w:hAnsi="Garamond"/>
          <w:lang w:val="pt-PT"/>
        </w:rPr>
        <w:t xml:space="preserve">, tais como as qualificações e experiência da pessoa; ao tipo de trabalho executado (funções, nível de responsabilidades, antiguidade, etc.): à entidade empregadora (ex. empresa grande versus pequena, etc.). A </w:t>
      </w:r>
      <w:r w:rsidRPr="001C50C8">
        <w:rPr>
          <w:rFonts w:ascii="Garamond" w:hAnsi="Garamond"/>
          <w:i/>
          <w:iCs/>
          <w:lang w:val="pt-PT"/>
        </w:rPr>
        <w:t>discriminação salarial</w:t>
      </w:r>
      <w:r w:rsidRPr="001C50C8">
        <w:rPr>
          <w:rFonts w:ascii="Garamond" w:hAnsi="Garamond"/>
          <w:lang w:val="pt-PT"/>
        </w:rPr>
        <w:t xml:space="preserve"> diz respeito às diferenças que existem uma vez considerados estes factores, ou seja, as diferenças que não se explicam de outra forma que não seja em função do sexo do(a) trabalhador(a). Uma das formas de discriminação salarial é o salário diferente atribuído a trabalhos realizados tradicionalmente por homens, e os realizados tradicionalmente por mulheres, apesar das qualificações e competências necessárias nos dois casos serem semelhantes e as responsabilidades equiparáveis. Por exemplo, no caso de empregadas domésticas (maioritariamente mulheres) e guardas (maioritariamente homens), ou na administração pública no caso das funcionárias de serviços gerais (maioria mulheres) e condutores (maioria homens).</w:t>
      </w:r>
    </w:p>
    <w:p w14:paraId="7466A35F" w14:textId="77777777" w:rsidR="00FB69C4" w:rsidRPr="001C50C8" w:rsidRDefault="00FB69C4" w:rsidP="00786DEC">
      <w:pPr>
        <w:pStyle w:val="NormalWeb"/>
        <w:numPr>
          <w:ilvl w:val="0"/>
          <w:numId w:val="35"/>
        </w:numPr>
        <w:shd w:val="clear" w:color="auto" w:fill="FFFFFF"/>
        <w:spacing w:before="0" w:beforeAutospacing="0" w:after="0" w:afterAutospacing="0"/>
        <w:jc w:val="both"/>
        <w:rPr>
          <w:rFonts w:ascii="Garamond" w:eastAsiaTheme="minorHAnsi" w:hAnsi="Garamond" w:cstheme="minorBidi"/>
          <w:lang w:val="pt-PT"/>
        </w:rPr>
      </w:pPr>
      <w:r w:rsidRPr="001C50C8">
        <w:rPr>
          <w:rFonts w:ascii="Garamond" w:eastAsiaTheme="minorHAnsi" w:hAnsi="Garamond" w:cstheme="minorBidi"/>
          <w:lang w:val="pt-PT"/>
        </w:rPr>
        <w:t xml:space="preserve">Em termos de quadro legal, o </w:t>
      </w:r>
      <w:r w:rsidRPr="001C50C8">
        <w:rPr>
          <w:rFonts w:ascii="Garamond" w:hAnsi="Garamond"/>
          <w:lang w:val="pt-PT"/>
        </w:rPr>
        <w:t xml:space="preserve">Código Laboral não integra o princípio de salário igual por trabalho de igual valor, </w:t>
      </w:r>
      <w:proofErr w:type="spellStart"/>
      <w:r w:rsidRPr="001C50C8">
        <w:rPr>
          <w:rFonts w:ascii="Garamond" w:hAnsi="Garamond"/>
          <w:lang w:val="pt-PT"/>
        </w:rPr>
        <w:t>pelo</w:t>
      </w:r>
      <w:proofErr w:type="spellEnd"/>
      <w:r w:rsidRPr="001C50C8">
        <w:rPr>
          <w:rFonts w:ascii="Garamond" w:hAnsi="Garamond"/>
          <w:lang w:val="pt-PT"/>
        </w:rPr>
        <w:t xml:space="preserve"> que deverá ser revisto em conformidade com a Convenção nº100 da OIT.</w:t>
      </w:r>
    </w:p>
    <w:p w14:paraId="2096719E" w14:textId="77777777" w:rsidR="00FB69C4" w:rsidRPr="001C50C8" w:rsidRDefault="00FB69C4" w:rsidP="00786DEC">
      <w:pPr>
        <w:pStyle w:val="NormalWeb"/>
        <w:numPr>
          <w:ilvl w:val="0"/>
          <w:numId w:val="35"/>
        </w:numPr>
        <w:shd w:val="clear" w:color="auto" w:fill="FFFFFF"/>
        <w:spacing w:before="0" w:beforeAutospacing="0" w:after="0" w:afterAutospacing="0"/>
        <w:jc w:val="both"/>
        <w:rPr>
          <w:rFonts w:ascii="Garamond" w:eastAsiaTheme="minorHAnsi" w:hAnsi="Garamond" w:cstheme="minorBidi"/>
          <w:lang w:val="pt-PT"/>
        </w:rPr>
      </w:pPr>
      <w:r w:rsidRPr="001C50C8">
        <w:rPr>
          <w:rFonts w:ascii="Garamond" w:eastAsiaTheme="minorHAnsi" w:hAnsi="Garamond" w:cstheme="minorBidi"/>
          <w:lang w:val="pt-PT"/>
        </w:rPr>
        <w:t xml:space="preserve">Será importante realizar um estudo em Cabo Verde para dar visibilidade à discriminação salarial, que resulta da incapacidade de reconhecer o valor do trabalho realizado por homens e mulheres sem distorções de género. Poderá ser realizado por exemplo a partir das informações da base de dados da função pública, ou outros dados disponíveis, </w:t>
      </w:r>
      <w:r>
        <w:rPr>
          <w:rFonts w:ascii="Garamond" w:eastAsiaTheme="minorHAnsi" w:hAnsi="Garamond" w:cstheme="minorBidi"/>
          <w:lang w:val="pt-PT"/>
        </w:rPr>
        <w:t xml:space="preserve">para </w:t>
      </w:r>
      <w:r w:rsidRPr="001C50C8">
        <w:rPr>
          <w:rFonts w:ascii="Garamond" w:eastAsiaTheme="minorHAnsi" w:hAnsi="Garamond" w:cstheme="minorBidi"/>
          <w:lang w:val="pt-PT"/>
        </w:rPr>
        <w:t xml:space="preserve">conhecer a extensão da questão e identificar trabalhos de igual valor aos quais não correspondem salários iguais para mulheres e homens. </w:t>
      </w:r>
    </w:p>
    <w:p w14:paraId="469188D9" w14:textId="77777777" w:rsidR="00FB69C4" w:rsidRPr="001C50C8" w:rsidRDefault="00FB69C4" w:rsidP="00786DEC">
      <w:pPr>
        <w:pStyle w:val="NormalWeb"/>
        <w:numPr>
          <w:ilvl w:val="0"/>
          <w:numId w:val="35"/>
        </w:numPr>
        <w:shd w:val="clear" w:color="auto" w:fill="FFFFFF"/>
        <w:spacing w:before="0" w:beforeAutospacing="0" w:after="0" w:afterAutospacing="0"/>
        <w:jc w:val="both"/>
        <w:rPr>
          <w:rFonts w:ascii="Garamond" w:eastAsiaTheme="minorHAnsi" w:hAnsi="Garamond" w:cstheme="minorBidi"/>
          <w:lang w:val="pt-PT"/>
        </w:rPr>
      </w:pPr>
      <w:r w:rsidRPr="001C50C8">
        <w:rPr>
          <w:rFonts w:ascii="Garamond" w:eastAsiaTheme="minorHAnsi" w:hAnsi="Garamond" w:cstheme="minorBidi"/>
          <w:lang w:val="pt-PT"/>
        </w:rPr>
        <w:t>Ao mesmo tempo, as capacidades do INE para introduzir a dimensão salarial e a sua análise nos inquéritos ao emprego deverão ser reforçadas (</w:t>
      </w:r>
      <w:r w:rsidRPr="001C50C8">
        <w:rPr>
          <w:rFonts w:ascii="Garamond" w:hAnsi="Garamond"/>
          <w:lang w:val="pt-PT"/>
        </w:rPr>
        <w:t xml:space="preserve">medida parte do Eixo </w:t>
      </w:r>
      <w:r w:rsidRPr="001C50C8">
        <w:rPr>
          <w:rFonts w:ascii="Garamond" w:hAnsi="Garamond"/>
          <w:highlight w:val="yellow"/>
          <w:lang w:val="pt-PT"/>
        </w:rPr>
        <w:t>6</w:t>
      </w:r>
      <w:r w:rsidRPr="001C50C8">
        <w:rPr>
          <w:rFonts w:ascii="Garamond" w:hAnsi="Garamond"/>
          <w:lang w:val="pt-PT"/>
        </w:rPr>
        <w:t>)</w:t>
      </w:r>
      <w:r w:rsidRPr="001C50C8">
        <w:rPr>
          <w:rFonts w:ascii="Garamond" w:eastAsiaTheme="minorHAnsi" w:hAnsi="Garamond" w:cstheme="minorBidi"/>
          <w:lang w:val="pt-PT"/>
        </w:rPr>
        <w:t>.</w:t>
      </w:r>
    </w:p>
    <w:p w14:paraId="583BCD7D" w14:textId="77777777" w:rsidR="00FB69C4" w:rsidRPr="001C50C8" w:rsidRDefault="00FB69C4" w:rsidP="00786DEC">
      <w:pPr>
        <w:pStyle w:val="NormalWeb"/>
        <w:numPr>
          <w:ilvl w:val="0"/>
          <w:numId w:val="35"/>
        </w:numPr>
        <w:shd w:val="clear" w:color="auto" w:fill="FFFFFF"/>
        <w:spacing w:before="0" w:beforeAutospacing="0" w:after="0" w:afterAutospacing="0"/>
        <w:jc w:val="both"/>
        <w:rPr>
          <w:rFonts w:ascii="Garamond" w:eastAsiaTheme="minorHAnsi" w:hAnsi="Garamond" w:cstheme="minorBidi"/>
          <w:lang w:val="pt-PT"/>
        </w:rPr>
      </w:pPr>
      <w:r w:rsidRPr="001C50C8">
        <w:rPr>
          <w:rFonts w:ascii="Garamond" w:hAnsi="Garamond"/>
          <w:lang w:val="pt-PT"/>
        </w:rPr>
        <w:t xml:space="preserve">Deverá ser desenhada uma campanha de divulgação dos dados e análises obtidas junto de vários públicos alvo, e de advocacia </w:t>
      </w:r>
      <w:proofErr w:type="spellStart"/>
      <w:r w:rsidRPr="001C50C8">
        <w:rPr>
          <w:rFonts w:ascii="Garamond" w:hAnsi="Garamond"/>
          <w:lang w:val="pt-PT"/>
        </w:rPr>
        <w:t>pela</w:t>
      </w:r>
      <w:proofErr w:type="spellEnd"/>
      <w:r w:rsidRPr="001C50C8">
        <w:rPr>
          <w:rFonts w:ascii="Garamond" w:hAnsi="Garamond"/>
          <w:lang w:val="pt-PT"/>
        </w:rPr>
        <w:t xml:space="preserve"> redução da discriminação salarial de género.</w:t>
      </w:r>
    </w:p>
    <w:p w14:paraId="09471A64" w14:textId="77777777" w:rsidR="00FB69C4" w:rsidRPr="001C50C8" w:rsidRDefault="00FB69C4" w:rsidP="00FB69C4">
      <w:pPr>
        <w:jc w:val="both"/>
        <w:rPr>
          <w:rFonts w:ascii="Garamond" w:hAnsi="Garamond"/>
          <w:lang w:val="pt-PT"/>
        </w:rPr>
      </w:pPr>
    </w:p>
    <w:p w14:paraId="07CC29FA" w14:textId="77777777" w:rsidR="00FB69C4" w:rsidRPr="001C50C8" w:rsidRDefault="00FB69C4" w:rsidP="00FB69C4">
      <w:pPr>
        <w:jc w:val="both"/>
        <w:rPr>
          <w:rFonts w:ascii="Garamond" w:hAnsi="Garamond"/>
          <w:lang w:val="pt-PT"/>
        </w:rPr>
      </w:pPr>
      <w:r w:rsidRPr="001C50C8">
        <w:rPr>
          <w:rFonts w:ascii="Garamond" w:hAnsi="Garamond"/>
          <w:lang w:val="pt-PT"/>
        </w:rPr>
        <w:t xml:space="preserve">Apesar do assédio sexual ser considerado crime à luz da Lei </w:t>
      </w:r>
      <w:proofErr w:type="spellStart"/>
      <w:r w:rsidRPr="001C50C8">
        <w:rPr>
          <w:rFonts w:ascii="Garamond" w:hAnsi="Garamond"/>
          <w:lang w:val="pt-PT"/>
        </w:rPr>
        <w:t>VBG</w:t>
      </w:r>
      <w:proofErr w:type="spellEnd"/>
      <w:r w:rsidRPr="001C50C8">
        <w:rPr>
          <w:rFonts w:ascii="Garamond" w:hAnsi="Garamond"/>
          <w:lang w:val="pt-PT"/>
        </w:rPr>
        <w:t xml:space="preserve">, tem merecido pouca atenção, sobretudo no contexto laboral, apesar de serem conhecidos casos neste contexto: não existem mecanismos específicos de denúncia outros que a </w:t>
      </w:r>
      <w:proofErr w:type="spellStart"/>
      <w:r w:rsidRPr="001C50C8">
        <w:rPr>
          <w:rFonts w:ascii="Garamond" w:hAnsi="Garamond"/>
          <w:lang w:val="pt-PT"/>
        </w:rPr>
        <w:t>IGT</w:t>
      </w:r>
      <w:proofErr w:type="spellEnd"/>
      <w:r w:rsidRPr="001C50C8">
        <w:rPr>
          <w:rFonts w:ascii="Garamond" w:hAnsi="Garamond"/>
          <w:lang w:val="pt-PT"/>
        </w:rPr>
        <w:t xml:space="preserve">, nem é divulgada a possibilidade de queixa, que por vezes até é desencorajada. As vítimas de assédio sexual no local de trabalho são ainda vítimas de discriminação e muitas vezes culpabilizadas </w:t>
      </w:r>
      <w:proofErr w:type="spellStart"/>
      <w:r w:rsidRPr="001C50C8">
        <w:rPr>
          <w:rFonts w:ascii="Garamond" w:hAnsi="Garamond"/>
          <w:lang w:val="pt-PT"/>
        </w:rPr>
        <w:t>pelo</w:t>
      </w:r>
      <w:proofErr w:type="spellEnd"/>
      <w:r w:rsidRPr="001C50C8">
        <w:rPr>
          <w:rFonts w:ascii="Garamond" w:hAnsi="Garamond"/>
          <w:lang w:val="pt-PT"/>
        </w:rPr>
        <w:t xml:space="preserve"> crime do qual são vítimas.</w:t>
      </w:r>
      <w:r w:rsidRPr="001C50C8">
        <w:rPr>
          <w:rStyle w:val="Refdenotaderodap"/>
          <w:rFonts w:ascii="Garamond" w:hAnsi="Garamond"/>
        </w:rPr>
        <w:footnoteReference w:id="38"/>
      </w:r>
      <w:r w:rsidRPr="001C50C8">
        <w:rPr>
          <w:rFonts w:ascii="Garamond" w:hAnsi="Garamond"/>
          <w:lang w:val="pt-PT"/>
        </w:rPr>
        <w:t xml:space="preserve"> </w:t>
      </w:r>
    </w:p>
    <w:p w14:paraId="3E72FF69" w14:textId="2A6E1CED" w:rsidR="00FB69C4" w:rsidRPr="001C50C8" w:rsidRDefault="00FB69C4" w:rsidP="00786DEC">
      <w:pPr>
        <w:pStyle w:val="PargrafodaLista"/>
        <w:numPr>
          <w:ilvl w:val="0"/>
          <w:numId w:val="17"/>
        </w:numPr>
        <w:ind w:left="714" w:hanging="357"/>
        <w:jc w:val="both"/>
        <w:rPr>
          <w:rFonts w:ascii="Garamond" w:hAnsi="Garamond"/>
          <w:lang w:val="pt-PT"/>
        </w:rPr>
      </w:pPr>
      <w:r w:rsidRPr="001C50C8">
        <w:rPr>
          <w:rFonts w:ascii="Garamond" w:hAnsi="Garamond"/>
          <w:lang w:val="pt-PT"/>
        </w:rPr>
        <w:t>Deverá assim ser desenhada uma campanha abrangente de informação e prevenção do assédio sexual no local de trabalho</w:t>
      </w:r>
      <w:r w:rsidR="009371AF">
        <w:rPr>
          <w:rFonts w:ascii="Garamond" w:hAnsi="Garamond"/>
          <w:lang w:val="pt-PT"/>
        </w:rPr>
        <w:t xml:space="preserve"> (seja vertical ou horizontal) </w:t>
      </w:r>
      <w:r w:rsidRPr="001C50C8">
        <w:rPr>
          <w:rFonts w:ascii="Garamond" w:hAnsi="Garamond"/>
          <w:lang w:val="pt-PT"/>
        </w:rPr>
        <w:t xml:space="preserve">em parceria com a </w:t>
      </w:r>
      <w:proofErr w:type="spellStart"/>
      <w:r w:rsidRPr="001C50C8">
        <w:rPr>
          <w:rFonts w:ascii="Garamond" w:hAnsi="Garamond"/>
          <w:lang w:val="pt-PT"/>
        </w:rPr>
        <w:t>DNAP</w:t>
      </w:r>
      <w:proofErr w:type="spellEnd"/>
      <w:r w:rsidRPr="001C50C8">
        <w:rPr>
          <w:rFonts w:ascii="Garamond" w:hAnsi="Garamond"/>
          <w:lang w:val="pt-PT"/>
        </w:rPr>
        <w:t xml:space="preserve">, </w:t>
      </w:r>
      <w:proofErr w:type="spellStart"/>
      <w:r w:rsidRPr="001C50C8">
        <w:rPr>
          <w:rFonts w:ascii="Garamond" w:hAnsi="Garamond"/>
          <w:lang w:val="pt-PT"/>
        </w:rPr>
        <w:t>DGT</w:t>
      </w:r>
      <w:proofErr w:type="spellEnd"/>
      <w:r w:rsidRPr="001C50C8">
        <w:rPr>
          <w:rFonts w:ascii="Garamond" w:hAnsi="Garamond"/>
          <w:lang w:val="pt-PT"/>
        </w:rPr>
        <w:t xml:space="preserve">, </w:t>
      </w:r>
      <w:proofErr w:type="spellStart"/>
      <w:r w:rsidRPr="001C50C8">
        <w:rPr>
          <w:rFonts w:ascii="Garamond" w:hAnsi="Garamond"/>
          <w:lang w:val="pt-PT"/>
        </w:rPr>
        <w:t>IGT</w:t>
      </w:r>
      <w:proofErr w:type="spellEnd"/>
      <w:r w:rsidRPr="001C50C8">
        <w:rPr>
          <w:rFonts w:ascii="Garamond" w:hAnsi="Garamond"/>
          <w:lang w:val="pt-PT"/>
        </w:rPr>
        <w:t xml:space="preserve">, sindicatos, associações profissionais, OCS, entre outros </w:t>
      </w:r>
      <w:proofErr w:type="spellStart"/>
      <w:r w:rsidRPr="001C50C8">
        <w:rPr>
          <w:rFonts w:ascii="Garamond" w:hAnsi="Garamond"/>
          <w:lang w:val="pt-PT"/>
        </w:rPr>
        <w:t>atores</w:t>
      </w:r>
      <w:proofErr w:type="spellEnd"/>
      <w:r w:rsidRPr="001C50C8">
        <w:rPr>
          <w:rFonts w:ascii="Garamond" w:hAnsi="Garamond"/>
          <w:lang w:val="pt-PT"/>
        </w:rPr>
        <w:t xml:space="preserve"> relevantes.</w:t>
      </w:r>
    </w:p>
    <w:p w14:paraId="5CBD43B2" w14:textId="77777777" w:rsidR="00FB69C4" w:rsidRPr="001C50C8" w:rsidRDefault="00FB69C4" w:rsidP="00786DEC">
      <w:pPr>
        <w:pStyle w:val="PargrafodaLista"/>
        <w:numPr>
          <w:ilvl w:val="0"/>
          <w:numId w:val="17"/>
        </w:numPr>
        <w:ind w:left="714" w:hanging="357"/>
        <w:jc w:val="both"/>
        <w:rPr>
          <w:rFonts w:ascii="Garamond" w:hAnsi="Garamond"/>
          <w:lang w:val="pt-PT"/>
        </w:rPr>
      </w:pPr>
      <w:r w:rsidRPr="001C50C8">
        <w:rPr>
          <w:rFonts w:ascii="Garamond" w:hAnsi="Garamond"/>
          <w:lang w:val="pt-PT"/>
        </w:rPr>
        <w:t xml:space="preserve">Deve ainda ser melhorada a capacidade de </w:t>
      </w:r>
      <w:proofErr w:type="spellStart"/>
      <w:r w:rsidRPr="001C50C8">
        <w:rPr>
          <w:rFonts w:ascii="Garamond" w:hAnsi="Garamond"/>
          <w:lang w:val="pt-PT"/>
        </w:rPr>
        <w:t>detetar</w:t>
      </w:r>
      <w:proofErr w:type="spellEnd"/>
      <w:r w:rsidRPr="001C50C8">
        <w:rPr>
          <w:rFonts w:ascii="Garamond" w:hAnsi="Garamond"/>
          <w:lang w:val="pt-PT"/>
        </w:rPr>
        <w:t xml:space="preserve"> situações de assédio sexual no local de trabalho e mecanismos de </w:t>
      </w:r>
      <w:proofErr w:type="spellStart"/>
      <w:r w:rsidRPr="001C50C8">
        <w:rPr>
          <w:rFonts w:ascii="Garamond" w:hAnsi="Garamond"/>
          <w:lang w:val="pt-PT"/>
        </w:rPr>
        <w:t>proteção</w:t>
      </w:r>
      <w:proofErr w:type="spellEnd"/>
      <w:r w:rsidRPr="001C50C8">
        <w:rPr>
          <w:rFonts w:ascii="Garamond" w:hAnsi="Garamond"/>
          <w:lang w:val="pt-PT"/>
        </w:rPr>
        <w:t>.</w:t>
      </w:r>
    </w:p>
    <w:p w14:paraId="63DAFAB9" w14:textId="77777777" w:rsidR="00FB69C4" w:rsidRPr="001C50C8" w:rsidRDefault="00FB69C4" w:rsidP="00FB69C4">
      <w:pPr>
        <w:contextualSpacing/>
        <w:jc w:val="both"/>
        <w:rPr>
          <w:rFonts w:ascii="Garamond" w:hAnsi="Garamond" w:cs="Times New Roman"/>
          <w:b/>
          <w:lang w:val="pt-PT"/>
        </w:rPr>
      </w:pPr>
    </w:p>
    <w:p w14:paraId="62D17D19" w14:textId="77777777" w:rsidR="00FB69C4" w:rsidRPr="001C50C8" w:rsidRDefault="00FB69C4" w:rsidP="00FB69C4">
      <w:pPr>
        <w:contextualSpacing/>
        <w:jc w:val="both"/>
        <w:rPr>
          <w:rFonts w:ascii="Garamond" w:hAnsi="Garamond" w:cs="Times New Roman"/>
          <w:b/>
          <w:lang w:val="pt-BR"/>
        </w:rPr>
      </w:pPr>
      <w:r w:rsidRPr="001C50C8">
        <w:rPr>
          <w:rFonts w:ascii="Garamond" w:hAnsi="Garamond" w:cs="Times New Roman"/>
          <w:b/>
          <w:lang w:val="pt-BR"/>
        </w:rPr>
        <w:t>Mulheres sujeitas a discriminação múltipla</w:t>
      </w:r>
    </w:p>
    <w:p w14:paraId="19B90585" w14:textId="77777777" w:rsidR="00FB69C4" w:rsidRPr="001C50C8" w:rsidRDefault="00FB69C4" w:rsidP="00FB69C4">
      <w:pPr>
        <w:jc w:val="both"/>
        <w:rPr>
          <w:rFonts w:ascii="Garamond" w:hAnsi="Garamond" w:cs="Times New Roman"/>
          <w:bCs/>
          <w:lang w:val="pt-PT"/>
        </w:rPr>
      </w:pPr>
      <w:r w:rsidRPr="001C50C8">
        <w:rPr>
          <w:rFonts w:ascii="Garamond" w:hAnsi="Garamond" w:cs="Times New Roman"/>
          <w:bCs/>
          <w:lang w:val="pt-PT"/>
        </w:rPr>
        <w:t xml:space="preserve">Já foram abordadas as circunstâncias específicas das mulheres rurais, das empregadas domésticas e das mulheres do </w:t>
      </w:r>
      <w:proofErr w:type="spellStart"/>
      <w:r w:rsidRPr="001C50C8">
        <w:rPr>
          <w:rFonts w:ascii="Garamond" w:hAnsi="Garamond" w:cs="Times New Roman"/>
          <w:bCs/>
          <w:lang w:val="pt-PT"/>
        </w:rPr>
        <w:t>setor</w:t>
      </w:r>
      <w:proofErr w:type="spellEnd"/>
      <w:r w:rsidRPr="001C50C8">
        <w:rPr>
          <w:rFonts w:ascii="Garamond" w:hAnsi="Garamond" w:cs="Times New Roman"/>
          <w:bCs/>
          <w:lang w:val="pt-PT"/>
        </w:rPr>
        <w:t xml:space="preserve"> informal. Entretanto também as mulheres com deficiência sofrem múltipla discriminação no mercado de trabalho. Os estudos realizados junto de </w:t>
      </w:r>
      <w:r w:rsidRPr="001C50C8">
        <w:rPr>
          <w:rFonts w:ascii="Garamond" w:hAnsi="Garamond" w:cs="Times New Roman"/>
          <w:b/>
          <w:lang w:val="pt-PT"/>
        </w:rPr>
        <w:t>pessoas com deficiência</w:t>
      </w:r>
      <w:r w:rsidRPr="001C50C8">
        <w:rPr>
          <w:rFonts w:ascii="Garamond" w:hAnsi="Garamond" w:cs="Times New Roman"/>
          <w:bCs/>
          <w:lang w:val="pt-PT"/>
        </w:rPr>
        <w:t xml:space="preserve"> mostram que a sua situação socioeconómica é precária: um dos estudos indica que um número considerável de mulheres com deficiência vive de pensão social ou pensão atribuída </w:t>
      </w:r>
      <w:proofErr w:type="spellStart"/>
      <w:r w:rsidRPr="001C50C8">
        <w:rPr>
          <w:rFonts w:ascii="Garamond" w:hAnsi="Garamond" w:cs="Times New Roman"/>
          <w:bCs/>
          <w:lang w:val="pt-PT"/>
        </w:rPr>
        <w:t>pela</w:t>
      </w:r>
      <w:proofErr w:type="spellEnd"/>
      <w:r w:rsidRPr="001C50C8">
        <w:rPr>
          <w:rFonts w:ascii="Garamond" w:hAnsi="Garamond" w:cs="Times New Roman"/>
          <w:bCs/>
          <w:lang w:val="pt-PT"/>
        </w:rPr>
        <w:t xml:space="preserve"> Câmara Municipal,</w:t>
      </w:r>
      <w:r w:rsidRPr="001C50C8">
        <w:rPr>
          <w:rStyle w:val="Refdenotaderodap"/>
          <w:rFonts w:ascii="Garamond" w:hAnsi="Garamond" w:cs="Times New Roman"/>
          <w:bCs/>
          <w:lang w:val="pt-PT"/>
        </w:rPr>
        <w:footnoteReference w:id="39"/>
      </w:r>
      <w:r w:rsidRPr="001C50C8">
        <w:rPr>
          <w:rFonts w:ascii="Garamond" w:hAnsi="Garamond" w:cs="Times New Roman"/>
          <w:bCs/>
          <w:lang w:val="pt-PT"/>
        </w:rPr>
        <w:t xml:space="preserve"> e um segundo, realizado nas ilhas de Santiago e São Vicente, que cerca de 49% dos inquiridos são desempregados, sendo o número de mulheres empregadas que desenvolve iniciativas de auto-emprego superior ao dos homens.</w:t>
      </w:r>
      <w:r w:rsidRPr="001C50C8">
        <w:rPr>
          <w:rStyle w:val="Refdenotaderodap"/>
          <w:rFonts w:ascii="Garamond" w:hAnsi="Garamond" w:cs="Times New Roman"/>
          <w:bCs/>
          <w:lang w:val="pt-PT"/>
        </w:rPr>
        <w:footnoteReference w:id="40"/>
      </w:r>
      <w:r w:rsidRPr="001C50C8">
        <w:rPr>
          <w:rFonts w:ascii="Garamond" w:hAnsi="Garamond" w:cs="Times New Roman"/>
          <w:bCs/>
          <w:lang w:val="pt-PT"/>
        </w:rPr>
        <w:t xml:space="preserve"> Uma das medidas tomadas para promover a integração das pessoas com deficiência no mercado de trabalho, incluindo as mulheres, foi estabelecer uma quota de 5% para concursos externos de ingresso na Administração Pública,</w:t>
      </w:r>
      <w:r w:rsidRPr="001C50C8">
        <w:rPr>
          <w:rStyle w:val="Refdenotaderodap"/>
          <w:rFonts w:ascii="Garamond" w:hAnsi="Garamond" w:cs="Times New Roman"/>
          <w:bCs/>
          <w:lang w:val="pt-PT"/>
        </w:rPr>
        <w:footnoteReference w:id="41"/>
      </w:r>
      <w:r w:rsidRPr="001C50C8">
        <w:rPr>
          <w:rFonts w:ascii="Garamond" w:hAnsi="Garamond" w:cs="Times New Roman"/>
          <w:bCs/>
          <w:lang w:val="pt-PT"/>
        </w:rPr>
        <w:t xml:space="preserve"> bem como incentivos fiscais às empresas para a contratação de pessoas com deficiência.</w:t>
      </w:r>
      <w:r w:rsidRPr="001C50C8">
        <w:rPr>
          <w:rStyle w:val="Refdenotaderodap"/>
          <w:rFonts w:ascii="Garamond" w:hAnsi="Garamond" w:cs="Times New Roman"/>
          <w:bCs/>
          <w:lang w:val="pt-PT"/>
        </w:rPr>
        <w:footnoteReference w:id="42"/>
      </w:r>
      <w:r w:rsidRPr="001C50C8">
        <w:rPr>
          <w:rFonts w:ascii="Garamond" w:hAnsi="Garamond" w:cs="Times New Roman"/>
          <w:bCs/>
          <w:lang w:val="pt-PT"/>
        </w:rPr>
        <w:t xml:space="preserve"> Contudo, não se dispõe de dados sobre o número de mulheres e homens beneficiados por estas medidas; as </w:t>
      </w:r>
      <w:proofErr w:type="spellStart"/>
      <w:r w:rsidRPr="001C50C8">
        <w:rPr>
          <w:rFonts w:ascii="Garamond" w:hAnsi="Garamond" w:cs="Times New Roman"/>
          <w:bCs/>
          <w:lang w:val="pt-PT"/>
        </w:rPr>
        <w:t>ONGs</w:t>
      </w:r>
      <w:proofErr w:type="spellEnd"/>
      <w:r w:rsidRPr="001C50C8">
        <w:rPr>
          <w:rFonts w:ascii="Garamond" w:hAnsi="Garamond" w:cs="Times New Roman"/>
          <w:bCs/>
          <w:lang w:val="pt-PT"/>
        </w:rPr>
        <w:t xml:space="preserve"> que trabalham com mulheres com deficiência têm o entendimento que os incentivos fiscais não são suficientemente conhecidos entre os empregadores e que os processos de compensação financeira são demasiado burocráticos, o que não estimula nem facilita a aplicação da medida.</w:t>
      </w:r>
      <w:r w:rsidRPr="001C50C8">
        <w:rPr>
          <w:rStyle w:val="Refdenotaderodap"/>
          <w:rFonts w:ascii="Garamond" w:hAnsi="Garamond" w:cs="Times New Roman"/>
          <w:bCs/>
          <w:lang w:val="pt-PT"/>
        </w:rPr>
        <w:footnoteReference w:id="43"/>
      </w:r>
      <w:r w:rsidRPr="001C50C8">
        <w:rPr>
          <w:rFonts w:ascii="Garamond" w:hAnsi="Garamond" w:cs="Times New Roman"/>
          <w:bCs/>
          <w:lang w:val="pt-PT"/>
        </w:rPr>
        <w:t xml:space="preserve"> Por outro lado, o Programa de Promoção do Emprego Digno e Qualificado, acima mencionado, tem as pessoas com deficiência - homens e mulheres, como grupo alvo específico dos programas de inserção no mercado de trabalho.</w:t>
      </w:r>
    </w:p>
    <w:p w14:paraId="6A158632" w14:textId="77777777" w:rsidR="00FB69C4" w:rsidRPr="001C50C8" w:rsidRDefault="00FB69C4" w:rsidP="00786DEC">
      <w:pPr>
        <w:pStyle w:val="PargrafodaLista"/>
        <w:numPr>
          <w:ilvl w:val="0"/>
          <w:numId w:val="36"/>
        </w:numPr>
        <w:spacing w:after="240"/>
        <w:jc w:val="both"/>
        <w:rPr>
          <w:rFonts w:ascii="Garamond" w:hAnsi="Garamond" w:cs="Times New Roman"/>
          <w:bCs/>
          <w:lang w:val="pt-PT"/>
        </w:rPr>
      </w:pPr>
      <w:r w:rsidRPr="001C50C8">
        <w:rPr>
          <w:rFonts w:ascii="Garamond" w:hAnsi="Garamond" w:cs="Times New Roman"/>
          <w:bCs/>
          <w:lang w:val="pt-PT"/>
        </w:rPr>
        <w:t xml:space="preserve">Assim, será importante garantir que o seguimento do número e proporção das mulheres e homens com deficiência que trabalham na Administração Pública está operacional e zelar </w:t>
      </w:r>
      <w:proofErr w:type="spellStart"/>
      <w:r w:rsidRPr="001C50C8">
        <w:rPr>
          <w:rFonts w:ascii="Garamond" w:hAnsi="Garamond" w:cs="Times New Roman"/>
          <w:bCs/>
          <w:lang w:val="pt-PT"/>
        </w:rPr>
        <w:t>pelo</w:t>
      </w:r>
      <w:proofErr w:type="spellEnd"/>
      <w:r w:rsidRPr="001C50C8">
        <w:rPr>
          <w:rFonts w:ascii="Garamond" w:hAnsi="Garamond" w:cs="Times New Roman"/>
          <w:bCs/>
          <w:lang w:val="pt-PT"/>
        </w:rPr>
        <w:t xml:space="preserve"> cumprimento da quota estabelecida.</w:t>
      </w:r>
    </w:p>
    <w:p w14:paraId="56CA25EC" w14:textId="77777777" w:rsidR="00FB69C4" w:rsidRPr="001C50C8" w:rsidRDefault="00FB69C4" w:rsidP="00786DEC">
      <w:pPr>
        <w:pStyle w:val="PargrafodaLista"/>
        <w:numPr>
          <w:ilvl w:val="0"/>
          <w:numId w:val="36"/>
        </w:numPr>
        <w:spacing w:after="240"/>
        <w:jc w:val="both"/>
        <w:rPr>
          <w:rFonts w:ascii="Garamond" w:hAnsi="Garamond" w:cs="Times New Roman"/>
          <w:bCs/>
          <w:lang w:val="pt-PT"/>
        </w:rPr>
      </w:pPr>
      <w:r w:rsidRPr="001C50C8">
        <w:rPr>
          <w:rFonts w:ascii="Garamond" w:hAnsi="Garamond" w:cs="Times New Roman"/>
          <w:bCs/>
          <w:lang w:val="pt-PT"/>
        </w:rPr>
        <w:t>Operacionalizar um sistema de seguimento da atribuição dos incentivos às empresas para a promoção do emprego de mulheres e homens com deficiência, que seja sensível ao género e inclua a identificação junto dos serviços responsáveis e empresas de possíveis procedimentos que constituem entrave à obtenção dos incentivos (grupos focais, entrevistas) e recomendações para a sua melhoria.</w:t>
      </w:r>
    </w:p>
    <w:p w14:paraId="241DAEF2" w14:textId="77777777" w:rsidR="00FB69C4" w:rsidRDefault="00FB69C4" w:rsidP="00786DEC">
      <w:pPr>
        <w:pStyle w:val="PargrafodaLista"/>
        <w:numPr>
          <w:ilvl w:val="0"/>
          <w:numId w:val="36"/>
        </w:numPr>
        <w:spacing w:after="240"/>
        <w:jc w:val="both"/>
        <w:rPr>
          <w:rFonts w:ascii="Garamond" w:hAnsi="Garamond" w:cs="Times New Roman"/>
          <w:bCs/>
          <w:lang w:val="pt-PT"/>
        </w:rPr>
      </w:pPr>
      <w:r w:rsidRPr="001C50C8">
        <w:rPr>
          <w:rFonts w:ascii="Garamond" w:hAnsi="Garamond" w:cs="Times New Roman"/>
          <w:bCs/>
          <w:lang w:val="pt-PT"/>
        </w:rPr>
        <w:t>Garantir a participação prevista de mulheres</w:t>
      </w:r>
      <w:r>
        <w:rPr>
          <w:rFonts w:ascii="Garamond" w:hAnsi="Garamond" w:cs="Times New Roman"/>
          <w:bCs/>
          <w:lang w:val="pt-PT"/>
        </w:rPr>
        <w:t>/</w:t>
      </w:r>
      <w:r w:rsidRPr="001C50C8">
        <w:rPr>
          <w:rFonts w:ascii="Garamond" w:hAnsi="Garamond" w:cs="Times New Roman"/>
          <w:bCs/>
          <w:lang w:val="pt-PT"/>
        </w:rPr>
        <w:t>homens com deficiência nos programas de inserção profissional e assegura que o sistema de seguimento das instituições envolvidas permite seguir este grupo alvo específico, de forma sensível ao género.</w:t>
      </w:r>
    </w:p>
    <w:p w14:paraId="21CD3615" w14:textId="77777777" w:rsidR="00FB69C4" w:rsidRPr="00CF07B8" w:rsidRDefault="00FB69C4" w:rsidP="00786DEC">
      <w:pPr>
        <w:pStyle w:val="PargrafodaLista"/>
        <w:numPr>
          <w:ilvl w:val="0"/>
          <w:numId w:val="36"/>
        </w:numPr>
        <w:spacing w:after="240"/>
        <w:jc w:val="both"/>
        <w:rPr>
          <w:rFonts w:ascii="Garamond" w:hAnsi="Garamond" w:cs="Times New Roman"/>
          <w:bCs/>
          <w:lang w:val="pt-PT"/>
        </w:rPr>
      </w:pPr>
      <w:r w:rsidRPr="00CF07B8">
        <w:rPr>
          <w:rFonts w:ascii="Garamond" w:hAnsi="Garamond" w:cs="Times New Roman"/>
          <w:bCs/>
          <w:lang w:val="pt-PT"/>
        </w:rPr>
        <w:t xml:space="preserve">Apoiar </w:t>
      </w:r>
      <w:proofErr w:type="spellStart"/>
      <w:r w:rsidRPr="00CF07B8">
        <w:rPr>
          <w:rFonts w:ascii="Garamond" w:hAnsi="Garamond" w:cs="Times New Roman"/>
          <w:bCs/>
          <w:lang w:val="pt-PT"/>
        </w:rPr>
        <w:t>projetos</w:t>
      </w:r>
      <w:proofErr w:type="spellEnd"/>
      <w:r w:rsidRPr="00CF07B8">
        <w:rPr>
          <w:rFonts w:ascii="Garamond" w:hAnsi="Garamond" w:cs="Times New Roman"/>
          <w:bCs/>
          <w:lang w:val="pt-PT"/>
        </w:rPr>
        <w:t xml:space="preserve"> de associações que trabalham com mulheres com deficiência na área da inclusão </w:t>
      </w:r>
      <w:proofErr w:type="spellStart"/>
      <w:r w:rsidRPr="00CF07B8">
        <w:rPr>
          <w:rFonts w:ascii="Garamond" w:hAnsi="Garamond" w:cs="Times New Roman"/>
          <w:bCs/>
          <w:lang w:val="pt-PT"/>
        </w:rPr>
        <w:t>pelo</w:t>
      </w:r>
      <w:proofErr w:type="spellEnd"/>
      <w:r w:rsidRPr="00CF07B8">
        <w:rPr>
          <w:rFonts w:ascii="Garamond" w:hAnsi="Garamond" w:cs="Times New Roman"/>
          <w:bCs/>
          <w:lang w:val="pt-PT"/>
        </w:rPr>
        <w:t xml:space="preserve"> rendimento.</w:t>
      </w:r>
    </w:p>
    <w:p w14:paraId="1DAA1A15" w14:textId="77777777" w:rsidR="007E1DAC" w:rsidRPr="001C50C8" w:rsidRDefault="007E1DAC" w:rsidP="004318F3">
      <w:pPr>
        <w:spacing w:after="240"/>
        <w:jc w:val="both"/>
        <w:rPr>
          <w:rFonts w:ascii="Garamond" w:hAnsi="Garamond" w:cs="Times New Roman"/>
          <w:bCs/>
          <w:lang w:val="pt-PT"/>
        </w:rPr>
      </w:pPr>
    </w:p>
    <w:p w14:paraId="4B196725" w14:textId="77777777" w:rsidR="00CD036D" w:rsidRPr="001C50C8" w:rsidRDefault="00CD036D" w:rsidP="004318F3">
      <w:pPr>
        <w:spacing w:after="240"/>
        <w:jc w:val="both"/>
        <w:rPr>
          <w:rFonts w:ascii="Garamond" w:hAnsi="Garamond" w:cs="Times New Roman"/>
          <w:bCs/>
          <w:lang w:val="pt-PT"/>
        </w:rPr>
      </w:pPr>
    </w:p>
    <w:p w14:paraId="154632D2" w14:textId="712D73D1" w:rsidR="004318F3" w:rsidRPr="001C50C8" w:rsidRDefault="00CA386F" w:rsidP="004318F3">
      <w:pPr>
        <w:spacing w:after="240"/>
        <w:jc w:val="both"/>
        <w:rPr>
          <w:rFonts w:ascii="Garamond" w:hAnsi="Garamond" w:cs="Times New Roman"/>
          <w:bCs/>
          <w:lang w:val="pt-PT"/>
        </w:rPr>
      </w:pPr>
      <w:r w:rsidRPr="001C50C8">
        <w:rPr>
          <w:rFonts w:ascii="Garamond" w:hAnsi="Garamond" w:cs="Times New Roman"/>
          <w:bCs/>
          <w:lang w:val="pt-PT"/>
        </w:rPr>
        <w:t xml:space="preserve"> </w:t>
      </w:r>
    </w:p>
    <w:p w14:paraId="41184CC6" w14:textId="6604BC85" w:rsidR="00BE46E6" w:rsidRPr="001C50C8" w:rsidRDefault="00BE46E6">
      <w:pPr>
        <w:rPr>
          <w:rFonts w:ascii="Garamond" w:hAnsi="Garamond" w:cs="Times New Roman"/>
          <w:b/>
          <w:lang w:val="pt-PT"/>
        </w:rPr>
      </w:pPr>
      <w:r w:rsidRPr="001C50C8">
        <w:rPr>
          <w:rFonts w:ascii="Garamond" w:hAnsi="Garamond" w:cs="Times New Roman"/>
          <w:b/>
          <w:lang w:val="pt-PT"/>
        </w:rPr>
        <w:br w:type="page"/>
      </w:r>
    </w:p>
    <w:p w14:paraId="1525F162" w14:textId="62488468" w:rsidR="00541FA6" w:rsidRPr="00705EA1" w:rsidRDefault="00541FA6" w:rsidP="0055267C">
      <w:pPr>
        <w:pStyle w:val="PargrafodaLista"/>
        <w:spacing w:after="240"/>
        <w:ind w:left="0"/>
        <w:jc w:val="both"/>
        <w:outlineLvl w:val="2"/>
        <w:rPr>
          <w:rFonts w:ascii="Garamond" w:hAnsi="Garamond" w:cs="Times New Roman"/>
          <w:b/>
          <w:sz w:val="32"/>
          <w:szCs w:val="32"/>
          <w:lang w:val="pt-PT"/>
        </w:rPr>
      </w:pPr>
      <w:bookmarkStart w:id="37" w:name="_Toc21207109"/>
      <w:bookmarkStart w:id="38" w:name="_Toc32858129"/>
      <w:r w:rsidRPr="001C50C8">
        <w:rPr>
          <w:rFonts w:ascii="Garamond" w:hAnsi="Garamond" w:cs="Times New Roman"/>
          <w:b/>
          <w:sz w:val="32"/>
          <w:szCs w:val="32"/>
          <w:lang w:val="pt-PT"/>
        </w:rPr>
        <w:t>Eixo</w:t>
      </w:r>
      <w:r w:rsidR="0086489C">
        <w:rPr>
          <w:rFonts w:ascii="Garamond" w:hAnsi="Garamond" w:cs="Times New Roman"/>
          <w:b/>
          <w:sz w:val="32"/>
          <w:szCs w:val="32"/>
          <w:lang w:val="pt-PT"/>
        </w:rPr>
        <w:t xml:space="preserve"> estratégico</w:t>
      </w:r>
      <w:r w:rsidRPr="001C50C8">
        <w:rPr>
          <w:rFonts w:ascii="Garamond" w:hAnsi="Garamond" w:cs="Times New Roman"/>
          <w:b/>
          <w:sz w:val="32"/>
          <w:szCs w:val="32"/>
          <w:lang w:val="pt-PT"/>
        </w:rPr>
        <w:t xml:space="preserve"> 2 - Violên</w:t>
      </w:r>
      <w:r w:rsidRPr="00705EA1">
        <w:rPr>
          <w:rFonts w:ascii="Garamond" w:hAnsi="Garamond" w:cs="Times New Roman"/>
          <w:b/>
          <w:sz w:val="32"/>
          <w:szCs w:val="32"/>
          <w:lang w:val="pt-PT"/>
        </w:rPr>
        <w:t>cia Baseada no Género</w:t>
      </w:r>
      <w:bookmarkEnd w:id="37"/>
      <w:bookmarkEnd w:id="38"/>
      <w:r w:rsidRPr="00705EA1">
        <w:rPr>
          <w:rFonts w:ascii="Garamond" w:hAnsi="Garamond" w:cs="Times New Roman"/>
          <w:b/>
          <w:sz w:val="32"/>
          <w:szCs w:val="32"/>
          <w:lang w:val="pt-PT"/>
        </w:rPr>
        <w:t xml:space="preserve"> </w:t>
      </w:r>
    </w:p>
    <w:p w14:paraId="6BAA06C7" w14:textId="77777777" w:rsidR="00541FA6" w:rsidRPr="001C50C8" w:rsidRDefault="00541FA6" w:rsidP="00541FA6">
      <w:pPr>
        <w:spacing w:after="240"/>
        <w:jc w:val="both"/>
        <w:rPr>
          <w:rFonts w:ascii="Garamond" w:hAnsi="Garamond"/>
          <w:lang w:val="pt-PT"/>
        </w:rPr>
      </w:pPr>
      <w:bookmarkStart w:id="39" w:name="_Hlk19111962"/>
      <w:r w:rsidRPr="001C50C8">
        <w:rPr>
          <w:rFonts w:ascii="Garamond" w:hAnsi="Garamond"/>
          <w:lang w:val="pt-PT"/>
        </w:rPr>
        <w:t xml:space="preserve">Como anteriormente referido, Cabo Verde assumiu nas duas últimas décadas a luta contra a </w:t>
      </w:r>
      <w:proofErr w:type="spellStart"/>
      <w:r w:rsidRPr="001C50C8">
        <w:rPr>
          <w:rFonts w:ascii="Garamond" w:hAnsi="Garamond"/>
          <w:lang w:val="pt-PT"/>
        </w:rPr>
        <w:t>VBG</w:t>
      </w:r>
      <w:proofErr w:type="spellEnd"/>
      <w:r w:rsidRPr="001C50C8">
        <w:rPr>
          <w:rFonts w:ascii="Garamond" w:hAnsi="Garamond"/>
          <w:lang w:val="pt-PT"/>
        </w:rPr>
        <w:t xml:space="preserve"> como uma das principais bandeiras de promoção da igualdade de género no país. Apesar dos ganhos substanciais já elencados, os dados apontam para desafios persistentes e alguns retrocessos, que exigem uma atenção prioritária das autoridades nacionais e esforços conjugados. De referir que a </w:t>
      </w:r>
      <w:r w:rsidRPr="001C50C8">
        <w:rPr>
          <w:rFonts w:ascii="Garamond" w:hAnsi="Garamond"/>
          <w:i/>
          <w:iCs/>
          <w:lang w:val="pt-PT"/>
        </w:rPr>
        <w:t xml:space="preserve">Avaliação do Grau de Implementação da Lei </w:t>
      </w:r>
      <w:proofErr w:type="spellStart"/>
      <w:r w:rsidRPr="001C50C8">
        <w:rPr>
          <w:rFonts w:ascii="Garamond" w:hAnsi="Garamond"/>
          <w:i/>
          <w:iCs/>
          <w:lang w:val="pt-PT"/>
        </w:rPr>
        <w:t>VBG</w:t>
      </w:r>
      <w:proofErr w:type="spellEnd"/>
      <w:r w:rsidRPr="001C50C8">
        <w:rPr>
          <w:rFonts w:ascii="Garamond" w:hAnsi="Garamond"/>
          <w:lang w:val="pt-PT"/>
        </w:rPr>
        <w:t xml:space="preserve">, realizada em 2017, fornece uma análise detalhada dos desafios que persistem, sendo um importante instrumento de trabalho para a implementação das medidas propostas, neste e noutros Eixos, alinhadas às recomendações da Avaliação. Como já referido, a temática da </w:t>
      </w:r>
      <w:proofErr w:type="spellStart"/>
      <w:r w:rsidRPr="001C50C8">
        <w:rPr>
          <w:rFonts w:ascii="Garamond" w:hAnsi="Garamond"/>
          <w:lang w:val="pt-PT"/>
        </w:rPr>
        <w:t>VBG</w:t>
      </w:r>
      <w:proofErr w:type="spellEnd"/>
      <w:r w:rsidRPr="001C50C8">
        <w:rPr>
          <w:rFonts w:ascii="Garamond" w:hAnsi="Garamond"/>
          <w:lang w:val="pt-PT"/>
        </w:rPr>
        <w:t xml:space="preserve"> é transversal a praticamente todos os Eixos do </w:t>
      </w:r>
      <w:proofErr w:type="spellStart"/>
      <w:r w:rsidRPr="001C50C8">
        <w:rPr>
          <w:rFonts w:ascii="Garamond" w:hAnsi="Garamond"/>
          <w:lang w:val="pt-PT"/>
        </w:rPr>
        <w:t>PNIG</w:t>
      </w:r>
      <w:proofErr w:type="spellEnd"/>
      <w:r w:rsidRPr="001C50C8">
        <w:rPr>
          <w:rFonts w:ascii="Garamond" w:hAnsi="Garamond"/>
          <w:lang w:val="pt-PT"/>
        </w:rPr>
        <w:t xml:space="preserve">, considerando que diz respeito e implica todos os sectores e </w:t>
      </w:r>
      <w:proofErr w:type="spellStart"/>
      <w:r w:rsidRPr="001C50C8">
        <w:rPr>
          <w:rFonts w:ascii="Garamond" w:hAnsi="Garamond"/>
          <w:lang w:val="pt-PT"/>
        </w:rPr>
        <w:t>atores</w:t>
      </w:r>
      <w:proofErr w:type="spellEnd"/>
      <w:r w:rsidRPr="001C50C8">
        <w:rPr>
          <w:rFonts w:ascii="Garamond" w:hAnsi="Garamond"/>
          <w:lang w:val="pt-PT"/>
        </w:rPr>
        <w:t xml:space="preserve">. </w:t>
      </w:r>
    </w:p>
    <w:p w14:paraId="74D2F9C0" w14:textId="77777777" w:rsidR="00541FA6" w:rsidRDefault="00541FA6" w:rsidP="00541FA6">
      <w:pPr>
        <w:jc w:val="both"/>
        <w:rPr>
          <w:rFonts w:ascii="Garamond" w:hAnsi="Garamond"/>
          <w:b/>
          <w:bCs/>
          <w:lang w:val="pt-PT"/>
        </w:rPr>
      </w:pPr>
      <w:r w:rsidRPr="001C50C8">
        <w:rPr>
          <w:rFonts w:ascii="Garamond" w:hAnsi="Garamond"/>
          <w:b/>
          <w:bCs/>
          <w:lang w:val="pt-PT"/>
        </w:rPr>
        <w:t xml:space="preserve">Evolução da </w:t>
      </w:r>
      <w:proofErr w:type="spellStart"/>
      <w:r w:rsidRPr="001C50C8">
        <w:rPr>
          <w:rFonts w:ascii="Garamond" w:hAnsi="Garamond"/>
          <w:b/>
          <w:bCs/>
          <w:lang w:val="pt-PT"/>
        </w:rPr>
        <w:t>VBG</w:t>
      </w:r>
      <w:proofErr w:type="spellEnd"/>
    </w:p>
    <w:p w14:paraId="5CC42585" w14:textId="77777777" w:rsidR="00541FA6" w:rsidRPr="00871C6F" w:rsidRDefault="00541FA6" w:rsidP="00541FA6">
      <w:pPr>
        <w:pStyle w:val="PargrafodaLista"/>
        <w:spacing w:after="240"/>
        <w:ind w:left="0"/>
        <w:jc w:val="both"/>
        <w:rPr>
          <w:rFonts w:ascii="Garamond" w:hAnsi="Garamond"/>
          <w:lang w:val="pt-PT"/>
        </w:rPr>
      </w:pPr>
      <w:r w:rsidRPr="00871C6F">
        <w:rPr>
          <w:rFonts w:ascii="Garamond" w:hAnsi="Garamond"/>
          <w:lang w:val="pt-PT"/>
        </w:rPr>
        <w:t xml:space="preserve">Os dados do </w:t>
      </w:r>
      <w:proofErr w:type="spellStart"/>
      <w:r w:rsidRPr="00871C6F">
        <w:rPr>
          <w:rFonts w:ascii="Garamond" w:hAnsi="Garamond"/>
          <w:lang w:val="pt-PT"/>
        </w:rPr>
        <w:t>IDSR</w:t>
      </w:r>
      <w:proofErr w:type="spellEnd"/>
      <w:r w:rsidRPr="00871C6F">
        <w:rPr>
          <w:rFonts w:ascii="Garamond" w:hAnsi="Garamond"/>
          <w:lang w:val="pt-PT"/>
        </w:rPr>
        <w:t xml:space="preserve"> III (2018) sobre </w:t>
      </w:r>
      <w:proofErr w:type="spellStart"/>
      <w:r w:rsidRPr="00871C6F">
        <w:rPr>
          <w:rFonts w:ascii="Garamond" w:hAnsi="Garamond"/>
          <w:lang w:val="pt-PT"/>
        </w:rPr>
        <w:t>VBG</w:t>
      </w:r>
      <w:proofErr w:type="spellEnd"/>
      <w:r w:rsidRPr="00871C6F">
        <w:rPr>
          <w:rFonts w:ascii="Garamond" w:hAnsi="Garamond"/>
          <w:lang w:val="pt-PT"/>
        </w:rPr>
        <w:t xml:space="preserve">, recém apresentados em </w:t>
      </w:r>
      <w:proofErr w:type="spellStart"/>
      <w:r>
        <w:rPr>
          <w:rFonts w:ascii="Garamond" w:hAnsi="Garamond"/>
          <w:lang w:val="pt-PT"/>
        </w:rPr>
        <w:t>d</w:t>
      </w:r>
      <w:r w:rsidRPr="00871C6F">
        <w:rPr>
          <w:rFonts w:ascii="Garamond" w:hAnsi="Garamond"/>
          <w:lang w:val="pt-PT"/>
        </w:rPr>
        <w:t>ezembro</w:t>
      </w:r>
      <w:proofErr w:type="spellEnd"/>
      <w:r w:rsidRPr="00871C6F">
        <w:rPr>
          <w:rFonts w:ascii="Garamond" w:hAnsi="Garamond"/>
          <w:lang w:val="pt-PT"/>
        </w:rPr>
        <w:t xml:space="preserve"> de 2019, mostram que:</w:t>
      </w:r>
    </w:p>
    <w:p w14:paraId="6BE0595F" w14:textId="77777777" w:rsidR="00541FA6" w:rsidRDefault="00541FA6" w:rsidP="002A62A2">
      <w:pPr>
        <w:pStyle w:val="PargrafodaLista"/>
        <w:numPr>
          <w:ilvl w:val="0"/>
          <w:numId w:val="75"/>
        </w:numPr>
        <w:spacing w:after="240" w:line="259" w:lineRule="auto"/>
        <w:jc w:val="both"/>
        <w:rPr>
          <w:rFonts w:ascii="Garamond" w:hAnsi="Garamond"/>
          <w:lang w:val="pt-PT"/>
        </w:rPr>
      </w:pPr>
      <w:r w:rsidRPr="00871C6F">
        <w:rPr>
          <w:rFonts w:ascii="Garamond" w:hAnsi="Garamond"/>
          <w:lang w:val="pt-PT"/>
        </w:rPr>
        <w:t xml:space="preserve">A proporção de mulheres que sofreu violência física </w:t>
      </w:r>
      <w:r w:rsidRPr="00AD34F8">
        <w:rPr>
          <w:rFonts w:ascii="Garamond" w:hAnsi="Garamond"/>
          <w:b/>
          <w:bCs/>
          <w:lang w:val="pt-PT"/>
        </w:rPr>
        <w:t>nos últimos 12 meses</w:t>
      </w:r>
      <w:r>
        <w:rPr>
          <w:rFonts w:ascii="Garamond" w:hAnsi="Garamond"/>
          <w:lang w:val="pt-PT"/>
        </w:rPr>
        <w:t xml:space="preserve"> </w:t>
      </w:r>
      <w:r w:rsidRPr="00871C6F">
        <w:rPr>
          <w:rFonts w:ascii="Garamond" w:hAnsi="Garamond"/>
          <w:lang w:val="pt-PT"/>
        </w:rPr>
        <w:t xml:space="preserve">diminuiu substancialmente, de 2 em cada 10 mulheres em 2005 (20,3%) para cerca de 1 em cada 10 (10,9%), uma diminuição de 9,4 pontos percentuais (pp). </w:t>
      </w:r>
    </w:p>
    <w:p w14:paraId="18D18D98" w14:textId="77777777" w:rsidR="00541FA6" w:rsidRDefault="00541FA6" w:rsidP="002A62A2">
      <w:pPr>
        <w:pStyle w:val="PargrafodaLista"/>
        <w:numPr>
          <w:ilvl w:val="0"/>
          <w:numId w:val="75"/>
        </w:numPr>
        <w:spacing w:after="240" w:line="259" w:lineRule="auto"/>
        <w:jc w:val="both"/>
        <w:rPr>
          <w:rFonts w:ascii="Garamond" w:hAnsi="Garamond"/>
          <w:lang w:val="pt-PT"/>
        </w:rPr>
      </w:pPr>
      <w:r w:rsidRPr="00BC580B">
        <w:rPr>
          <w:rFonts w:ascii="Garamond" w:hAnsi="Garamond"/>
          <w:lang w:val="pt-PT"/>
        </w:rPr>
        <w:t>Este resultado extremamente positivo</w:t>
      </w:r>
      <w:r>
        <w:rPr>
          <w:rFonts w:ascii="Garamond" w:hAnsi="Garamond"/>
          <w:lang w:val="pt-PT"/>
        </w:rPr>
        <w:t>,</w:t>
      </w:r>
      <w:r w:rsidRPr="00BC580B">
        <w:rPr>
          <w:rFonts w:ascii="Garamond" w:hAnsi="Garamond"/>
          <w:lang w:val="pt-PT"/>
        </w:rPr>
        <w:t xml:space="preserve"> é </w:t>
      </w:r>
      <w:r>
        <w:rPr>
          <w:rFonts w:ascii="Garamond" w:hAnsi="Garamond"/>
          <w:lang w:val="pt-PT"/>
        </w:rPr>
        <w:t xml:space="preserve">particularmente </w:t>
      </w:r>
      <w:r w:rsidRPr="00BC580B">
        <w:rPr>
          <w:rFonts w:ascii="Garamond" w:hAnsi="Garamond"/>
          <w:lang w:val="pt-PT"/>
        </w:rPr>
        <w:t xml:space="preserve">marcado </w:t>
      </w:r>
      <w:r>
        <w:rPr>
          <w:rFonts w:ascii="Garamond" w:hAnsi="Garamond"/>
          <w:lang w:val="pt-PT"/>
        </w:rPr>
        <w:t xml:space="preserve">entre as mulheres mais jovens:  houve uma diminuição da ordem dos </w:t>
      </w:r>
      <w:r w:rsidRPr="00BC580B">
        <w:rPr>
          <w:rFonts w:ascii="Garamond" w:hAnsi="Garamond"/>
          <w:lang w:val="pt-PT"/>
        </w:rPr>
        <w:t>16 pp na faixa etária dos 20-29 anos,</w:t>
      </w:r>
      <w:r>
        <w:rPr>
          <w:rFonts w:ascii="Garamond" w:hAnsi="Garamond"/>
          <w:lang w:val="pt-PT"/>
        </w:rPr>
        <w:t xml:space="preserve"> faixa etária na qual, em 2005, </w:t>
      </w:r>
      <w:r w:rsidRPr="00BC580B">
        <w:rPr>
          <w:rFonts w:ascii="Garamond" w:hAnsi="Garamond"/>
          <w:lang w:val="pt-PT"/>
        </w:rPr>
        <w:t xml:space="preserve">quase 1 em cada 4 mulheres referia ter sofrido violência </w:t>
      </w:r>
      <w:r>
        <w:rPr>
          <w:rFonts w:ascii="Garamond" w:hAnsi="Garamond"/>
          <w:lang w:val="pt-PT"/>
        </w:rPr>
        <w:t xml:space="preserve">física </w:t>
      </w:r>
      <w:r w:rsidRPr="00BC580B">
        <w:rPr>
          <w:rFonts w:ascii="Garamond" w:hAnsi="Garamond"/>
          <w:lang w:val="pt-PT"/>
        </w:rPr>
        <w:t xml:space="preserve">nos </w:t>
      </w:r>
      <w:r>
        <w:rPr>
          <w:rFonts w:ascii="Garamond" w:hAnsi="Garamond"/>
          <w:lang w:val="pt-PT"/>
        </w:rPr>
        <w:t xml:space="preserve">últimos </w:t>
      </w:r>
      <w:r w:rsidRPr="00BC580B">
        <w:rPr>
          <w:rFonts w:ascii="Garamond" w:hAnsi="Garamond"/>
          <w:lang w:val="pt-PT"/>
        </w:rPr>
        <w:t>12 meses.</w:t>
      </w:r>
      <w:r>
        <w:rPr>
          <w:rFonts w:ascii="Garamond" w:hAnsi="Garamond"/>
          <w:lang w:val="pt-PT"/>
        </w:rPr>
        <w:t xml:space="preserve"> </w:t>
      </w:r>
    </w:p>
    <w:p w14:paraId="3A31D244" w14:textId="77777777" w:rsidR="00541FA6"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Taxa que só não diminuiu para mulheres de 40-49 anos.</w:t>
      </w:r>
    </w:p>
    <w:p w14:paraId="245C5093" w14:textId="77777777" w:rsidR="00541FA6"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 xml:space="preserve">O fato da prevalência da violência física ter baixado entre as gerações mais novas (coortes) é um indicador de mudança comportamental importante, que traduz a eficácia das estratégias de trabalho desde 2005.   </w:t>
      </w:r>
    </w:p>
    <w:p w14:paraId="048BD107" w14:textId="1F1177F1" w:rsidR="00541FA6" w:rsidRPr="008E719B" w:rsidRDefault="00541FA6" w:rsidP="008E719B">
      <w:pPr>
        <w:pStyle w:val="Legenda"/>
        <w:spacing w:after="0"/>
        <w:jc w:val="center"/>
        <w:rPr>
          <w:rFonts w:ascii="Garamond" w:hAnsi="Garamond"/>
          <w:b/>
          <w:bCs/>
          <w:i w:val="0"/>
          <w:iCs w:val="0"/>
          <w:color w:val="auto"/>
          <w:sz w:val="20"/>
          <w:szCs w:val="20"/>
          <w:lang w:val="pt-PT"/>
        </w:rPr>
      </w:pPr>
      <w:bookmarkStart w:id="40" w:name="_Toc32856861"/>
      <w:r w:rsidRPr="008E719B">
        <w:rPr>
          <w:rFonts w:ascii="Garamond" w:hAnsi="Garamond"/>
          <w:b/>
          <w:bCs/>
          <w:i w:val="0"/>
          <w:iCs w:val="0"/>
          <w:color w:val="auto"/>
          <w:sz w:val="20"/>
          <w:szCs w:val="20"/>
          <w:lang w:val="pt-PT"/>
        </w:rPr>
        <w:t>Gráfico</w:t>
      </w:r>
      <w:r w:rsidR="009F122A" w:rsidRPr="008E719B">
        <w:rPr>
          <w:rFonts w:ascii="Garamond" w:hAnsi="Garamond"/>
          <w:b/>
          <w:bCs/>
          <w:i w:val="0"/>
          <w:iCs w:val="0"/>
          <w:color w:val="auto"/>
          <w:sz w:val="20"/>
          <w:szCs w:val="20"/>
          <w:lang w:val="pt-PT"/>
        </w:rPr>
        <w:t xml:space="preserve"> </w:t>
      </w:r>
      <w:r w:rsidR="009F122A" w:rsidRPr="008E719B">
        <w:rPr>
          <w:rFonts w:ascii="Garamond" w:hAnsi="Garamond"/>
          <w:b/>
          <w:bCs/>
          <w:i w:val="0"/>
          <w:iCs w:val="0"/>
          <w:color w:val="auto"/>
          <w:sz w:val="20"/>
          <w:szCs w:val="20"/>
          <w:lang w:val="pt-PT"/>
        </w:rPr>
        <w:fldChar w:fldCharType="begin"/>
      </w:r>
      <w:r w:rsidR="009F122A" w:rsidRPr="008E719B">
        <w:rPr>
          <w:rFonts w:ascii="Garamond" w:hAnsi="Garamond"/>
          <w:b/>
          <w:bCs/>
          <w:i w:val="0"/>
          <w:iCs w:val="0"/>
          <w:color w:val="auto"/>
          <w:sz w:val="20"/>
          <w:szCs w:val="20"/>
          <w:lang w:val="pt-PT"/>
        </w:rPr>
        <w:instrText xml:space="preserve"> SEQ Grafico \* ARABIC </w:instrText>
      </w:r>
      <w:r w:rsidR="009F122A" w:rsidRPr="008E719B">
        <w:rPr>
          <w:rFonts w:ascii="Garamond" w:hAnsi="Garamond"/>
          <w:b/>
          <w:bCs/>
          <w:i w:val="0"/>
          <w:iCs w:val="0"/>
          <w:color w:val="auto"/>
          <w:sz w:val="20"/>
          <w:szCs w:val="20"/>
          <w:lang w:val="pt-PT"/>
        </w:rPr>
        <w:fldChar w:fldCharType="separate"/>
      </w:r>
      <w:r w:rsidR="009F122A" w:rsidRPr="008E719B">
        <w:rPr>
          <w:rFonts w:ascii="Garamond" w:hAnsi="Garamond"/>
          <w:b/>
          <w:bCs/>
          <w:i w:val="0"/>
          <w:iCs w:val="0"/>
          <w:color w:val="auto"/>
          <w:sz w:val="20"/>
          <w:szCs w:val="20"/>
          <w:lang w:val="pt-PT"/>
        </w:rPr>
        <w:t>7</w:t>
      </w:r>
      <w:r w:rsidR="009F122A" w:rsidRPr="008E719B">
        <w:rPr>
          <w:rFonts w:ascii="Garamond" w:hAnsi="Garamond"/>
          <w:b/>
          <w:bCs/>
          <w:i w:val="0"/>
          <w:iCs w:val="0"/>
          <w:color w:val="auto"/>
          <w:sz w:val="20"/>
          <w:szCs w:val="20"/>
          <w:lang w:val="pt-PT"/>
        </w:rPr>
        <w:fldChar w:fldCharType="end"/>
      </w:r>
      <w:r w:rsidR="009F122A" w:rsidRPr="008E719B">
        <w:rPr>
          <w:rFonts w:ascii="Garamond" w:hAnsi="Garamond"/>
          <w:b/>
          <w:bCs/>
          <w:i w:val="0"/>
          <w:iCs w:val="0"/>
          <w:color w:val="auto"/>
          <w:sz w:val="20"/>
          <w:szCs w:val="20"/>
          <w:lang w:val="pt-PT"/>
        </w:rPr>
        <w:t xml:space="preserve"> </w:t>
      </w:r>
      <w:r w:rsidRPr="008E719B">
        <w:rPr>
          <w:rFonts w:ascii="Garamond" w:hAnsi="Garamond"/>
          <w:b/>
          <w:bCs/>
          <w:i w:val="0"/>
          <w:iCs w:val="0"/>
          <w:color w:val="auto"/>
          <w:sz w:val="20"/>
          <w:szCs w:val="20"/>
          <w:lang w:val="pt-PT"/>
        </w:rPr>
        <w:t>– Evolução da prevalência da violência física contra mulheres (qualquer perpetrador), em qualquer momento e nos últimos 12 meses (%)</w:t>
      </w:r>
      <w:bookmarkEnd w:id="40"/>
    </w:p>
    <w:p w14:paraId="02DEA0CF" w14:textId="77777777" w:rsidR="00541FA6" w:rsidRDefault="00541FA6" w:rsidP="00541FA6">
      <w:pPr>
        <w:spacing w:line="259" w:lineRule="auto"/>
        <w:jc w:val="center"/>
        <w:rPr>
          <w:rFonts w:ascii="Garamond" w:hAnsi="Garamond"/>
          <w:lang w:val="pt-PT"/>
        </w:rPr>
      </w:pPr>
      <w:r>
        <w:rPr>
          <w:noProof/>
        </w:rPr>
        <w:drawing>
          <wp:inline distT="0" distB="0" distL="0" distR="0" wp14:anchorId="09C5040B" wp14:editId="6638C946">
            <wp:extent cx="2927797" cy="1729740"/>
            <wp:effectExtent l="0" t="0" r="6350" b="3810"/>
            <wp:docPr id="42" name="Gráfico 42">
              <a:extLst xmlns:a="http://schemas.openxmlformats.org/drawingml/2006/main">
                <a:ext uri="{FF2B5EF4-FFF2-40B4-BE49-F238E27FC236}">
                  <a16:creationId xmlns:a16="http://schemas.microsoft.com/office/drawing/2014/main" id="{8DD3BDF9-FB84-4CF2-A0ED-D240C6475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CBDF92" w14:textId="77777777" w:rsidR="00541FA6" w:rsidRPr="00871C6F" w:rsidRDefault="00541FA6" w:rsidP="00541FA6">
      <w:pPr>
        <w:spacing w:after="240"/>
        <w:jc w:val="center"/>
        <w:rPr>
          <w:rFonts w:ascii="Garamond" w:hAnsi="Garamond"/>
          <w:b/>
          <w:bCs/>
          <w:sz w:val="20"/>
          <w:szCs w:val="20"/>
          <w:lang w:val="pt-PT"/>
        </w:rPr>
      </w:pPr>
      <w:r w:rsidRPr="00871C6F">
        <w:rPr>
          <w:rFonts w:ascii="Garamond" w:hAnsi="Garamond"/>
          <w:b/>
          <w:bCs/>
          <w:sz w:val="20"/>
          <w:szCs w:val="20"/>
          <w:lang w:val="pt-PT"/>
        </w:rPr>
        <w:t xml:space="preserve">Fonte: elaboração própria com base nos dados do </w:t>
      </w:r>
      <w:proofErr w:type="spellStart"/>
      <w:r w:rsidRPr="00871C6F">
        <w:rPr>
          <w:rFonts w:ascii="Garamond" w:hAnsi="Garamond"/>
          <w:b/>
          <w:bCs/>
          <w:sz w:val="20"/>
          <w:szCs w:val="20"/>
          <w:lang w:val="pt-PT"/>
        </w:rPr>
        <w:t>IDSR</w:t>
      </w:r>
      <w:proofErr w:type="spellEnd"/>
      <w:r w:rsidRPr="00871C6F">
        <w:rPr>
          <w:rFonts w:ascii="Garamond" w:hAnsi="Garamond"/>
          <w:b/>
          <w:bCs/>
          <w:sz w:val="20"/>
          <w:szCs w:val="20"/>
          <w:lang w:val="pt-PT"/>
        </w:rPr>
        <w:t xml:space="preserve"> III (2018)</w:t>
      </w:r>
      <w:r>
        <w:rPr>
          <w:rFonts w:ascii="Garamond" w:hAnsi="Garamond"/>
          <w:b/>
          <w:bCs/>
          <w:sz w:val="20"/>
          <w:szCs w:val="20"/>
          <w:lang w:val="pt-PT"/>
        </w:rPr>
        <w:t xml:space="preserve"> 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r w:rsidRPr="00871C6F">
        <w:rPr>
          <w:rFonts w:ascii="Garamond" w:hAnsi="Garamond"/>
          <w:b/>
          <w:bCs/>
          <w:sz w:val="20"/>
          <w:szCs w:val="20"/>
          <w:lang w:val="pt-PT"/>
        </w:rPr>
        <w:t xml:space="preserve"> </w:t>
      </w:r>
    </w:p>
    <w:p w14:paraId="754CAA9F" w14:textId="77777777" w:rsidR="00541FA6" w:rsidRPr="00BC580B"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 xml:space="preserve">Contudo, </w:t>
      </w:r>
      <w:r w:rsidRPr="00BC580B">
        <w:rPr>
          <w:rFonts w:ascii="Garamond" w:hAnsi="Garamond"/>
          <w:lang w:val="pt-PT"/>
        </w:rPr>
        <w:t>deve notar</w:t>
      </w:r>
      <w:r>
        <w:rPr>
          <w:rFonts w:ascii="Garamond" w:hAnsi="Garamond"/>
          <w:lang w:val="pt-PT"/>
        </w:rPr>
        <w:t>-se</w:t>
      </w:r>
      <w:r w:rsidRPr="00BC580B">
        <w:rPr>
          <w:rFonts w:ascii="Garamond" w:hAnsi="Garamond"/>
          <w:lang w:val="pt-PT"/>
        </w:rPr>
        <w:t xml:space="preserve"> que a violência contra mulheres grávidas </w:t>
      </w:r>
      <w:r>
        <w:rPr>
          <w:rFonts w:ascii="Garamond" w:hAnsi="Garamond"/>
          <w:lang w:val="pt-PT"/>
        </w:rPr>
        <w:t xml:space="preserve">se </w:t>
      </w:r>
      <w:r w:rsidRPr="00BC580B">
        <w:rPr>
          <w:rFonts w:ascii="Garamond" w:hAnsi="Garamond"/>
          <w:lang w:val="pt-PT"/>
        </w:rPr>
        <w:t>manteve igual: 4,6% em 2005 e 4,7% em 2018, tendo inclusivamente aumentado em São Vicente (3,8% para 8,5%) e no Sal (1,9% para 9,4%).</w:t>
      </w:r>
    </w:p>
    <w:p w14:paraId="193A8AA7" w14:textId="77777777" w:rsidR="00541FA6"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O que também acontece com os indicadores de v</w:t>
      </w:r>
      <w:r w:rsidRPr="00871C6F">
        <w:rPr>
          <w:rFonts w:ascii="Garamond" w:hAnsi="Garamond"/>
          <w:lang w:val="pt-PT"/>
        </w:rPr>
        <w:t>iolência contra mulheres no contexto das relações conjugais:</w:t>
      </w:r>
      <w:r>
        <w:rPr>
          <w:rStyle w:val="Refdenotaderodap"/>
          <w:rFonts w:ascii="Garamond" w:hAnsi="Garamond"/>
        </w:rPr>
        <w:footnoteReference w:id="44"/>
      </w:r>
      <w:r w:rsidRPr="00871C6F">
        <w:rPr>
          <w:rFonts w:ascii="Garamond" w:hAnsi="Garamond"/>
          <w:lang w:val="pt-PT"/>
        </w:rPr>
        <w:t xml:space="preserve"> 2 em cada 10 mulheres referem ter sofrido </w:t>
      </w:r>
      <w:proofErr w:type="spellStart"/>
      <w:r w:rsidRPr="00871C6F">
        <w:rPr>
          <w:rFonts w:ascii="Garamond" w:hAnsi="Garamond"/>
          <w:lang w:val="pt-PT"/>
        </w:rPr>
        <w:t>pelo</w:t>
      </w:r>
      <w:proofErr w:type="spellEnd"/>
      <w:r w:rsidRPr="00871C6F">
        <w:rPr>
          <w:rFonts w:ascii="Garamond" w:hAnsi="Garamond"/>
          <w:lang w:val="pt-PT"/>
        </w:rPr>
        <w:t xml:space="preserve"> menos um episódio de violência física, sexual ou emocional por parte do marido/companheiro (19,6% em 2005 e 20,4% em 2018)</w:t>
      </w:r>
      <w:r>
        <w:rPr>
          <w:rFonts w:ascii="Garamond" w:hAnsi="Garamond"/>
          <w:lang w:val="pt-PT"/>
        </w:rPr>
        <w:t xml:space="preserve"> </w:t>
      </w:r>
      <w:r w:rsidRPr="002C7E60">
        <w:rPr>
          <w:rFonts w:ascii="Garamond" w:hAnsi="Garamond"/>
          <w:lang w:val="pt-PT"/>
        </w:rPr>
        <w:t>(ver gráfico que se segue)</w:t>
      </w:r>
      <w:r>
        <w:rPr>
          <w:rFonts w:ascii="Garamond" w:hAnsi="Garamond"/>
          <w:lang w:val="pt-PT"/>
        </w:rPr>
        <w:t xml:space="preserve">. </w:t>
      </w:r>
    </w:p>
    <w:p w14:paraId="75E5E9ED" w14:textId="77777777" w:rsidR="00541FA6"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 xml:space="preserve">No entanto, nota-se o mesmo padrão geracional notado acima: na faixa etária dos 20-29 anos a violência no contexto das relações íntimas/conjugais desceu na ordem de 3,2 pp, e em particular no caso da violência física ou sexual (diminuição na ordem dos 5,7 pp), um sinal de mudança comportamental apreciável.  </w:t>
      </w:r>
    </w:p>
    <w:p w14:paraId="104C3152" w14:textId="401D262F" w:rsidR="00541FA6" w:rsidRPr="00871C6F" w:rsidRDefault="00541FA6" w:rsidP="00541FA6">
      <w:pPr>
        <w:pStyle w:val="Legenda"/>
        <w:spacing w:after="0"/>
        <w:jc w:val="center"/>
        <w:rPr>
          <w:rFonts w:ascii="Garamond" w:hAnsi="Garamond"/>
          <w:b/>
          <w:bCs/>
          <w:color w:val="auto"/>
          <w:sz w:val="20"/>
          <w:szCs w:val="20"/>
          <w:lang w:val="pt-PT"/>
        </w:rPr>
      </w:pPr>
      <w:bookmarkStart w:id="41" w:name="_Toc32856862"/>
      <w:r w:rsidRPr="00871C6F">
        <w:rPr>
          <w:rFonts w:ascii="Garamond" w:hAnsi="Garamond"/>
          <w:b/>
          <w:bCs/>
          <w:color w:val="auto"/>
          <w:sz w:val="20"/>
          <w:szCs w:val="20"/>
          <w:lang w:val="pt-PT"/>
        </w:rPr>
        <w:t xml:space="preserve">Gráfico </w:t>
      </w:r>
      <w:r w:rsidRPr="00833CB5">
        <w:rPr>
          <w:rFonts w:ascii="Garamond" w:hAnsi="Garamond"/>
          <w:b/>
          <w:bCs/>
          <w:color w:val="auto"/>
          <w:sz w:val="20"/>
          <w:szCs w:val="20"/>
        </w:rPr>
        <w:fldChar w:fldCharType="begin"/>
      </w:r>
      <w:r w:rsidRPr="00871C6F">
        <w:rPr>
          <w:rFonts w:ascii="Garamond" w:hAnsi="Garamond"/>
          <w:b/>
          <w:bCs/>
          <w:color w:val="auto"/>
          <w:sz w:val="20"/>
          <w:szCs w:val="20"/>
          <w:lang w:val="pt-PT"/>
        </w:rPr>
        <w:instrText xml:space="preserve"> SEQ Grafico \* ARABIC </w:instrText>
      </w:r>
      <w:r w:rsidRPr="00833CB5">
        <w:rPr>
          <w:rFonts w:ascii="Garamond" w:hAnsi="Garamond"/>
          <w:b/>
          <w:bCs/>
          <w:color w:val="auto"/>
          <w:sz w:val="20"/>
          <w:szCs w:val="20"/>
        </w:rPr>
        <w:fldChar w:fldCharType="separate"/>
      </w:r>
      <w:r w:rsidR="009F122A">
        <w:rPr>
          <w:rFonts w:ascii="Garamond" w:hAnsi="Garamond"/>
          <w:b/>
          <w:bCs/>
          <w:noProof/>
          <w:color w:val="auto"/>
          <w:sz w:val="20"/>
          <w:szCs w:val="20"/>
          <w:lang w:val="pt-PT"/>
        </w:rPr>
        <w:t>8</w:t>
      </w:r>
      <w:r w:rsidRPr="00833CB5">
        <w:rPr>
          <w:rFonts w:ascii="Garamond" w:hAnsi="Garamond"/>
          <w:b/>
          <w:bCs/>
          <w:color w:val="auto"/>
          <w:sz w:val="20"/>
          <w:szCs w:val="20"/>
        </w:rPr>
        <w:fldChar w:fldCharType="end"/>
      </w:r>
      <w:r w:rsidRPr="00871C6F">
        <w:rPr>
          <w:rFonts w:ascii="Garamond" w:hAnsi="Garamond"/>
          <w:b/>
          <w:bCs/>
          <w:color w:val="auto"/>
          <w:sz w:val="20"/>
          <w:szCs w:val="20"/>
          <w:lang w:val="pt-PT"/>
        </w:rPr>
        <w:t xml:space="preserve"> – Evolução da prevalência da violência contra a mulher nas relações conjugais (exercida </w:t>
      </w:r>
      <w:proofErr w:type="spellStart"/>
      <w:r w:rsidRPr="00871C6F">
        <w:rPr>
          <w:rFonts w:ascii="Garamond" w:hAnsi="Garamond"/>
          <w:b/>
          <w:bCs/>
          <w:color w:val="auto"/>
          <w:sz w:val="20"/>
          <w:szCs w:val="20"/>
          <w:lang w:val="pt-PT"/>
        </w:rPr>
        <w:t>pelo</w:t>
      </w:r>
      <w:proofErr w:type="spellEnd"/>
      <w:r w:rsidRPr="00871C6F">
        <w:rPr>
          <w:rFonts w:ascii="Garamond" w:hAnsi="Garamond"/>
          <w:b/>
          <w:bCs/>
          <w:color w:val="auto"/>
          <w:sz w:val="20"/>
          <w:szCs w:val="20"/>
          <w:lang w:val="pt-PT"/>
        </w:rPr>
        <w:t xml:space="preserve"> marido/companheiro </w:t>
      </w:r>
      <w:proofErr w:type="spellStart"/>
      <w:r w:rsidRPr="00871C6F">
        <w:rPr>
          <w:rFonts w:ascii="Garamond" w:hAnsi="Garamond"/>
          <w:b/>
          <w:bCs/>
          <w:color w:val="auto"/>
          <w:sz w:val="20"/>
          <w:szCs w:val="20"/>
          <w:lang w:val="pt-PT"/>
        </w:rPr>
        <w:t>atual</w:t>
      </w:r>
      <w:proofErr w:type="spellEnd"/>
      <w:r w:rsidRPr="00871C6F">
        <w:rPr>
          <w:rFonts w:ascii="Garamond" w:hAnsi="Garamond"/>
          <w:b/>
          <w:bCs/>
          <w:color w:val="auto"/>
          <w:sz w:val="20"/>
          <w:szCs w:val="20"/>
          <w:lang w:val="pt-PT"/>
        </w:rPr>
        <w:t xml:space="preserve"> ou anterior) em qualquer momento, por tipo de violência (%)</w:t>
      </w:r>
      <w:bookmarkEnd w:id="41"/>
    </w:p>
    <w:p w14:paraId="560CD2F5" w14:textId="77777777" w:rsidR="00541FA6" w:rsidRDefault="00541FA6" w:rsidP="00541FA6">
      <w:pPr>
        <w:jc w:val="center"/>
        <w:rPr>
          <w:rFonts w:ascii="Garamond" w:hAnsi="Garamond"/>
        </w:rPr>
      </w:pPr>
      <w:r>
        <w:rPr>
          <w:noProof/>
        </w:rPr>
        <w:drawing>
          <wp:inline distT="0" distB="0" distL="0" distR="0" wp14:anchorId="2B8E73DF" wp14:editId="13000C01">
            <wp:extent cx="4511675" cy="1562637"/>
            <wp:effectExtent l="0" t="0" r="3175" b="0"/>
            <wp:docPr id="43" name="Gráfico 43">
              <a:extLst xmlns:a="http://schemas.openxmlformats.org/drawingml/2006/main">
                <a:ext uri="{FF2B5EF4-FFF2-40B4-BE49-F238E27FC236}">
                  <a16:creationId xmlns:a16="http://schemas.microsoft.com/office/drawing/2014/main" id="{94D89D54-910D-4560-AA84-3598D1118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505D560" w14:textId="77777777" w:rsidR="00541FA6" w:rsidRPr="00871C6F" w:rsidRDefault="00541FA6" w:rsidP="00541FA6">
      <w:pPr>
        <w:spacing w:after="240"/>
        <w:jc w:val="center"/>
        <w:rPr>
          <w:rFonts w:ascii="Garamond" w:hAnsi="Garamond"/>
          <w:b/>
          <w:bCs/>
          <w:sz w:val="20"/>
          <w:szCs w:val="20"/>
          <w:lang w:val="pt-PT"/>
        </w:rPr>
      </w:pPr>
      <w:r w:rsidRPr="00871C6F">
        <w:rPr>
          <w:rFonts w:ascii="Garamond" w:hAnsi="Garamond"/>
          <w:b/>
          <w:bCs/>
          <w:sz w:val="20"/>
          <w:szCs w:val="20"/>
          <w:lang w:val="pt-PT"/>
        </w:rPr>
        <w:t xml:space="preserve">Fonte: elaboração própria com base nos dados do </w:t>
      </w:r>
      <w:proofErr w:type="spellStart"/>
      <w:r w:rsidRPr="00871C6F">
        <w:rPr>
          <w:rFonts w:ascii="Garamond" w:hAnsi="Garamond"/>
          <w:b/>
          <w:bCs/>
          <w:sz w:val="20"/>
          <w:szCs w:val="20"/>
          <w:lang w:val="pt-PT"/>
        </w:rPr>
        <w:t>IDSR</w:t>
      </w:r>
      <w:proofErr w:type="spellEnd"/>
      <w:r w:rsidRPr="00871C6F">
        <w:rPr>
          <w:rFonts w:ascii="Garamond" w:hAnsi="Garamond"/>
          <w:b/>
          <w:bCs/>
          <w:sz w:val="20"/>
          <w:szCs w:val="20"/>
          <w:lang w:val="pt-PT"/>
        </w:rPr>
        <w:t xml:space="preserve"> III (2018)</w:t>
      </w:r>
      <w:r>
        <w:rPr>
          <w:rFonts w:ascii="Garamond" w:hAnsi="Garamond"/>
          <w:b/>
          <w:bCs/>
          <w:sz w:val="20"/>
          <w:szCs w:val="20"/>
          <w:lang w:val="pt-PT"/>
        </w:rPr>
        <w:t xml:space="preserve"> 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r w:rsidRPr="00871C6F">
        <w:rPr>
          <w:rFonts w:ascii="Garamond" w:hAnsi="Garamond"/>
          <w:b/>
          <w:bCs/>
          <w:sz w:val="20"/>
          <w:szCs w:val="20"/>
          <w:lang w:val="pt-PT"/>
        </w:rPr>
        <w:t xml:space="preserve">  </w:t>
      </w:r>
    </w:p>
    <w:p w14:paraId="0BD78B96" w14:textId="77777777" w:rsidR="00541FA6" w:rsidRPr="002C7E60" w:rsidRDefault="00541FA6" w:rsidP="00541FA6">
      <w:pPr>
        <w:spacing w:after="240" w:line="259" w:lineRule="auto"/>
        <w:jc w:val="both"/>
        <w:rPr>
          <w:rFonts w:ascii="Garamond" w:hAnsi="Garamond"/>
          <w:lang w:val="pt-PT"/>
        </w:rPr>
      </w:pPr>
      <w:r>
        <w:rPr>
          <w:rFonts w:ascii="Garamond" w:hAnsi="Garamond"/>
          <w:lang w:val="pt-PT"/>
        </w:rPr>
        <w:t xml:space="preserve">Considerando </w:t>
      </w:r>
      <w:r w:rsidRPr="00B31B51">
        <w:rPr>
          <w:rFonts w:ascii="Garamond" w:hAnsi="Garamond"/>
          <w:b/>
          <w:bCs/>
          <w:lang w:val="pt-PT"/>
        </w:rPr>
        <w:t>os últimos 12 meses</w:t>
      </w:r>
      <w:r>
        <w:rPr>
          <w:rFonts w:ascii="Garamond" w:hAnsi="Garamond"/>
          <w:lang w:val="pt-PT"/>
        </w:rPr>
        <w:t>, a</w:t>
      </w:r>
      <w:r w:rsidRPr="002C7E60">
        <w:rPr>
          <w:rFonts w:ascii="Garamond" w:hAnsi="Garamond"/>
          <w:lang w:val="pt-PT"/>
        </w:rPr>
        <w:t xml:space="preserve"> prevalência da violência conjugal contra as mulheres </w:t>
      </w:r>
      <w:r>
        <w:rPr>
          <w:rFonts w:ascii="Garamond" w:hAnsi="Garamond"/>
          <w:lang w:val="pt-PT"/>
        </w:rPr>
        <w:t xml:space="preserve">em 2018 foi </w:t>
      </w:r>
      <w:r w:rsidRPr="002C7E60">
        <w:rPr>
          <w:rFonts w:ascii="Garamond" w:hAnsi="Garamond"/>
          <w:lang w:val="pt-PT"/>
        </w:rPr>
        <w:t>de 18,4% (qualquer tipo de violência), sendo de 13,8% no caso da violência física, 3,7% violência sexual e 14,1% violência emocional.</w:t>
      </w:r>
    </w:p>
    <w:p w14:paraId="6712A672" w14:textId="77777777" w:rsidR="00541FA6" w:rsidRPr="00871C6F" w:rsidRDefault="00541FA6" w:rsidP="00541FA6">
      <w:pPr>
        <w:jc w:val="both"/>
        <w:rPr>
          <w:rFonts w:ascii="Garamond" w:hAnsi="Garamond"/>
          <w:lang w:val="pt-PT"/>
        </w:rPr>
      </w:pPr>
      <w:r w:rsidRPr="00871C6F">
        <w:rPr>
          <w:rFonts w:ascii="Garamond" w:hAnsi="Garamond"/>
          <w:lang w:val="pt-PT"/>
        </w:rPr>
        <w:t xml:space="preserve">As consequências físicas da violência conjugal sofrida vão desde cortes, hematomas ou dores, a ferimentos profundos, </w:t>
      </w:r>
      <w:proofErr w:type="spellStart"/>
      <w:r w:rsidRPr="00871C6F">
        <w:rPr>
          <w:rFonts w:ascii="Garamond" w:hAnsi="Garamond"/>
          <w:lang w:val="pt-PT"/>
        </w:rPr>
        <w:t>fraturas</w:t>
      </w:r>
      <w:proofErr w:type="spellEnd"/>
      <w:r w:rsidRPr="00871C6F">
        <w:rPr>
          <w:rFonts w:ascii="Garamond" w:hAnsi="Garamond"/>
          <w:lang w:val="pt-PT"/>
        </w:rPr>
        <w:t xml:space="preserve"> ou outros ferimentos graves: </w:t>
      </w:r>
    </w:p>
    <w:p w14:paraId="51886304" w14:textId="77777777" w:rsidR="00541FA6" w:rsidRPr="00871C6F" w:rsidRDefault="00541FA6" w:rsidP="002A62A2">
      <w:pPr>
        <w:pStyle w:val="PargrafodaLista"/>
        <w:numPr>
          <w:ilvl w:val="0"/>
          <w:numId w:val="75"/>
        </w:numPr>
        <w:spacing w:after="240" w:line="259" w:lineRule="auto"/>
        <w:jc w:val="both"/>
        <w:rPr>
          <w:rFonts w:ascii="Garamond" w:hAnsi="Garamond"/>
          <w:lang w:val="pt-PT"/>
        </w:rPr>
      </w:pPr>
      <w:r w:rsidRPr="00871C6F">
        <w:rPr>
          <w:rFonts w:ascii="Garamond" w:hAnsi="Garamond"/>
          <w:lang w:val="pt-PT"/>
        </w:rPr>
        <w:t>3 em cada 10 mulheres que sofreu violência física nos últimos 12 meses refere uma destas consequências físicas (29,6%)</w:t>
      </w:r>
    </w:p>
    <w:p w14:paraId="784B771A" w14:textId="77777777" w:rsidR="00541FA6" w:rsidRPr="00871C6F" w:rsidRDefault="00541FA6" w:rsidP="002A62A2">
      <w:pPr>
        <w:pStyle w:val="PargrafodaLista"/>
        <w:numPr>
          <w:ilvl w:val="0"/>
          <w:numId w:val="75"/>
        </w:numPr>
        <w:spacing w:after="240" w:line="259" w:lineRule="auto"/>
        <w:jc w:val="both"/>
        <w:rPr>
          <w:rFonts w:ascii="Garamond" w:hAnsi="Garamond"/>
          <w:lang w:val="pt-PT"/>
        </w:rPr>
      </w:pPr>
      <w:r w:rsidRPr="00871C6F">
        <w:rPr>
          <w:rFonts w:ascii="Garamond" w:hAnsi="Garamond"/>
          <w:lang w:val="pt-PT"/>
        </w:rPr>
        <w:t>4 em cada 10</w:t>
      </w:r>
      <w:r>
        <w:rPr>
          <w:rFonts w:ascii="Garamond" w:hAnsi="Garamond"/>
          <w:lang w:val="pt-PT"/>
        </w:rPr>
        <w:t>, no caso de</w:t>
      </w:r>
      <w:r w:rsidRPr="00871C6F">
        <w:rPr>
          <w:rFonts w:ascii="Garamond" w:hAnsi="Garamond"/>
          <w:lang w:val="pt-PT"/>
        </w:rPr>
        <w:t xml:space="preserve"> violência sexual. Apesar </w:t>
      </w:r>
      <w:r>
        <w:rPr>
          <w:rFonts w:ascii="Garamond" w:hAnsi="Garamond"/>
          <w:lang w:val="pt-PT"/>
        </w:rPr>
        <w:t>da prevalência da</w:t>
      </w:r>
      <w:r w:rsidRPr="00871C6F">
        <w:rPr>
          <w:rFonts w:ascii="Garamond" w:hAnsi="Garamond"/>
          <w:lang w:val="pt-PT"/>
        </w:rPr>
        <w:t xml:space="preserve"> violência </w:t>
      </w:r>
      <w:r>
        <w:rPr>
          <w:rFonts w:ascii="Garamond" w:hAnsi="Garamond"/>
          <w:lang w:val="pt-PT"/>
        </w:rPr>
        <w:t xml:space="preserve">sexual </w:t>
      </w:r>
      <w:r w:rsidRPr="00871C6F">
        <w:rPr>
          <w:rFonts w:ascii="Garamond" w:hAnsi="Garamond"/>
          <w:lang w:val="pt-PT"/>
        </w:rPr>
        <w:t>ser</w:t>
      </w:r>
      <w:r>
        <w:rPr>
          <w:rFonts w:ascii="Garamond" w:hAnsi="Garamond"/>
          <w:lang w:val="pt-PT"/>
        </w:rPr>
        <w:t xml:space="preserve"> menos frequente que a física</w:t>
      </w:r>
      <w:r w:rsidRPr="00871C6F">
        <w:rPr>
          <w:rFonts w:ascii="Garamond" w:hAnsi="Garamond"/>
          <w:lang w:val="pt-PT"/>
        </w:rPr>
        <w:t>, deixa mais sequelas físicas</w:t>
      </w:r>
      <w:r>
        <w:rPr>
          <w:rFonts w:ascii="Garamond" w:hAnsi="Garamond"/>
          <w:lang w:val="pt-PT"/>
        </w:rPr>
        <w:t xml:space="preserve"> (graves e </w:t>
      </w:r>
      <w:r w:rsidRPr="00871C6F">
        <w:rPr>
          <w:rFonts w:ascii="Garamond" w:hAnsi="Garamond"/>
          <w:lang w:val="pt-PT"/>
        </w:rPr>
        <w:t>menos graves</w:t>
      </w:r>
      <w:r>
        <w:rPr>
          <w:rFonts w:ascii="Garamond" w:hAnsi="Garamond"/>
          <w:lang w:val="pt-PT"/>
        </w:rPr>
        <w:t>)</w:t>
      </w:r>
      <w:r w:rsidRPr="00871C6F">
        <w:rPr>
          <w:rFonts w:ascii="Garamond" w:hAnsi="Garamond"/>
          <w:lang w:val="pt-PT"/>
        </w:rPr>
        <w:t>.</w:t>
      </w:r>
    </w:p>
    <w:p w14:paraId="02251ACF" w14:textId="7DAA93E6" w:rsidR="00541FA6" w:rsidRPr="00871C6F" w:rsidRDefault="00541FA6" w:rsidP="00541FA6">
      <w:pPr>
        <w:pStyle w:val="Legenda"/>
        <w:spacing w:after="0"/>
        <w:jc w:val="center"/>
        <w:rPr>
          <w:rFonts w:ascii="Garamond" w:hAnsi="Garamond"/>
          <w:b/>
          <w:bCs/>
          <w:color w:val="auto"/>
          <w:sz w:val="20"/>
          <w:szCs w:val="20"/>
          <w:lang w:val="pt-PT"/>
        </w:rPr>
      </w:pPr>
      <w:bookmarkStart w:id="42" w:name="_Toc32856863"/>
      <w:r w:rsidRPr="00871C6F">
        <w:rPr>
          <w:rFonts w:ascii="Garamond" w:hAnsi="Garamond"/>
          <w:b/>
          <w:bCs/>
          <w:color w:val="auto"/>
          <w:sz w:val="20"/>
          <w:szCs w:val="20"/>
          <w:lang w:val="pt-PT"/>
        </w:rPr>
        <w:t xml:space="preserve">Gráfico </w:t>
      </w:r>
      <w:r w:rsidRPr="00291E87">
        <w:rPr>
          <w:rFonts w:ascii="Garamond" w:hAnsi="Garamond"/>
          <w:b/>
          <w:bCs/>
          <w:color w:val="auto"/>
          <w:sz w:val="20"/>
          <w:szCs w:val="20"/>
        </w:rPr>
        <w:fldChar w:fldCharType="begin"/>
      </w:r>
      <w:r w:rsidRPr="00871C6F">
        <w:rPr>
          <w:rFonts w:ascii="Garamond" w:hAnsi="Garamond"/>
          <w:b/>
          <w:bCs/>
          <w:color w:val="auto"/>
          <w:sz w:val="20"/>
          <w:szCs w:val="20"/>
          <w:lang w:val="pt-PT"/>
        </w:rPr>
        <w:instrText xml:space="preserve"> SEQ Grafico \* ARABIC </w:instrText>
      </w:r>
      <w:r w:rsidRPr="00291E87">
        <w:rPr>
          <w:rFonts w:ascii="Garamond" w:hAnsi="Garamond"/>
          <w:b/>
          <w:bCs/>
          <w:color w:val="auto"/>
          <w:sz w:val="20"/>
          <w:szCs w:val="20"/>
        </w:rPr>
        <w:fldChar w:fldCharType="separate"/>
      </w:r>
      <w:r w:rsidR="009F122A">
        <w:rPr>
          <w:rFonts w:ascii="Garamond" w:hAnsi="Garamond"/>
          <w:b/>
          <w:bCs/>
          <w:noProof/>
          <w:color w:val="auto"/>
          <w:sz w:val="20"/>
          <w:szCs w:val="20"/>
          <w:lang w:val="pt-PT"/>
        </w:rPr>
        <w:t>9</w:t>
      </w:r>
      <w:r w:rsidRPr="00291E87">
        <w:rPr>
          <w:rFonts w:ascii="Garamond" w:hAnsi="Garamond"/>
          <w:b/>
          <w:bCs/>
          <w:color w:val="auto"/>
          <w:sz w:val="20"/>
          <w:szCs w:val="20"/>
        </w:rPr>
        <w:fldChar w:fldCharType="end"/>
      </w:r>
      <w:r w:rsidRPr="00871C6F">
        <w:rPr>
          <w:rFonts w:ascii="Garamond" w:hAnsi="Garamond"/>
          <w:b/>
          <w:bCs/>
          <w:color w:val="auto"/>
          <w:sz w:val="20"/>
          <w:szCs w:val="20"/>
          <w:lang w:val="pt-PT"/>
        </w:rPr>
        <w:t xml:space="preserve"> – Consequências físicas da violência exercida </w:t>
      </w:r>
      <w:proofErr w:type="spellStart"/>
      <w:r w:rsidRPr="00871C6F">
        <w:rPr>
          <w:rFonts w:ascii="Garamond" w:hAnsi="Garamond"/>
          <w:b/>
          <w:bCs/>
          <w:color w:val="auto"/>
          <w:sz w:val="20"/>
          <w:szCs w:val="20"/>
          <w:lang w:val="pt-PT"/>
        </w:rPr>
        <w:t>pelo</w:t>
      </w:r>
      <w:proofErr w:type="spellEnd"/>
      <w:r w:rsidRPr="00871C6F">
        <w:rPr>
          <w:rFonts w:ascii="Garamond" w:hAnsi="Garamond"/>
          <w:b/>
          <w:bCs/>
          <w:color w:val="auto"/>
          <w:sz w:val="20"/>
          <w:szCs w:val="20"/>
          <w:lang w:val="pt-PT"/>
        </w:rPr>
        <w:t xml:space="preserve"> marido/companheiro contra a mulher (relação </w:t>
      </w:r>
      <w:proofErr w:type="spellStart"/>
      <w:r w:rsidRPr="00871C6F">
        <w:rPr>
          <w:rFonts w:ascii="Garamond" w:hAnsi="Garamond"/>
          <w:b/>
          <w:bCs/>
          <w:color w:val="auto"/>
          <w:sz w:val="20"/>
          <w:szCs w:val="20"/>
          <w:lang w:val="pt-PT"/>
        </w:rPr>
        <w:t>atual</w:t>
      </w:r>
      <w:proofErr w:type="spellEnd"/>
      <w:r w:rsidRPr="00871C6F">
        <w:rPr>
          <w:rFonts w:ascii="Garamond" w:hAnsi="Garamond"/>
          <w:b/>
          <w:bCs/>
          <w:color w:val="auto"/>
          <w:sz w:val="20"/>
          <w:szCs w:val="20"/>
          <w:lang w:val="pt-PT"/>
        </w:rPr>
        <w:t xml:space="preserve"> ou anterior) nos últimos 12 meses, por tipo de violência (%)</w:t>
      </w:r>
      <w:bookmarkEnd w:id="42"/>
    </w:p>
    <w:p w14:paraId="64821C23" w14:textId="77777777" w:rsidR="00541FA6" w:rsidRPr="00FD4284" w:rsidRDefault="00541FA6" w:rsidP="00541FA6">
      <w:pPr>
        <w:jc w:val="center"/>
      </w:pPr>
      <w:r>
        <w:rPr>
          <w:noProof/>
        </w:rPr>
        <w:drawing>
          <wp:inline distT="0" distB="0" distL="0" distR="0" wp14:anchorId="03D93B9D" wp14:editId="08F2059C">
            <wp:extent cx="5146040" cy="1867436"/>
            <wp:effectExtent l="0" t="0" r="0" b="0"/>
            <wp:docPr id="44" name="Gráfico 44">
              <a:extLst xmlns:a="http://schemas.openxmlformats.org/drawingml/2006/main">
                <a:ext uri="{FF2B5EF4-FFF2-40B4-BE49-F238E27FC236}">
                  <a16:creationId xmlns:a16="http://schemas.microsoft.com/office/drawing/2014/main" id="{BB4A3DB8-568F-4A0D-AB21-44C6C8306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7E599C" w14:textId="77777777" w:rsidR="00541FA6" w:rsidRPr="00871C6F" w:rsidRDefault="00541FA6" w:rsidP="00541FA6">
      <w:pPr>
        <w:spacing w:after="240"/>
        <w:jc w:val="center"/>
        <w:rPr>
          <w:rFonts w:ascii="Garamond" w:hAnsi="Garamond"/>
          <w:b/>
          <w:bCs/>
          <w:sz w:val="20"/>
          <w:szCs w:val="20"/>
          <w:lang w:val="pt-PT"/>
        </w:rPr>
      </w:pPr>
      <w:r w:rsidRPr="00871C6F">
        <w:rPr>
          <w:rFonts w:ascii="Garamond" w:hAnsi="Garamond"/>
          <w:b/>
          <w:bCs/>
          <w:sz w:val="20"/>
          <w:szCs w:val="20"/>
          <w:lang w:val="pt-PT"/>
        </w:rPr>
        <w:t xml:space="preserve">Fonte: elaboração própria com base nos dados do </w:t>
      </w:r>
      <w:proofErr w:type="spellStart"/>
      <w:r w:rsidRPr="00871C6F">
        <w:rPr>
          <w:rFonts w:ascii="Garamond" w:hAnsi="Garamond"/>
          <w:b/>
          <w:bCs/>
          <w:sz w:val="20"/>
          <w:szCs w:val="20"/>
          <w:lang w:val="pt-PT"/>
        </w:rPr>
        <w:t>IDSR</w:t>
      </w:r>
      <w:proofErr w:type="spellEnd"/>
      <w:r w:rsidRPr="00871C6F">
        <w:rPr>
          <w:rFonts w:ascii="Garamond" w:hAnsi="Garamond"/>
          <w:b/>
          <w:bCs/>
          <w:sz w:val="20"/>
          <w:szCs w:val="20"/>
          <w:lang w:val="pt-PT"/>
        </w:rPr>
        <w:t xml:space="preserve"> III (2018) </w:t>
      </w:r>
    </w:p>
    <w:p w14:paraId="00409FED" w14:textId="77777777" w:rsidR="00541FA6" w:rsidRPr="00871C6F" w:rsidRDefault="00541FA6" w:rsidP="00541FA6">
      <w:pPr>
        <w:jc w:val="both"/>
        <w:rPr>
          <w:rFonts w:ascii="Garamond" w:hAnsi="Garamond"/>
          <w:lang w:val="pt-PT"/>
        </w:rPr>
      </w:pPr>
      <w:r w:rsidRPr="00871C6F">
        <w:rPr>
          <w:rFonts w:ascii="Garamond" w:hAnsi="Garamond"/>
          <w:lang w:val="pt-PT"/>
        </w:rPr>
        <w:t xml:space="preserve">A violência tem assim custos importantes, até agora não calculados, para a sociedade: seja </w:t>
      </w:r>
      <w:proofErr w:type="spellStart"/>
      <w:r w:rsidRPr="00871C6F">
        <w:rPr>
          <w:rFonts w:ascii="Garamond" w:hAnsi="Garamond"/>
          <w:lang w:val="pt-PT"/>
        </w:rPr>
        <w:t>diretamente</w:t>
      </w:r>
      <w:proofErr w:type="spellEnd"/>
      <w:r w:rsidRPr="00871C6F">
        <w:rPr>
          <w:rFonts w:ascii="Garamond" w:hAnsi="Garamond"/>
          <w:lang w:val="pt-PT"/>
        </w:rPr>
        <w:t xml:space="preserve"> em termos de sequelas físicas, psicológicas e económicas para as meninas, mulheres e famílias, seja em termos de perda de produtividade numa </w:t>
      </w:r>
      <w:proofErr w:type="spellStart"/>
      <w:r w:rsidRPr="00871C6F">
        <w:rPr>
          <w:rFonts w:ascii="Garamond" w:hAnsi="Garamond"/>
          <w:lang w:val="pt-PT"/>
        </w:rPr>
        <w:t>perspetiva</w:t>
      </w:r>
      <w:proofErr w:type="spellEnd"/>
      <w:r w:rsidRPr="00871C6F">
        <w:rPr>
          <w:rFonts w:ascii="Garamond" w:hAnsi="Garamond"/>
          <w:lang w:val="pt-PT"/>
        </w:rPr>
        <w:t xml:space="preserve"> económica, seja a nível dos custos com serviços de saúde, com respostas da polícia (a quem recorrem 50% das mulheres que procuram ajuda perante situações de violência), do sistema judicial, serviços sociais, etc.</w:t>
      </w:r>
    </w:p>
    <w:p w14:paraId="4A43EA17" w14:textId="77777777" w:rsidR="00541FA6" w:rsidRPr="00871C6F" w:rsidRDefault="00541FA6" w:rsidP="002A62A2">
      <w:pPr>
        <w:pStyle w:val="PargrafodaLista"/>
        <w:numPr>
          <w:ilvl w:val="0"/>
          <w:numId w:val="77"/>
        </w:numPr>
        <w:spacing w:after="120"/>
        <w:ind w:left="709" w:hanging="357"/>
        <w:contextualSpacing w:val="0"/>
        <w:jc w:val="both"/>
        <w:rPr>
          <w:rFonts w:ascii="Garamond" w:hAnsi="Garamond"/>
          <w:lang w:val="pt-PT"/>
        </w:rPr>
      </w:pPr>
      <w:r w:rsidRPr="00871C6F">
        <w:rPr>
          <w:rFonts w:ascii="Garamond" w:hAnsi="Garamond"/>
          <w:lang w:val="pt-PT"/>
        </w:rPr>
        <w:t xml:space="preserve">É importante conhecer e dar visibilidade a estes custos, através de um estudo que tenha em conta os diversos níveis de impacto da violência, para uma melhor tomada de decisão sobre os investimentos que devem ser feitos em termos de prevenção e serviços de apoio.  </w:t>
      </w:r>
    </w:p>
    <w:p w14:paraId="2A784787" w14:textId="77777777" w:rsidR="00541FA6" w:rsidRPr="00871C6F" w:rsidRDefault="00541FA6" w:rsidP="00541FA6">
      <w:pPr>
        <w:jc w:val="both"/>
        <w:rPr>
          <w:rFonts w:ascii="Garamond" w:hAnsi="Garamond"/>
          <w:lang w:val="pt-PT"/>
        </w:rPr>
      </w:pPr>
      <w:r w:rsidRPr="00871C6F">
        <w:rPr>
          <w:rFonts w:ascii="Garamond" w:hAnsi="Garamond"/>
          <w:lang w:val="pt-PT"/>
        </w:rPr>
        <w:t>Em 2018 verifica-se, como em 2005, uma forte correlação entre o consumo de álcool por parte do marido/companheiro e a violência nas relações conjugais:</w:t>
      </w:r>
    </w:p>
    <w:p w14:paraId="635CDFBB" w14:textId="77777777" w:rsidR="00541FA6" w:rsidRPr="00871C6F" w:rsidRDefault="00541FA6" w:rsidP="002A62A2">
      <w:pPr>
        <w:pStyle w:val="PargrafodaLista"/>
        <w:numPr>
          <w:ilvl w:val="0"/>
          <w:numId w:val="76"/>
        </w:numPr>
        <w:spacing w:after="240" w:line="259" w:lineRule="auto"/>
        <w:jc w:val="both"/>
        <w:rPr>
          <w:rFonts w:ascii="Garamond" w:hAnsi="Garamond"/>
          <w:lang w:val="pt-PT"/>
        </w:rPr>
      </w:pPr>
      <w:r w:rsidRPr="00871C6F">
        <w:rPr>
          <w:rFonts w:ascii="Garamond" w:hAnsi="Garamond"/>
          <w:lang w:val="pt-PT"/>
        </w:rPr>
        <w:t xml:space="preserve">Se 2 em cada 10 mulheres (20,4%) sofrem algum tipo de violência (física, sexual ou emocional) por parte do marido/companheiro (ou </w:t>
      </w:r>
      <w:proofErr w:type="spellStart"/>
      <w:r w:rsidRPr="00871C6F">
        <w:rPr>
          <w:rFonts w:ascii="Garamond" w:hAnsi="Garamond"/>
          <w:lang w:val="pt-PT"/>
        </w:rPr>
        <w:t>ex</w:t>
      </w:r>
      <w:proofErr w:type="spellEnd"/>
      <w:r w:rsidRPr="00871C6F">
        <w:rPr>
          <w:rFonts w:ascii="Garamond" w:hAnsi="Garamond"/>
          <w:lang w:val="pt-PT"/>
        </w:rPr>
        <w:t xml:space="preserve">), isso acontece com mais de 6 em cada 10 mulheres cujo cônjuge está frequentemente bêbado (65%); ou seja, estas últimas têm 4,5 e 6 vezes mais probabilidade de estar numa situação de </w:t>
      </w:r>
      <w:proofErr w:type="spellStart"/>
      <w:r w:rsidRPr="00871C6F">
        <w:rPr>
          <w:rFonts w:ascii="Garamond" w:hAnsi="Garamond"/>
          <w:lang w:val="pt-PT"/>
        </w:rPr>
        <w:t>VBG</w:t>
      </w:r>
      <w:proofErr w:type="spellEnd"/>
      <w:r w:rsidRPr="00871C6F">
        <w:rPr>
          <w:rFonts w:ascii="Garamond" w:hAnsi="Garamond"/>
          <w:lang w:val="pt-PT"/>
        </w:rPr>
        <w:t xml:space="preserve"> conjugal ao longo da sua vida do que as mulheres cujos cônjuges não bebem, ou bebem mas nunca estão bêbados (14,5% e 10,6% </w:t>
      </w:r>
      <w:proofErr w:type="spellStart"/>
      <w:r w:rsidRPr="00871C6F">
        <w:rPr>
          <w:rFonts w:ascii="Garamond" w:hAnsi="Garamond"/>
          <w:lang w:val="pt-PT"/>
        </w:rPr>
        <w:t>respetivamente</w:t>
      </w:r>
      <w:proofErr w:type="spellEnd"/>
      <w:r w:rsidRPr="00871C6F">
        <w:rPr>
          <w:rFonts w:ascii="Garamond" w:hAnsi="Garamond"/>
          <w:lang w:val="pt-PT"/>
        </w:rPr>
        <w:t xml:space="preserve">) </w:t>
      </w:r>
    </w:p>
    <w:p w14:paraId="7CFFF307" w14:textId="77777777" w:rsidR="00541FA6" w:rsidRDefault="00541FA6" w:rsidP="002A62A2">
      <w:pPr>
        <w:pStyle w:val="PargrafodaLista"/>
        <w:numPr>
          <w:ilvl w:val="0"/>
          <w:numId w:val="76"/>
        </w:numPr>
        <w:spacing w:after="240" w:line="259" w:lineRule="auto"/>
        <w:ind w:left="357" w:hanging="357"/>
        <w:jc w:val="both"/>
        <w:rPr>
          <w:rFonts w:ascii="Garamond" w:hAnsi="Garamond"/>
          <w:lang w:val="pt-PT"/>
        </w:rPr>
      </w:pPr>
      <w:r w:rsidRPr="00C83626">
        <w:rPr>
          <w:rFonts w:ascii="Garamond" w:hAnsi="Garamond"/>
          <w:lang w:val="pt-PT"/>
        </w:rPr>
        <w:t xml:space="preserve">O gráfico que se segue ilustra </w:t>
      </w:r>
      <w:r>
        <w:rPr>
          <w:rFonts w:ascii="Garamond" w:hAnsi="Garamond"/>
          <w:lang w:val="pt-PT"/>
        </w:rPr>
        <w:t>esta</w:t>
      </w:r>
      <w:r w:rsidRPr="00C83626">
        <w:rPr>
          <w:rFonts w:ascii="Garamond" w:hAnsi="Garamond"/>
          <w:lang w:val="pt-PT"/>
        </w:rPr>
        <w:t xml:space="preserve"> forte correlação </w:t>
      </w:r>
      <w:r>
        <w:rPr>
          <w:rFonts w:ascii="Garamond" w:hAnsi="Garamond"/>
          <w:lang w:val="pt-PT"/>
        </w:rPr>
        <w:t>para</w:t>
      </w:r>
      <w:r w:rsidRPr="00C83626">
        <w:rPr>
          <w:rFonts w:ascii="Garamond" w:hAnsi="Garamond"/>
          <w:lang w:val="pt-PT"/>
        </w:rPr>
        <w:t xml:space="preserve"> todos os tipos de violência</w:t>
      </w:r>
      <w:r>
        <w:rPr>
          <w:rFonts w:ascii="Garamond" w:hAnsi="Garamond"/>
          <w:lang w:val="pt-PT"/>
        </w:rPr>
        <w:t>.</w:t>
      </w:r>
    </w:p>
    <w:p w14:paraId="021B5B8B" w14:textId="46D1E6CD" w:rsidR="00541FA6" w:rsidRPr="00871C6F" w:rsidRDefault="00541FA6" w:rsidP="00541FA6">
      <w:pPr>
        <w:pStyle w:val="Legenda"/>
        <w:spacing w:after="0"/>
        <w:jc w:val="center"/>
        <w:rPr>
          <w:rFonts w:ascii="Garamond" w:hAnsi="Garamond"/>
          <w:b/>
          <w:bCs/>
          <w:color w:val="auto"/>
          <w:sz w:val="20"/>
          <w:szCs w:val="20"/>
          <w:lang w:val="pt-PT"/>
        </w:rPr>
      </w:pPr>
      <w:bookmarkStart w:id="43" w:name="_Toc32856864"/>
      <w:r w:rsidRPr="00871C6F">
        <w:rPr>
          <w:rFonts w:ascii="Garamond" w:hAnsi="Garamond"/>
          <w:b/>
          <w:bCs/>
          <w:color w:val="auto"/>
          <w:sz w:val="20"/>
          <w:szCs w:val="20"/>
          <w:lang w:val="pt-PT"/>
        </w:rPr>
        <w:t xml:space="preserve">Gráfico </w:t>
      </w:r>
      <w:r w:rsidRPr="00877871">
        <w:rPr>
          <w:rFonts w:ascii="Garamond" w:hAnsi="Garamond"/>
          <w:b/>
          <w:bCs/>
          <w:color w:val="auto"/>
          <w:sz w:val="20"/>
          <w:szCs w:val="20"/>
        </w:rPr>
        <w:fldChar w:fldCharType="begin"/>
      </w:r>
      <w:r w:rsidRPr="00871C6F">
        <w:rPr>
          <w:rFonts w:ascii="Garamond" w:hAnsi="Garamond"/>
          <w:b/>
          <w:bCs/>
          <w:color w:val="auto"/>
          <w:sz w:val="20"/>
          <w:szCs w:val="20"/>
          <w:lang w:val="pt-PT"/>
        </w:rPr>
        <w:instrText xml:space="preserve"> SEQ Grafico \* ARABIC </w:instrText>
      </w:r>
      <w:r w:rsidRPr="00877871">
        <w:rPr>
          <w:rFonts w:ascii="Garamond" w:hAnsi="Garamond"/>
          <w:b/>
          <w:bCs/>
          <w:color w:val="auto"/>
          <w:sz w:val="20"/>
          <w:szCs w:val="20"/>
        </w:rPr>
        <w:fldChar w:fldCharType="separate"/>
      </w:r>
      <w:r w:rsidR="009F122A">
        <w:rPr>
          <w:rFonts w:ascii="Garamond" w:hAnsi="Garamond"/>
          <w:b/>
          <w:bCs/>
          <w:noProof/>
          <w:color w:val="auto"/>
          <w:sz w:val="20"/>
          <w:szCs w:val="20"/>
          <w:lang w:val="pt-PT"/>
        </w:rPr>
        <w:t>10</w:t>
      </w:r>
      <w:r w:rsidRPr="00877871">
        <w:rPr>
          <w:rFonts w:ascii="Garamond" w:hAnsi="Garamond"/>
          <w:b/>
          <w:bCs/>
          <w:color w:val="auto"/>
          <w:sz w:val="20"/>
          <w:szCs w:val="20"/>
        </w:rPr>
        <w:fldChar w:fldCharType="end"/>
      </w:r>
      <w:r w:rsidRPr="00871C6F">
        <w:rPr>
          <w:rFonts w:ascii="Garamond" w:hAnsi="Garamond"/>
          <w:b/>
          <w:bCs/>
          <w:color w:val="auto"/>
          <w:sz w:val="20"/>
          <w:szCs w:val="20"/>
          <w:lang w:val="pt-PT"/>
        </w:rPr>
        <w:t xml:space="preserve"> – Prevalência da violência conjugal (exercida contra a mulher </w:t>
      </w:r>
      <w:proofErr w:type="spellStart"/>
      <w:r w:rsidRPr="00871C6F">
        <w:rPr>
          <w:rFonts w:ascii="Garamond" w:hAnsi="Garamond"/>
          <w:b/>
          <w:bCs/>
          <w:color w:val="auto"/>
          <w:sz w:val="20"/>
          <w:szCs w:val="20"/>
          <w:lang w:val="pt-PT"/>
        </w:rPr>
        <w:t>pelo</w:t>
      </w:r>
      <w:proofErr w:type="spellEnd"/>
      <w:r w:rsidRPr="00871C6F">
        <w:rPr>
          <w:rFonts w:ascii="Garamond" w:hAnsi="Garamond"/>
          <w:b/>
          <w:bCs/>
          <w:color w:val="auto"/>
          <w:sz w:val="20"/>
          <w:szCs w:val="20"/>
          <w:lang w:val="pt-PT"/>
        </w:rPr>
        <w:t xml:space="preserve"> marido/companheiro </w:t>
      </w:r>
      <w:proofErr w:type="spellStart"/>
      <w:r w:rsidRPr="00871C6F">
        <w:rPr>
          <w:rFonts w:ascii="Garamond" w:hAnsi="Garamond"/>
          <w:b/>
          <w:bCs/>
          <w:color w:val="auto"/>
          <w:sz w:val="20"/>
          <w:szCs w:val="20"/>
          <w:lang w:val="pt-PT"/>
        </w:rPr>
        <w:t>atual</w:t>
      </w:r>
      <w:proofErr w:type="spellEnd"/>
      <w:r w:rsidRPr="00871C6F">
        <w:rPr>
          <w:rFonts w:ascii="Garamond" w:hAnsi="Garamond"/>
          <w:b/>
          <w:bCs/>
          <w:color w:val="auto"/>
          <w:sz w:val="20"/>
          <w:szCs w:val="20"/>
          <w:lang w:val="pt-PT"/>
        </w:rPr>
        <w:t xml:space="preserve"> ou anterior) (qualquer momento), por consumo de álcool e por tipo de violência (%)</w:t>
      </w:r>
      <w:bookmarkEnd w:id="43"/>
    </w:p>
    <w:p w14:paraId="6E938AAE" w14:textId="77777777" w:rsidR="00541FA6" w:rsidRPr="002A402F" w:rsidRDefault="00541FA6" w:rsidP="00541FA6">
      <w:pPr>
        <w:rPr>
          <w:lang w:val="pt-PT"/>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20"/>
        <w:gridCol w:w="4473"/>
      </w:tblGrid>
      <w:tr w:rsidR="00541FA6" w14:paraId="4ECEAD60" w14:textId="77777777" w:rsidTr="00541FA6">
        <w:tc>
          <w:tcPr>
            <w:tcW w:w="4123" w:type="dxa"/>
          </w:tcPr>
          <w:p w14:paraId="2D3C3558" w14:textId="77777777" w:rsidR="00541FA6" w:rsidRDefault="00541FA6" w:rsidP="00541FA6">
            <w:pPr>
              <w:jc w:val="both"/>
              <w:rPr>
                <w:rFonts w:ascii="Garamond" w:hAnsi="Garamond"/>
              </w:rPr>
            </w:pPr>
            <w:r>
              <w:rPr>
                <w:noProof/>
              </w:rPr>
              <w:drawing>
                <wp:inline distT="0" distB="0" distL="0" distR="0" wp14:anchorId="41B66744" wp14:editId="0DA4606A">
                  <wp:extent cx="2588653" cy="1468191"/>
                  <wp:effectExtent l="0" t="0" r="2540" b="0"/>
                  <wp:docPr id="45" name="Gráfico 45">
                    <a:extLst xmlns:a="http://schemas.openxmlformats.org/drawingml/2006/main">
                      <a:ext uri="{FF2B5EF4-FFF2-40B4-BE49-F238E27FC236}">
                        <a16:creationId xmlns:a16="http://schemas.microsoft.com/office/drawing/2014/main" id="{9D0629BB-3006-480A-9839-165D6F900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371" w:type="dxa"/>
          </w:tcPr>
          <w:p w14:paraId="79D72C62" w14:textId="77777777" w:rsidR="00541FA6" w:rsidRDefault="00541FA6" w:rsidP="00541FA6">
            <w:pPr>
              <w:jc w:val="both"/>
              <w:rPr>
                <w:rFonts w:ascii="Garamond" w:hAnsi="Garamond"/>
              </w:rPr>
            </w:pPr>
            <w:r>
              <w:rPr>
                <w:noProof/>
              </w:rPr>
              <w:drawing>
                <wp:inline distT="0" distB="0" distL="0" distR="0" wp14:anchorId="76138BA3" wp14:editId="66E0D0D7">
                  <wp:extent cx="2751688" cy="1446530"/>
                  <wp:effectExtent l="0" t="0" r="0" b="1270"/>
                  <wp:docPr id="46" name="Gráfico 46">
                    <a:extLst xmlns:a="http://schemas.openxmlformats.org/drawingml/2006/main">
                      <a:ext uri="{FF2B5EF4-FFF2-40B4-BE49-F238E27FC236}">
                        <a16:creationId xmlns:a16="http://schemas.microsoft.com/office/drawing/2014/main" id="{CC6D4F03-6895-4BCA-B532-EB3D2E27C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541FA6" w14:paraId="5E7C1AE1" w14:textId="77777777" w:rsidTr="00541FA6">
        <w:tc>
          <w:tcPr>
            <w:tcW w:w="4123" w:type="dxa"/>
          </w:tcPr>
          <w:p w14:paraId="69DE2CCA" w14:textId="77777777" w:rsidR="00541FA6" w:rsidRDefault="00541FA6" w:rsidP="00541FA6">
            <w:pPr>
              <w:jc w:val="both"/>
              <w:rPr>
                <w:rFonts w:ascii="Garamond" w:hAnsi="Garamond"/>
              </w:rPr>
            </w:pPr>
            <w:r>
              <w:rPr>
                <w:noProof/>
              </w:rPr>
              <w:drawing>
                <wp:inline distT="0" distB="0" distL="0" distR="0" wp14:anchorId="59B8C635" wp14:editId="2098D3FF">
                  <wp:extent cx="2562860" cy="1557430"/>
                  <wp:effectExtent l="0" t="0" r="8890" b="5080"/>
                  <wp:docPr id="47" name="Gráfico 47">
                    <a:extLst xmlns:a="http://schemas.openxmlformats.org/drawingml/2006/main">
                      <a:ext uri="{FF2B5EF4-FFF2-40B4-BE49-F238E27FC236}">
                        <a16:creationId xmlns:a16="http://schemas.microsoft.com/office/drawing/2014/main" id="{6E0B8157-E1FD-436C-84B4-76EC67450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371" w:type="dxa"/>
          </w:tcPr>
          <w:p w14:paraId="0B693753" w14:textId="77777777" w:rsidR="00541FA6" w:rsidRDefault="00541FA6" w:rsidP="00541FA6">
            <w:pPr>
              <w:jc w:val="both"/>
              <w:rPr>
                <w:rFonts w:ascii="Garamond" w:hAnsi="Garamond"/>
              </w:rPr>
            </w:pPr>
            <w:r>
              <w:rPr>
                <w:noProof/>
              </w:rPr>
              <w:drawing>
                <wp:inline distT="0" distB="0" distL="0" distR="0" wp14:anchorId="220990F7" wp14:editId="640B1777">
                  <wp:extent cx="2656840" cy="1557020"/>
                  <wp:effectExtent l="0" t="0" r="0" b="5080"/>
                  <wp:docPr id="48" name="Gráfico 48">
                    <a:extLst xmlns:a="http://schemas.openxmlformats.org/drawingml/2006/main">
                      <a:ext uri="{FF2B5EF4-FFF2-40B4-BE49-F238E27FC236}">
                        <a16:creationId xmlns:a16="http://schemas.microsoft.com/office/drawing/2014/main" id="{FDD5C719-CABD-4BA1-9362-06200346C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5A201EA0" w14:textId="77777777" w:rsidR="00541FA6" w:rsidRPr="00871C6F" w:rsidRDefault="00541FA6" w:rsidP="00541FA6">
      <w:pPr>
        <w:spacing w:after="240"/>
        <w:jc w:val="center"/>
        <w:rPr>
          <w:rFonts w:ascii="Garamond" w:hAnsi="Garamond"/>
          <w:b/>
          <w:bCs/>
          <w:sz w:val="20"/>
          <w:szCs w:val="20"/>
          <w:lang w:val="pt-PT"/>
        </w:rPr>
      </w:pPr>
      <w:r w:rsidRPr="00871C6F">
        <w:rPr>
          <w:rFonts w:ascii="Garamond" w:hAnsi="Garamond"/>
          <w:b/>
          <w:bCs/>
          <w:sz w:val="20"/>
          <w:szCs w:val="20"/>
          <w:lang w:val="pt-PT"/>
        </w:rPr>
        <w:t xml:space="preserve">Fonte: elaboração própria com base nos dados do </w:t>
      </w:r>
      <w:proofErr w:type="spellStart"/>
      <w:r w:rsidRPr="00871C6F">
        <w:rPr>
          <w:rFonts w:ascii="Garamond" w:hAnsi="Garamond"/>
          <w:b/>
          <w:bCs/>
          <w:sz w:val="20"/>
          <w:szCs w:val="20"/>
          <w:lang w:val="pt-PT"/>
        </w:rPr>
        <w:t>IDSR</w:t>
      </w:r>
      <w:proofErr w:type="spellEnd"/>
      <w:r w:rsidRPr="00871C6F">
        <w:rPr>
          <w:rFonts w:ascii="Garamond" w:hAnsi="Garamond"/>
          <w:b/>
          <w:bCs/>
          <w:sz w:val="20"/>
          <w:szCs w:val="20"/>
          <w:lang w:val="pt-PT"/>
        </w:rPr>
        <w:t xml:space="preserve"> III (2018) </w:t>
      </w:r>
    </w:p>
    <w:p w14:paraId="1D43C7C1" w14:textId="77777777" w:rsidR="00541FA6" w:rsidRPr="00BE46E6" w:rsidRDefault="00541FA6" w:rsidP="00541FA6">
      <w:pPr>
        <w:jc w:val="both"/>
        <w:rPr>
          <w:rFonts w:ascii="Garamond" w:hAnsi="Garamond"/>
          <w:lang w:val="pt-PT"/>
        </w:rPr>
      </w:pPr>
      <w:r>
        <w:rPr>
          <w:rFonts w:ascii="Garamond" w:hAnsi="Garamond"/>
          <w:lang w:val="pt-PT"/>
        </w:rPr>
        <w:t xml:space="preserve">O </w:t>
      </w:r>
      <w:r w:rsidRPr="00BE46E6">
        <w:rPr>
          <w:rFonts w:ascii="Garamond" w:hAnsi="Garamond"/>
          <w:i/>
          <w:iCs/>
          <w:lang w:val="pt-PT"/>
        </w:rPr>
        <w:t xml:space="preserve">Plano Estratégico </w:t>
      </w:r>
      <w:proofErr w:type="spellStart"/>
      <w:r w:rsidRPr="00BE46E6">
        <w:rPr>
          <w:rFonts w:ascii="Garamond" w:hAnsi="Garamond"/>
          <w:i/>
          <w:iCs/>
          <w:lang w:val="pt-PT"/>
        </w:rPr>
        <w:t>Multisetorial</w:t>
      </w:r>
      <w:proofErr w:type="spellEnd"/>
      <w:r w:rsidRPr="00BE46E6">
        <w:rPr>
          <w:rFonts w:ascii="Garamond" w:hAnsi="Garamond"/>
          <w:i/>
          <w:iCs/>
          <w:lang w:val="pt-PT"/>
        </w:rPr>
        <w:t xml:space="preserve"> de Combate aos Problemas Ligados ao Álcool</w:t>
      </w:r>
      <w:r w:rsidRPr="00BE46E6">
        <w:rPr>
          <w:rFonts w:ascii="Garamond" w:hAnsi="Garamond"/>
          <w:lang w:val="pt-PT"/>
        </w:rPr>
        <w:t xml:space="preserve"> (2016-2020) reconhece a forte associação entre álcool e violência doméstica e a Comissão de Coordenação ao Álcool e de outras Drogas (</w:t>
      </w:r>
      <w:proofErr w:type="spellStart"/>
      <w:r w:rsidRPr="00BE46E6">
        <w:rPr>
          <w:rFonts w:ascii="Garamond" w:hAnsi="Garamond"/>
          <w:lang w:val="pt-PT"/>
        </w:rPr>
        <w:t>CCAD</w:t>
      </w:r>
      <w:proofErr w:type="spellEnd"/>
      <w:r w:rsidRPr="00BE46E6">
        <w:rPr>
          <w:rFonts w:ascii="Garamond" w:hAnsi="Garamond"/>
          <w:lang w:val="pt-PT"/>
        </w:rPr>
        <w:t xml:space="preserve">), criada em 2017, que funciona sob a superintendência do Ministério da Saúde, reconhece o uso de bebidas alcoólicas como um dos principais problemas de saúde pública do país. </w:t>
      </w:r>
      <w:r>
        <w:rPr>
          <w:rFonts w:ascii="Garamond" w:hAnsi="Garamond"/>
          <w:lang w:val="pt-PT"/>
        </w:rPr>
        <w:t>V</w:t>
      </w:r>
      <w:r w:rsidRPr="00BE46E6">
        <w:rPr>
          <w:rFonts w:ascii="Garamond" w:hAnsi="Garamond"/>
          <w:lang w:val="pt-PT"/>
        </w:rPr>
        <w:t>islumbram-se também associações</w:t>
      </w:r>
      <w:r>
        <w:rPr>
          <w:rFonts w:ascii="Garamond" w:hAnsi="Garamond"/>
          <w:lang w:val="pt-PT"/>
        </w:rPr>
        <w:t xml:space="preserve"> entre álcool, </w:t>
      </w:r>
      <w:r w:rsidRPr="00BE46E6">
        <w:rPr>
          <w:rFonts w:ascii="Garamond" w:hAnsi="Garamond"/>
          <w:lang w:val="pt-PT"/>
        </w:rPr>
        <w:t>questões de saúde mental</w:t>
      </w:r>
      <w:r>
        <w:rPr>
          <w:rFonts w:ascii="Garamond" w:hAnsi="Garamond"/>
          <w:lang w:val="pt-PT"/>
        </w:rPr>
        <w:t xml:space="preserve"> e </w:t>
      </w:r>
      <w:proofErr w:type="spellStart"/>
      <w:r>
        <w:rPr>
          <w:rFonts w:ascii="Garamond" w:hAnsi="Garamond"/>
          <w:lang w:val="pt-PT"/>
        </w:rPr>
        <w:t>VBG</w:t>
      </w:r>
      <w:proofErr w:type="spellEnd"/>
      <w:r w:rsidRPr="00BE46E6">
        <w:rPr>
          <w:rFonts w:ascii="Garamond" w:hAnsi="Garamond"/>
          <w:lang w:val="pt-PT"/>
        </w:rPr>
        <w:t xml:space="preserve">, entre as quais o suicídio dos </w:t>
      </w:r>
      <w:r>
        <w:rPr>
          <w:rFonts w:ascii="Garamond" w:hAnsi="Garamond"/>
          <w:lang w:val="pt-PT"/>
        </w:rPr>
        <w:t>perpetradores</w:t>
      </w:r>
      <w:r w:rsidRPr="00BE46E6">
        <w:rPr>
          <w:rFonts w:ascii="Garamond" w:hAnsi="Garamond"/>
          <w:lang w:val="pt-PT"/>
        </w:rPr>
        <w:t xml:space="preserve"> d</w:t>
      </w:r>
      <w:r>
        <w:rPr>
          <w:rFonts w:ascii="Garamond" w:hAnsi="Garamond"/>
          <w:lang w:val="pt-PT"/>
        </w:rPr>
        <w:t>a</w:t>
      </w:r>
      <w:r w:rsidRPr="00BE46E6">
        <w:rPr>
          <w:rFonts w:ascii="Garamond" w:hAnsi="Garamond"/>
          <w:lang w:val="pt-PT"/>
        </w:rPr>
        <w:t xml:space="preserve"> violência.</w:t>
      </w:r>
      <w:r w:rsidRPr="00705EA1">
        <w:rPr>
          <w:rStyle w:val="Refdenotaderodap"/>
          <w:rFonts w:ascii="Garamond" w:hAnsi="Garamond"/>
        </w:rPr>
        <w:footnoteReference w:id="45"/>
      </w:r>
      <w:r w:rsidRPr="00BE46E6">
        <w:rPr>
          <w:rFonts w:ascii="Garamond" w:hAnsi="Garamond"/>
          <w:lang w:val="pt-PT"/>
        </w:rPr>
        <w:t xml:space="preserve"> </w:t>
      </w:r>
    </w:p>
    <w:p w14:paraId="4C52F29B" w14:textId="77777777" w:rsidR="00541FA6" w:rsidRPr="001C50C8" w:rsidRDefault="00541FA6" w:rsidP="002A62A2">
      <w:pPr>
        <w:pStyle w:val="PargrafodaLista"/>
        <w:numPr>
          <w:ilvl w:val="0"/>
          <w:numId w:val="70"/>
        </w:numPr>
        <w:jc w:val="both"/>
        <w:rPr>
          <w:rFonts w:ascii="Garamond" w:hAnsi="Garamond"/>
          <w:lang w:val="pt-PT"/>
        </w:rPr>
      </w:pPr>
      <w:r>
        <w:rPr>
          <w:rFonts w:ascii="Garamond" w:hAnsi="Garamond"/>
          <w:lang w:val="pt-PT"/>
        </w:rPr>
        <w:t>Tendo em conta a forte</w:t>
      </w:r>
      <w:r w:rsidRPr="001C50C8">
        <w:rPr>
          <w:rFonts w:ascii="Garamond" w:hAnsi="Garamond"/>
          <w:lang w:val="pt-PT"/>
        </w:rPr>
        <w:t xml:space="preserve"> ligação entre uso do álcool e </w:t>
      </w:r>
      <w:proofErr w:type="spellStart"/>
      <w:r w:rsidRPr="001C50C8">
        <w:rPr>
          <w:rFonts w:ascii="Garamond" w:hAnsi="Garamond"/>
          <w:lang w:val="pt-PT"/>
        </w:rPr>
        <w:t>VBG</w:t>
      </w:r>
      <w:proofErr w:type="spellEnd"/>
      <w:r w:rsidRPr="001C50C8">
        <w:rPr>
          <w:rFonts w:ascii="Garamond" w:hAnsi="Garamond"/>
          <w:lang w:val="pt-PT"/>
        </w:rPr>
        <w:t xml:space="preserve"> e será importante integrar a abordagem de género no trabalho da </w:t>
      </w:r>
      <w:proofErr w:type="spellStart"/>
      <w:r w:rsidRPr="001C50C8">
        <w:rPr>
          <w:rFonts w:ascii="Garamond" w:hAnsi="Garamond"/>
          <w:lang w:val="pt-PT"/>
        </w:rPr>
        <w:t>CCAD</w:t>
      </w:r>
      <w:proofErr w:type="spellEnd"/>
      <w:r w:rsidRPr="001C50C8">
        <w:rPr>
          <w:rFonts w:ascii="Garamond" w:hAnsi="Garamond"/>
          <w:lang w:val="pt-PT"/>
        </w:rPr>
        <w:t xml:space="preserve"> (medida que fará parte do Eixo </w:t>
      </w:r>
      <w:r w:rsidRPr="001C50C8">
        <w:rPr>
          <w:rFonts w:ascii="Garamond" w:hAnsi="Garamond"/>
          <w:highlight w:val="yellow"/>
          <w:lang w:val="pt-PT"/>
        </w:rPr>
        <w:t>4</w:t>
      </w:r>
      <w:r w:rsidRPr="001C50C8">
        <w:rPr>
          <w:rFonts w:ascii="Garamond" w:hAnsi="Garamond"/>
          <w:lang w:val="pt-PT"/>
        </w:rPr>
        <w:t xml:space="preserve">). </w:t>
      </w:r>
    </w:p>
    <w:p w14:paraId="253206B1" w14:textId="77777777" w:rsidR="00541FA6" w:rsidRPr="001C50C8" w:rsidRDefault="00541FA6" w:rsidP="002A62A2">
      <w:pPr>
        <w:pStyle w:val="PargrafodaLista"/>
        <w:numPr>
          <w:ilvl w:val="0"/>
          <w:numId w:val="70"/>
        </w:numPr>
        <w:jc w:val="both"/>
        <w:rPr>
          <w:rFonts w:ascii="Garamond" w:hAnsi="Garamond"/>
          <w:lang w:val="pt-PT"/>
        </w:rPr>
      </w:pPr>
      <w:r w:rsidRPr="001C50C8">
        <w:rPr>
          <w:rFonts w:ascii="Garamond" w:hAnsi="Garamond"/>
          <w:lang w:val="pt-PT"/>
        </w:rPr>
        <w:t xml:space="preserve">O mesmo se aplica à implementação do Plano Estratégico Nacional de Saúde Mental (2020–2024) em curso de finalização (medida que fará parte do Eixo </w:t>
      </w:r>
      <w:r w:rsidRPr="001C50C8">
        <w:rPr>
          <w:rFonts w:ascii="Garamond" w:hAnsi="Garamond"/>
          <w:highlight w:val="yellow"/>
          <w:lang w:val="pt-PT"/>
        </w:rPr>
        <w:t>4</w:t>
      </w:r>
      <w:r w:rsidRPr="001C50C8">
        <w:rPr>
          <w:rFonts w:ascii="Garamond" w:hAnsi="Garamond"/>
          <w:lang w:val="pt-PT"/>
        </w:rPr>
        <w:t>).</w:t>
      </w:r>
    </w:p>
    <w:p w14:paraId="0B377ABD" w14:textId="77777777" w:rsidR="00541FA6" w:rsidRDefault="00541FA6" w:rsidP="002A62A2">
      <w:pPr>
        <w:pStyle w:val="PargrafodaLista"/>
        <w:numPr>
          <w:ilvl w:val="0"/>
          <w:numId w:val="70"/>
        </w:numPr>
        <w:spacing w:after="120"/>
        <w:ind w:left="714" w:hanging="357"/>
        <w:contextualSpacing w:val="0"/>
        <w:jc w:val="both"/>
        <w:rPr>
          <w:rFonts w:ascii="Garamond" w:hAnsi="Garamond"/>
          <w:lang w:val="pt-PT"/>
        </w:rPr>
      </w:pPr>
      <w:r w:rsidRPr="001C50C8">
        <w:rPr>
          <w:rFonts w:ascii="Garamond" w:hAnsi="Garamond"/>
          <w:lang w:val="pt-PT"/>
        </w:rPr>
        <w:t>A nível dos serviços, devem ser estabelecidos critérios e protocolos de encaminhamento e contra referência para serviços de tratamento para alcoolismo/saúde mental</w:t>
      </w:r>
      <w:r w:rsidRPr="00705EA1">
        <w:rPr>
          <w:rFonts w:ascii="Garamond" w:hAnsi="Garamond"/>
          <w:lang w:val="pt-PT"/>
        </w:rPr>
        <w:t xml:space="preserve">, no contexto de casos identificados de </w:t>
      </w:r>
      <w:proofErr w:type="spellStart"/>
      <w:r w:rsidRPr="00705EA1">
        <w:rPr>
          <w:rFonts w:ascii="Garamond" w:hAnsi="Garamond"/>
          <w:lang w:val="pt-PT"/>
        </w:rPr>
        <w:t>VBG</w:t>
      </w:r>
      <w:proofErr w:type="spellEnd"/>
      <w:r w:rsidRPr="00705EA1">
        <w:rPr>
          <w:rFonts w:ascii="Garamond" w:hAnsi="Garamond"/>
          <w:lang w:val="pt-PT"/>
        </w:rPr>
        <w:t xml:space="preserve"> que o necessitam, bem como casos de reabilitação de autores de </w:t>
      </w:r>
      <w:proofErr w:type="spellStart"/>
      <w:r w:rsidRPr="00705EA1">
        <w:rPr>
          <w:rFonts w:ascii="Garamond" w:hAnsi="Garamond"/>
          <w:lang w:val="pt-PT"/>
        </w:rPr>
        <w:t>VBG</w:t>
      </w:r>
      <w:proofErr w:type="spellEnd"/>
      <w:r w:rsidRPr="00705EA1">
        <w:rPr>
          <w:rFonts w:ascii="Garamond" w:hAnsi="Garamond"/>
          <w:lang w:val="pt-PT"/>
        </w:rPr>
        <w:t>.</w:t>
      </w:r>
    </w:p>
    <w:p w14:paraId="6A6C4E3E" w14:textId="77777777" w:rsidR="00541FA6" w:rsidRPr="00334779" w:rsidRDefault="00541FA6" w:rsidP="00541FA6">
      <w:pPr>
        <w:jc w:val="both"/>
        <w:rPr>
          <w:rFonts w:ascii="Garamond" w:hAnsi="Garamond"/>
          <w:lang w:val="pt-PT"/>
        </w:rPr>
      </w:pPr>
      <w:r w:rsidRPr="00334779">
        <w:rPr>
          <w:rFonts w:ascii="Garamond" w:hAnsi="Garamond"/>
          <w:lang w:val="pt-PT"/>
        </w:rPr>
        <w:t xml:space="preserve">Por outro lado, como em 2005, os dados de 2018 apontam para o risco acrescido de violência conjugal no contexto da </w:t>
      </w:r>
      <w:proofErr w:type="spellStart"/>
      <w:r w:rsidRPr="00334779">
        <w:rPr>
          <w:rFonts w:ascii="Garamond" w:hAnsi="Garamond"/>
          <w:lang w:val="pt-PT"/>
        </w:rPr>
        <w:t>rutura</w:t>
      </w:r>
      <w:proofErr w:type="spellEnd"/>
      <w:r w:rsidRPr="00334779">
        <w:rPr>
          <w:rFonts w:ascii="Garamond" w:hAnsi="Garamond"/>
          <w:lang w:val="pt-PT"/>
        </w:rPr>
        <w:t xml:space="preserve"> da relação:</w:t>
      </w:r>
      <w:r>
        <w:rPr>
          <w:rStyle w:val="Refdenotaderodap"/>
          <w:rFonts w:ascii="Garamond" w:hAnsi="Garamond"/>
        </w:rPr>
        <w:footnoteReference w:id="46"/>
      </w:r>
    </w:p>
    <w:p w14:paraId="58029975" w14:textId="77777777" w:rsidR="00541FA6" w:rsidRPr="00334779" w:rsidRDefault="00541FA6" w:rsidP="002A62A2">
      <w:pPr>
        <w:pStyle w:val="PargrafodaLista"/>
        <w:numPr>
          <w:ilvl w:val="0"/>
          <w:numId w:val="87"/>
        </w:numPr>
        <w:spacing w:line="259" w:lineRule="auto"/>
        <w:jc w:val="both"/>
        <w:rPr>
          <w:rFonts w:ascii="Garamond" w:hAnsi="Garamond"/>
          <w:lang w:val="pt-PT"/>
        </w:rPr>
      </w:pPr>
      <w:r w:rsidRPr="00334779">
        <w:rPr>
          <w:rFonts w:ascii="Garamond" w:hAnsi="Garamond"/>
          <w:lang w:val="pt-PT"/>
        </w:rPr>
        <w:t xml:space="preserve">Se menos de 16 em cada 100 mulheres casadas ou unidas são vítimas de algum tipo de violência conjugal (emocional, física ou sexual) (15,7%), isso </w:t>
      </w:r>
      <w:proofErr w:type="spellStart"/>
      <w:r w:rsidRPr="00334779">
        <w:rPr>
          <w:rFonts w:ascii="Garamond" w:hAnsi="Garamond"/>
          <w:lang w:val="pt-PT"/>
        </w:rPr>
        <w:t>afeta</w:t>
      </w:r>
      <w:proofErr w:type="spellEnd"/>
      <w:r w:rsidRPr="00334779">
        <w:rPr>
          <w:rFonts w:ascii="Garamond" w:hAnsi="Garamond"/>
          <w:lang w:val="pt-PT"/>
        </w:rPr>
        <w:t xml:space="preserve"> 36 em cada 100 mulheres em </w:t>
      </w:r>
      <w:proofErr w:type="spellStart"/>
      <w:r w:rsidRPr="00334779">
        <w:rPr>
          <w:rFonts w:ascii="Garamond" w:hAnsi="Garamond"/>
          <w:lang w:val="pt-PT"/>
        </w:rPr>
        <w:t>rutura</w:t>
      </w:r>
      <w:proofErr w:type="spellEnd"/>
      <w:r w:rsidRPr="00334779">
        <w:rPr>
          <w:rFonts w:ascii="Garamond" w:hAnsi="Garamond"/>
          <w:lang w:val="pt-PT"/>
        </w:rPr>
        <w:t xml:space="preserve"> de relação (35,9%).</w:t>
      </w:r>
    </w:p>
    <w:p w14:paraId="76C5FDC9" w14:textId="77777777" w:rsidR="00541FA6" w:rsidRDefault="00541FA6" w:rsidP="002A62A2">
      <w:pPr>
        <w:pStyle w:val="PargrafodaLista"/>
        <w:numPr>
          <w:ilvl w:val="0"/>
          <w:numId w:val="87"/>
        </w:numPr>
        <w:spacing w:after="240" w:line="259" w:lineRule="auto"/>
        <w:ind w:left="357" w:hanging="357"/>
        <w:contextualSpacing w:val="0"/>
        <w:jc w:val="both"/>
        <w:rPr>
          <w:rFonts w:ascii="Garamond" w:hAnsi="Garamond"/>
          <w:lang w:val="pt-PT"/>
        </w:rPr>
      </w:pPr>
      <w:r w:rsidRPr="00334779">
        <w:rPr>
          <w:rFonts w:ascii="Garamond" w:hAnsi="Garamond"/>
          <w:lang w:val="pt-PT"/>
        </w:rPr>
        <w:t>O risco mais que duplica para qualquer tipo de violência.</w:t>
      </w:r>
    </w:p>
    <w:p w14:paraId="24A5F185" w14:textId="3B4A4C6D" w:rsidR="00541FA6" w:rsidRPr="00964BF5" w:rsidRDefault="00541FA6" w:rsidP="00541FA6">
      <w:pPr>
        <w:pStyle w:val="Legenda"/>
        <w:spacing w:after="0"/>
        <w:jc w:val="center"/>
        <w:rPr>
          <w:rFonts w:ascii="Garamond" w:hAnsi="Garamond"/>
          <w:b/>
          <w:bCs/>
          <w:color w:val="auto"/>
          <w:sz w:val="20"/>
          <w:szCs w:val="20"/>
          <w:lang w:val="pt-PT"/>
        </w:rPr>
      </w:pPr>
      <w:bookmarkStart w:id="45" w:name="_Toc32856865"/>
      <w:r w:rsidRPr="00964BF5">
        <w:rPr>
          <w:rFonts w:ascii="Garamond" w:hAnsi="Garamond"/>
          <w:b/>
          <w:bCs/>
          <w:color w:val="auto"/>
          <w:sz w:val="20"/>
          <w:szCs w:val="20"/>
          <w:lang w:val="pt-PT"/>
        </w:rPr>
        <w:t xml:space="preserve">Gráfico </w:t>
      </w:r>
      <w:r w:rsidRPr="00C75F85">
        <w:rPr>
          <w:rFonts w:ascii="Garamond" w:hAnsi="Garamond"/>
          <w:b/>
          <w:bCs/>
          <w:color w:val="auto"/>
          <w:sz w:val="20"/>
          <w:szCs w:val="20"/>
        </w:rPr>
        <w:fldChar w:fldCharType="begin"/>
      </w:r>
      <w:r w:rsidRPr="00964BF5">
        <w:rPr>
          <w:rFonts w:ascii="Garamond" w:hAnsi="Garamond"/>
          <w:b/>
          <w:bCs/>
          <w:color w:val="auto"/>
          <w:sz w:val="20"/>
          <w:szCs w:val="20"/>
          <w:lang w:val="pt-PT"/>
        </w:rPr>
        <w:instrText xml:space="preserve"> SEQ Grafico \* ARABIC </w:instrText>
      </w:r>
      <w:r w:rsidRPr="00C75F85">
        <w:rPr>
          <w:rFonts w:ascii="Garamond" w:hAnsi="Garamond"/>
          <w:b/>
          <w:bCs/>
          <w:color w:val="auto"/>
          <w:sz w:val="20"/>
          <w:szCs w:val="20"/>
        </w:rPr>
        <w:fldChar w:fldCharType="separate"/>
      </w:r>
      <w:r w:rsidR="009F122A">
        <w:rPr>
          <w:rFonts w:ascii="Garamond" w:hAnsi="Garamond"/>
          <w:b/>
          <w:bCs/>
          <w:noProof/>
          <w:color w:val="auto"/>
          <w:sz w:val="20"/>
          <w:szCs w:val="20"/>
          <w:lang w:val="pt-PT"/>
        </w:rPr>
        <w:t>11</w:t>
      </w:r>
      <w:r w:rsidRPr="00C75F85">
        <w:rPr>
          <w:rFonts w:ascii="Garamond" w:hAnsi="Garamond"/>
          <w:b/>
          <w:bCs/>
          <w:color w:val="auto"/>
          <w:sz w:val="20"/>
          <w:szCs w:val="20"/>
        </w:rPr>
        <w:fldChar w:fldCharType="end"/>
      </w:r>
      <w:r w:rsidRPr="00964BF5">
        <w:rPr>
          <w:rFonts w:ascii="Garamond" w:hAnsi="Garamond"/>
          <w:b/>
          <w:bCs/>
          <w:color w:val="auto"/>
          <w:sz w:val="20"/>
          <w:szCs w:val="20"/>
          <w:lang w:val="pt-PT"/>
        </w:rPr>
        <w:t xml:space="preserve"> – Prevalência da violência conjugal por situação matrimonial e tipo de violência (%)</w:t>
      </w:r>
      <w:bookmarkEnd w:id="45"/>
    </w:p>
    <w:p w14:paraId="0D2F4B91" w14:textId="77777777" w:rsidR="00541FA6" w:rsidRDefault="00541FA6" w:rsidP="00541FA6">
      <w:pPr>
        <w:jc w:val="center"/>
        <w:rPr>
          <w:rFonts w:ascii="Garamond" w:hAnsi="Garamond"/>
        </w:rPr>
      </w:pPr>
      <w:r>
        <w:rPr>
          <w:noProof/>
        </w:rPr>
        <w:drawing>
          <wp:inline distT="0" distB="0" distL="0" distR="0" wp14:anchorId="189011DD" wp14:editId="05BBC3AD">
            <wp:extent cx="4893945" cy="1588395"/>
            <wp:effectExtent l="0" t="0" r="1905" b="0"/>
            <wp:docPr id="49" name="Gráfico 49">
              <a:extLst xmlns:a="http://schemas.openxmlformats.org/drawingml/2006/main">
                <a:ext uri="{FF2B5EF4-FFF2-40B4-BE49-F238E27FC236}">
                  <a16:creationId xmlns:a16="http://schemas.microsoft.com/office/drawing/2014/main" id="{95AC102C-FF6E-4A77-946E-8096691C9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A72C1C1" w14:textId="77777777" w:rsidR="00541FA6" w:rsidRPr="00964BF5" w:rsidRDefault="00541FA6" w:rsidP="00541FA6">
      <w:pPr>
        <w:spacing w:after="240" w:line="259" w:lineRule="auto"/>
        <w:ind w:left="357" w:hanging="357"/>
        <w:jc w:val="center"/>
        <w:rPr>
          <w:rFonts w:ascii="Garamond" w:hAnsi="Garamond"/>
          <w:b/>
          <w:bCs/>
          <w:sz w:val="20"/>
          <w:szCs w:val="20"/>
          <w:lang w:val="pt-PT"/>
        </w:rPr>
      </w:pPr>
      <w:r w:rsidRPr="00964BF5">
        <w:rPr>
          <w:rFonts w:ascii="Garamond" w:hAnsi="Garamond"/>
          <w:b/>
          <w:bCs/>
          <w:sz w:val="20"/>
          <w:szCs w:val="20"/>
          <w:lang w:val="pt-PT"/>
        </w:rPr>
        <w:t xml:space="preserve">Fonte: elaboração própria com base nos dados do </w:t>
      </w:r>
      <w:proofErr w:type="spellStart"/>
      <w:r w:rsidRPr="00964BF5">
        <w:rPr>
          <w:rFonts w:ascii="Garamond" w:hAnsi="Garamond"/>
          <w:b/>
          <w:bCs/>
          <w:sz w:val="20"/>
          <w:szCs w:val="20"/>
          <w:lang w:val="pt-PT"/>
        </w:rPr>
        <w:t>IDSR</w:t>
      </w:r>
      <w:proofErr w:type="spellEnd"/>
      <w:r w:rsidRPr="00964BF5">
        <w:rPr>
          <w:rFonts w:ascii="Garamond" w:hAnsi="Garamond"/>
          <w:b/>
          <w:bCs/>
          <w:sz w:val="20"/>
          <w:szCs w:val="20"/>
          <w:lang w:val="pt-PT"/>
        </w:rPr>
        <w:t xml:space="preserve"> III (2018)</w:t>
      </w:r>
    </w:p>
    <w:p w14:paraId="4F7FFF46" w14:textId="77777777" w:rsidR="00541FA6" w:rsidRPr="00964BF5" w:rsidRDefault="00541FA6" w:rsidP="00541FA6">
      <w:pPr>
        <w:jc w:val="both"/>
        <w:rPr>
          <w:rFonts w:ascii="Garamond" w:hAnsi="Garamond"/>
          <w:lang w:val="pt-PT"/>
        </w:rPr>
      </w:pPr>
      <w:r w:rsidRPr="00964BF5">
        <w:rPr>
          <w:rFonts w:ascii="Garamond" w:hAnsi="Garamond"/>
          <w:lang w:val="pt-PT"/>
        </w:rPr>
        <w:t xml:space="preserve">Existe uma associação marcada entre o medo reportado </w:t>
      </w:r>
      <w:proofErr w:type="spellStart"/>
      <w:r w:rsidRPr="00964BF5">
        <w:rPr>
          <w:rFonts w:ascii="Garamond" w:hAnsi="Garamond"/>
          <w:lang w:val="pt-PT"/>
        </w:rPr>
        <w:t>pelas</w:t>
      </w:r>
      <w:proofErr w:type="spellEnd"/>
      <w:r w:rsidRPr="00964BF5">
        <w:rPr>
          <w:rFonts w:ascii="Garamond" w:hAnsi="Garamond"/>
          <w:lang w:val="pt-PT"/>
        </w:rPr>
        <w:t xml:space="preserve"> mulheres casadas/em união e o risco de </w:t>
      </w:r>
      <w:proofErr w:type="spellStart"/>
      <w:r w:rsidRPr="00964BF5">
        <w:rPr>
          <w:rFonts w:ascii="Garamond" w:hAnsi="Garamond"/>
          <w:lang w:val="pt-PT"/>
        </w:rPr>
        <w:t>efetivamente</w:t>
      </w:r>
      <w:proofErr w:type="spellEnd"/>
      <w:r w:rsidRPr="00964BF5">
        <w:rPr>
          <w:rFonts w:ascii="Garamond" w:hAnsi="Garamond"/>
          <w:lang w:val="pt-PT"/>
        </w:rPr>
        <w:t xml:space="preserve"> sofrer violência conjugal:</w:t>
      </w:r>
    </w:p>
    <w:p w14:paraId="7C710B6D" w14:textId="77777777" w:rsidR="00541FA6" w:rsidRDefault="00541FA6" w:rsidP="002A62A2">
      <w:pPr>
        <w:pStyle w:val="PargrafodaLista"/>
        <w:numPr>
          <w:ilvl w:val="0"/>
          <w:numId w:val="89"/>
        </w:numPr>
        <w:spacing w:line="259" w:lineRule="auto"/>
        <w:ind w:left="357" w:hanging="357"/>
        <w:contextualSpacing w:val="0"/>
        <w:jc w:val="both"/>
        <w:rPr>
          <w:rFonts w:ascii="Garamond" w:hAnsi="Garamond"/>
          <w:lang w:val="pt-PT"/>
        </w:rPr>
      </w:pPr>
      <w:r w:rsidRPr="00B571CB">
        <w:rPr>
          <w:rFonts w:ascii="Garamond" w:hAnsi="Garamond"/>
          <w:lang w:val="pt-PT"/>
        </w:rPr>
        <w:t>Se mais de 1 em cada 10 mulheres que nunca sente medo do cônjuge sofre violência conjugal de algum tipo (14,4%), isso acontece com metade das que sente medo às vezes (e mais de 7 em cada 10 que sente medo com frequência</w:t>
      </w:r>
    </w:p>
    <w:p w14:paraId="17D03D20" w14:textId="77777777" w:rsidR="00541FA6" w:rsidRPr="00B571CB" w:rsidRDefault="00541FA6" w:rsidP="002A62A2">
      <w:pPr>
        <w:pStyle w:val="PargrafodaLista"/>
        <w:numPr>
          <w:ilvl w:val="0"/>
          <w:numId w:val="89"/>
        </w:numPr>
        <w:spacing w:after="240" w:line="259" w:lineRule="auto"/>
        <w:ind w:left="357" w:hanging="357"/>
        <w:contextualSpacing w:val="0"/>
        <w:jc w:val="both"/>
        <w:rPr>
          <w:rFonts w:ascii="Garamond" w:hAnsi="Garamond"/>
          <w:lang w:val="pt-PT"/>
        </w:rPr>
      </w:pPr>
      <w:r w:rsidRPr="00B571CB">
        <w:rPr>
          <w:rFonts w:ascii="Garamond" w:hAnsi="Garamond"/>
          <w:lang w:val="pt-PT"/>
        </w:rPr>
        <w:t xml:space="preserve">Esta ordem de risco verifica-se para qualquer tipo de violência.  </w:t>
      </w:r>
    </w:p>
    <w:p w14:paraId="2AC5B717" w14:textId="7FF2C01A" w:rsidR="00541FA6" w:rsidRPr="00964BF5" w:rsidRDefault="00541FA6" w:rsidP="00541FA6">
      <w:pPr>
        <w:pStyle w:val="Legenda"/>
        <w:spacing w:after="0"/>
        <w:rPr>
          <w:rFonts w:ascii="Garamond" w:hAnsi="Garamond"/>
          <w:b/>
          <w:bCs/>
          <w:color w:val="auto"/>
          <w:sz w:val="20"/>
          <w:szCs w:val="20"/>
          <w:lang w:val="pt-PT"/>
        </w:rPr>
      </w:pPr>
      <w:bookmarkStart w:id="46" w:name="_Toc32856866"/>
      <w:r w:rsidRPr="00964BF5">
        <w:rPr>
          <w:rFonts w:ascii="Garamond" w:hAnsi="Garamond"/>
          <w:b/>
          <w:bCs/>
          <w:color w:val="auto"/>
          <w:sz w:val="20"/>
          <w:szCs w:val="20"/>
          <w:lang w:val="pt-PT"/>
        </w:rPr>
        <w:t xml:space="preserve">Gráfico </w:t>
      </w:r>
      <w:r w:rsidRPr="00B924A7">
        <w:rPr>
          <w:rFonts w:ascii="Garamond" w:hAnsi="Garamond"/>
          <w:b/>
          <w:bCs/>
          <w:color w:val="auto"/>
          <w:sz w:val="20"/>
          <w:szCs w:val="20"/>
        </w:rPr>
        <w:fldChar w:fldCharType="begin"/>
      </w:r>
      <w:r w:rsidRPr="00964BF5">
        <w:rPr>
          <w:rFonts w:ascii="Garamond" w:hAnsi="Garamond"/>
          <w:b/>
          <w:bCs/>
          <w:color w:val="auto"/>
          <w:sz w:val="20"/>
          <w:szCs w:val="20"/>
          <w:lang w:val="pt-PT"/>
        </w:rPr>
        <w:instrText xml:space="preserve"> SEQ Grafico \* ARABIC </w:instrText>
      </w:r>
      <w:r w:rsidRPr="00B924A7">
        <w:rPr>
          <w:rFonts w:ascii="Garamond" w:hAnsi="Garamond"/>
          <w:b/>
          <w:bCs/>
          <w:color w:val="auto"/>
          <w:sz w:val="20"/>
          <w:szCs w:val="20"/>
        </w:rPr>
        <w:fldChar w:fldCharType="separate"/>
      </w:r>
      <w:r w:rsidR="009F122A">
        <w:rPr>
          <w:rFonts w:ascii="Garamond" w:hAnsi="Garamond"/>
          <w:b/>
          <w:bCs/>
          <w:noProof/>
          <w:color w:val="auto"/>
          <w:sz w:val="20"/>
          <w:szCs w:val="20"/>
          <w:lang w:val="pt-PT"/>
        </w:rPr>
        <w:t>12</w:t>
      </w:r>
      <w:r w:rsidRPr="00B924A7">
        <w:rPr>
          <w:rFonts w:ascii="Garamond" w:hAnsi="Garamond"/>
          <w:b/>
          <w:bCs/>
          <w:color w:val="auto"/>
          <w:sz w:val="20"/>
          <w:szCs w:val="20"/>
        </w:rPr>
        <w:fldChar w:fldCharType="end"/>
      </w:r>
      <w:r w:rsidRPr="00964BF5">
        <w:rPr>
          <w:rFonts w:ascii="Garamond" w:hAnsi="Garamond"/>
          <w:b/>
          <w:bCs/>
          <w:color w:val="auto"/>
          <w:sz w:val="20"/>
          <w:szCs w:val="20"/>
          <w:lang w:val="pt-PT"/>
        </w:rPr>
        <w:t xml:space="preserve"> – Violência conjugal e medo do cônjuge (referido </w:t>
      </w:r>
      <w:proofErr w:type="spellStart"/>
      <w:r w:rsidRPr="00964BF5">
        <w:rPr>
          <w:rFonts w:ascii="Garamond" w:hAnsi="Garamond"/>
          <w:b/>
          <w:bCs/>
          <w:color w:val="auto"/>
          <w:sz w:val="20"/>
          <w:szCs w:val="20"/>
          <w:lang w:val="pt-PT"/>
        </w:rPr>
        <w:t>pela</w:t>
      </w:r>
      <w:proofErr w:type="spellEnd"/>
      <w:r w:rsidRPr="00964BF5">
        <w:rPr>
          <w:rFonts w:ascii="Garamond" w:hAnsi="Garamond"/>
          <w:b/>
          <w:bCs/>
          <w:color w:val="auto"/>
          <w:sz w:val="20"/>
          <w:szCs w:val="20"/>
          <w:lang w:val="pt-PT"/>
        </w:rPr>
        <w:t xml:space="preserve"> mulher), por tipo de violência (%) </w:t>
      </w:r>
      <w:r>
        <w:rPr>
          <w:rStyle w:val="Refdenotaderodap"/>
          <w:rFonts w:ascii="Garamond" w:hAnsi="Garamond"/>
          <w:b/>
          <w:bCs/>
          <w:color w:val="auto"/>
        </w:rPr>
        <w:footnoteReference w:id="47"/>
      </w:r>
      <w:bookmarkEnd w:id="46"/>
    </w:p>
    <w:p w14:paraId="7E0DA540" w14:textId="77777777" w:rsidR="00541FA6" w:rsidRDefault="00541FA6" w:rsidP="00541FA6">
      <w:pPr>
        <w:jc w:val="center"/>
        <w:rPr>
          <w:rFonts w:ascii="Garamond" w:hAnsi="Garamond"/>
        </w:rPr>
      </w:pPr>
      <w:r>
        <w:rPr>
          <w:noProof/>
        </w:rPr>
        <w:drawing>
          <wp:inline distT="0" distB="0" distL="0" distR="0" wp14:anchorId="2064C3A3" wp14:editId="12AA4F48">
            <wp:extent cx="4395470" cy="1738648"/>
            <wp:effectExtent l="0" t="0" r="5080" b="0"/>
            <wp:docPr id="50" name="Gráfico 50">
              <a:extLst xmlns:a="http://schemas.openxmlformats.org/drawingml/2006/main">
                <a:ext uri="{FF2B5EF4-FFF2-40B4-BE49-F238E27FC236}">
                  <a16:creationId xmlns:a16="http://schemas.microsoft.com/office/drawing/2014/main" id="{271DFF10-D425-40A1-AAC9-153C8BC1CD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9756B" w14:textId="77777777" w:rsidR="00541FA6" w:rsidRPr="00964BF5" w:rsidRDefault="00541FA6" w:rsidP="00541FA6">
      <w:pPr>
        <w:spacing w:after="240"/>
        <w:jc w:val="center"/>
        <w:rPr>
          <w:rFonts w:ascii="Garamond" w:hAnsi="Garamond"/>
          <w:b/>
          <w:bCs/>
          <w:sz w:val="20"/>
          <w:szCs w:val="20"/>
          <w:lang w:val="pt-PT"/>
        </w:rPr>
      </w:pPr>
      <w:r w:rsidRPr="00964BF5">
        <w:rPr>
          <w:rFonts w:ascii="Garamond" w:hAnsi="Garamond"/>
          <w:b/>
          <w:bCs/>
          <w:sz w:val="20"/>
          <w:szCs w:val="20"/>
          <w:lang w:val="pt-PT"/>
        </w:rPr>
        <w:t xml:space="preserve">Fonte: elaboração própria com base nos dados do </w:t>
      </w:r>
      <w:proofErr w:type="spellStart"/>
      <w:r w:rsidRPr="00964BF5">
        <w:rPr>
          <w:rFonts w:ascii="Garamond" w:hAnsi="Garamond"/>
          <w:b/>
          <w:bCs/>
          <w:sz w:val="20"/>
          <w:szCs w:val="20"/>
          <w:lang w:val="pt-PT"/>
        </w:rPr>
        <w:t>IDSR</w:t>
      </w:r>
      <w:proofErr w:type="spellEnd"/>
      <w:r w:rsidRPr="00964BF5">
        <w:rPr>
          <w:rFonts w:ascii="Garamond" w:hAnsi="Garamond"/>
          <w:b/>
          <w:bCs/>
          <w:sz w:val="20"/>
          <w:szCs w:val="20"/>
          <w:lang w:val="pt-PT"/>
        </w:rPr>
        <w:t xml:space="preserve"> III (2018) </w:t>
      </w:r>
    </w:p>
    <w:p w14:paraId="706A7CBC" w14:textId="77777777" w:rsidR="00541FA6" w:rsidRDefault="00541FA6" w:rsidP="00541FA6">
      <w:pPr>
        <w:jc w:val="both"/>
        <w:rPr>
          <w:rFonts w:ascii="Garamond" w:hAnsi="Garamond"/>
          <w:lang w:val="pt-PT"/>
        </w:rPr>
      </w:pPr>
      <w:r>
        <w:rPr>
          <w:rFonts w:ascii="Garamond" w:hAnsi="Garamond"/>
          <w:lang w:val="pt-PT"/>
        </w:rPr>
        <w:t xml:space="preserve">A </w:t>
      </w:r>
      <w:proofErr w:type="spellStart"/>
      <w:r>
        <w:rPr>
          <w:rFonts w:ascii="Garamond" w:hAnsi="Garamond"/>
          <w:lang w:val="pt-PT"/>
        </w:rPr>
        <w:t>rutura</w:t>
      </w:r>
      <w:proofErr w:type="spellEnd"/>
      <w:r>
        <w:rPr>
          <w:rFonts w:ascii="Garamond" w:hAnsi="Garamond"/>
          <w:lang w:val="pt-PT"/>
        </w:rPr>
        <w:t xml:space="preserve"> de relação é um dos critérios avaliados na grelha de avaliação de risco da Polícia Nacional, contudo a experiência </w:t>
      </w:r>
      <w:proofErr w:type="spellStart"/>
      <w:r>
        <w:rPr>
          <w:rFonts w:ascii="Garamond" w:hAnsi="Garamond"/>
          <w:lang w:val="pt-PT"/>
        </w:rPr>
        <w:t>subjetiva</w:t>
      </w:r>
      <w:proofErr w:type="spellEnd"/>
      <w:r>
        <w:rPr>
          <w:rFonts w:ascii="Garamond" w:hAnsi="Garamond"/>
          <w:lang w:val="pt-PT"/>
        </w:rPr>
        <w:t xml:space="preserve"> de medo não (a grelha inclui tipologias de ameaças e de outros comportamentos de risco, mas não a experiência </w:t>
      </w:r>
      <w:proofErr w:type="spellStart"/>
      <w:r>
        <w:rPr>
          <w:rFonts w:ascii="Garamond" w:hAnsi="Garamond"/>
          <w:lang w:val="pt-PT"/>
        </w:rPr>
        <w:t>subjetiva</w:t>
      </w:r>
      <w:proofErr w:type="spellEnd"/>
      <w:r>
        <w:rPr>
          <w:rFonts w:ascii="Garamond" w:hAnsi="Garamond"/>
          <w:lang w:val="pt-PT"/>
        </w:rPr>
        <w:t xml:space="preserve">): </w:t>
      </w:r>
    </w:p>
    <w:p w14:paraId="404023AB" w14:textId="77777777" w:rsidR="00541FA6" w:rsidRPr="00E155D7" w:rsidRDefault="00541FA6" w:rsidP="002A62A2">
      <w:pPr>
        <w:pStyle w:val="PargrafodaLista"/>
        <w:numPr>
          <w:ilvl w:val="0"/>
          <w:numId w:val="88"/>
        </w:numPr>
        <w:jc w:val="both"/>
        <w:rPr>
          <w:rFonts w:ascii="Garamond" w:hAnsi="Garamond"/>
          <w:lang w:val="pt-PT"/>
        </w:rPr>
      </w:pPr>
      <w:r w:rsidRPr="00E155D7">
        <w:rPr>
          <w:rFonts w:ascii="Garamond" w:hAnsi="Garamond"/>
          <w:lang w:val="pt-PT"/>
        </w:rPr>
        <w:t xml:space="preserve">Será necessário generalizar a boa compreensão destes indicadores a nível nacional (formação sobre o Manual de Procedimentos da PN e divulgação dos dados sobre a </w:t>
      </w:r>
      <w:proofErr w:type="spellStart"/>
      <w:r w:rsidRPr="00E155D7">
        <w:rPr>
          <w:rFonts w:ascii="Garamond" w:hAnsi="Garamond"/>
          <w:lang w:val="pt-PT"/>
        </w:rPr>
        <w:t>VBG</w:t>
      </w:r>
      <w:proofErr w:type="spellEnd"/>
      <w:r w:rsidRPr="00E155D7">
        <w:rPr>
          <w:rFonts w:ascii="Garamond" w:hAnsi="Garamond"/>
          <w:lang w:val="pt-PT"/>
        </w:rPr>
        <w:t xml:space="preserve"> à PN) e monitorizar a implementação de rastreio obrigatório da grelha de avaliação de risco, processo que será facilitado </w:t>
      </w:r>
      <w:proofErr w:type="spellStart"/>
      <w:r w:rsidRPr="00E155D7">
        <w:rPr>
          <w:rFonts w:ascii="Garamond" w:hAnsi="Garamond"/>
          <w:lang w:val="pt-PT"/>
        </w:rPr>
        <w:t>pel</w:t>
      </w:r>
      <w:r>
        <w:rPr>
          <w:rFonts w:ascii="Garamond" w:hAnsi="Garamond"/>
          <w:lang w:val="pt-PT"/>
        </w:rPr>
        <w:t>o</w:t>
      </w:r>
      <w:proofErr w:type="spellEnd"/>
      <w:r w:rsidRPr="00E155D7">
        <w:rPr>
          <w:rFonts w:ascii="Garamond" w:hAnsi="Garamond"/>
          <w:lang w:val="pt-PT"/>
        </w:rPr>
        <w:t xml:space="preserve"> uso do Sistema Integrado de Gestão Operativa (SIGO), já que o MAI integrou esta grelha no m</w:t>
      </w:r>
      <w:r>
        <w:rPr>
          <w:rFonts w:ascii="Garamond" w:hAnsi="Garamond"/>
          <w:lang w:val="pt-PT"/>
        </w:rPr>
        <w:t>ó</w:t>
      </w:r>
      <w:r w:rsidRPr="00E155D7">
        <w:rPr>
          <w:rFonts w:ascii="Garamond" w:hAnsi="Garamond"/>
          <w:lang w:val="pt-PT"/>
        </w:rPr>
        <w:t xml:space="preserve">dulo </w:t>
      </w:r>
      <w:proofErr w:type="spellStart"/>
      <w:r w:rsidRPr="00E155D7">
        <w:rPr>
          <w:rFonts w:ascii="Garamond" w:hAnsi="Garamond"/>
          <w:lang w:val="pt-PT"/>
        </w:rPr>
        <w:t>VBG</w:t>
      </w:r>
      <w:proofErr w:type="spellEnd"/>
      <w:r w:rsidRPr="00E155D7">
        <w:rPr>
          <w:rFonts w:ascii="Garamond" w:hAnsi="Garamond"/>
          <w:lang w:val="pt-PT"/>
        </w:rPr>
        <w:t>.</w:t>
      </w:r>
    </w:p>
    <w:p w14:paraId="77A53C32" w14:textId="3BB289F5" w:rsidR="00541FA6" w:rsidRPr="00BA1FB2" w:rsidRDefault="00541FA6" w:rsidP="002A62A2">
      <w:pPr>
        <w:pStyle w:val="PargrafodaLista"/>
        <w:numPr>
          <w:ilvl w:val="0"/>
          <w:numId w:val="88"/>
        </w:numPr>
        <w:spacing w:after="240"/>
        <w:ind w:left="714" w:hanging="357"/>
        <w:contextualSpacing w:val="0"/>
        <w:jc w:val="both"/>
        <w:rPr>
          <w:rFonts w:ascii="Garamond" w:hAnsi="Garamond"/>
          <w:lang w:val="pt-PT"/>
        </w:rPr>
      </w:pPr>
      <w:r w:rsidRPr="00BA1FB2">
        <w:rPr>
          <w:rFonts w:ascii="Garamond" w:hAnsi="Garamond"/>
          <w:lang w:val="pt-PT"/>
        </w:rPr>
        <w:t xml:space="preserve">Por outro lado, </w:t>
      </w:r>
      <w:r w:rsidR="000217E2">
        <w:rPr>
          <w:rFonts w:ascii="Garamond" w:hAnsi="Garamond"/>
          <w:lang w:val="pt-PT"/>
        </w:rPr>
        <w:t>é</w:t>
      </w:r>
      <w:r w:rsidRPr="00BA1FB2">
        <w:rPr>
          <w:rFonts w:ascii="Garamond" w:hAnsi="Garamond"/>
          <w:lang w:val="pt-PT"/>
        </w:rPr>
        <w:t xml:space="preserve"> importante garantir o acesso a aconselhamento, incluindo legal, para casais em situação de </w:t>
      </w:r>
      <w:proofErr w:type="spellStart"/>
      <w:r w:rsidRPr="00BA1FB2">
        <w:rPr>
          <w:rFonts w:ascii="Garamond" w:hAnsi="Garamond"/>
          <w:lang w:val="pt-PT"/>
        </w:rPr>
        <w:t>rutura</w:t>
      </w:r>
      <w:proofErr w:type="spellEnd"/>
      <w:r w:rsidRPr="00BA1FB2">
        <w:rPr>
          <w:rFonts w:ascii="Garamond" w:hAnsi="Garamond"/>
          <w:lang w:val="pt-PT"/>
        </w:rPr>
        <w:t xml:space="preserve"> de relacionamento quando há evidências ou risco de </w:t>
      </w:r>
      <w:proofErr w:type="spellStart"/>
      <w:r w:rsidRPr="00BA1FB2">
        <w:rPr>
          <w:rFonts w:ascii="Garamond" w:hAnsi="Garamond"/>
          <w:lang w:val="pt-PT"/>
        </w:rPr>
        <w:t>VBG</w:t>
      </w:r>
      <w:proofErr w:type="spellEnd"/>
      <w:r w:rsidRPr="00BA1FB2">
        <w:rPr>
          <w:rFonts w:ascii="Garamond" w:hAnsi="Garamond"/>
          <w:lang w:val="pt-PT"/>
        </w:rPr>
        <w:t>. Em particular no caso das mulheres mais pobres que não têm acesso económico a este tipo de apoio</w:t>
      </w:r>
      <w:r w:rsidR="000217E2">
        <w:rPr>
          <w:rFonts w:ascii="Garamond" w:hAnsi="Garamond"/>
          <w:lang w:val="pt-PT"/>
        </w:rPr>
        <w:t xml:space="preserve">, </w:t>
      </w:r>
      <w:r w:rsidRPr="00BA1FB2">
        <w:rPr>
          <w:rFonts w:ascii="Garamond" w:hAnsi="Garamond"/>
          <w:lang w:val="pt-PT"/>
        </w:rPr>
        <w:t xml:space="preserve">apoio </w:t>
      </w:r>
      <w:r w:rsidR="000217E2">
        <w:rPr>
          <w:rFonts w:ascii="Garamond" w:hAnsi="Garamond"/>
          <w:lang w:val="pt-PT"/>
        </w:rPr>
        <w:t xml:space="preserve">que </w:t>
      </w:r>
      <w:r w:rsidRPr="00BA1FB2">
        <w:rPr>
          <w:rFonts w:ascii="Garamond" w:hAnsi="Garamond"/>
          <w:lang w:val="pt-PT"/>
        </w:rPr>
        <w:t>poderá ser operacionalizado por via do Cadastro Social</w:t>
      </w:r>
      <w:r w:rsidR="000217E2">
        <w:rPr>
          <w:rFonts w:ascii="Garamond" w:hAnsi="Garamond"/>
          <w:lang w:val="pt-PT"/>
        </w:rPr>
        <w:t xml:space="preserve"> (</w:t>
      </w:r>
      <w:r w:rsidRPr="00BA1FB2">
        <w:rPr>
          <w:rFonts w:ascii="Garamond" w:hAnsi="Garamond"/>
          <w:lang w:val="pt-PT"/>
        </w:rPr>
        <w:t xml:space="preserve">que tem em conta prestações no contexto da </w:t>
      </w:r>
      <w:proofErr w:type="spellStart"/>
      <w:r w:rsidRPr="00BA1FB2">
        <w:rPr>
          <w:rFonts w:ascii="Garamond" w:hAnsi="Garamond"/>
          <w:lang w:val="pt-PT"/>
        </w:rPr>
        <w:t>VBG</w:t>
      </w:r>
      <w:proofErr w:type="spellEnd"/>
      <w:r w:rsidR="000217E2">
        <w:rPr>
          <w:rFonts w:ascii="Garamond" w:hAnsi="Garamond"/>
          <w:lang w:val="pt-PT"/>
        </w:rPr>
        <w:t>)</w:t>
      </w:r>
      <w:r w:rsidRPr="00BA1FB2">
        <w:rPr>
          <w:rFonts w:ascii="Garamond" w:hAnsi="Garamond"/>
          <w:lang w:val="pt-PT"/>
        </w:rPr>
        <w:t>, se for previsto como uma prestação do PGA.</w:t>
      </w:r>
      <w:r w:rsidRPr="00BA1FB2">
        <w:rPr>
          <w:rStyle w:val="Refdenotaderodap"/>
          <w:rFonts w:ascii="Garamond" w:hAnsi="Garamond"/>
          <w:lang w:val="pt-PT"/>
        </w:rPr>
        <w:footnoteReference w:id="48"/>
      </w:r>
      <w:r w:rsidRPr="00BA1FB2">
        <w:rPr>
          <w:rFonts w:ascii="Garamond" w:hAnsi="Garamond"/>
          <w:lang w:val="pt-PT"/>
        </w:rPr>
        <w:t xml:space="preserve">  </w:t>
      </w:r>
    </w:p>
    <w:p w14:paraId="19034BA5" w14:textId="77777777" w:rsidR="00541FA6" w:rsidRDefault="00541FA6" w:rsidP="000217E2">
      <w:pPr>
        <w:jc w:val="both"/>
        <w:rPr>
          <w:rFonts w:ascii="Garamond" w:hAnsi="Garamond"/>
          <w:lang w:val="pt-PT"/>
        </w:rPr>
      </w:pPr>
      <w:r>
        <w:rPr>
          <w:rFonts w:ascii="Garamond" w:hAnsi="Garamond"/>
          <w:lang w:val="pt-PT"/>
        </w:rPr>
        <w:t xml:space="preserve">Outra variável a ter em conta na análise é a religião, tendo em conta que as praticantes de várias religiões apresentam taxas de prevalência mais elevadas do que a média das mulheres em Cabo Verde, tanto no caso da violência física (qualquer perpetrador), como da violência conjugal. No gráfico que se segue são apresentadas estas 2 taxas de prevalência para as religiões com efectivos suficientes na amostra do </w:t>
      </w:r>
      <w:proofErr w:type="spellStart"/>
      <w:r>
        <w:rPr>
          <w:rFonts w:ascii="Garamond" w:hAnsi="Garamond"/>
          <w:lang w:val="pt-PT"/>
        </w:rPr>
        <w:t>IDSR</w:t>
      </w:r>
      <w:proofErr w:type="spellEnd"/>
      <w:r>
        <w:rPr>
          <w:rFonts w:ascii="Garamond" w:hAnsi="Garamond"/>
          <w:lang w:val="pt-PT"/>
        </w:rPr>
        <w:t xml:space="preserve"> III.</w:t>
      </w:r>
      <w:r>
        <w:rPr>
          <w:rStyle w:val="Refdenotaderodap"/>
          <w:rFonts w:ascii="Garamond" w:hAnsi="Garamond"/>
          <w:lang w:val="pt-PT"/>
        </w:rPr>
        <w:footnoteReference w:id="49"/>
      </w:r>
      <w:r>
        <w:rPr>
          <w:rFonts w:ascii="Garamond" w:hAnsi="Garamond"/>
          <w:lang w:val="pt-PT"/>
        </w:rPr>
        <w:t xml:space="preserve">  </w:t>
      </w:r>
    </w:p>
    <w:p w14:paraId="2E79A7A0" w14:textId="77777777" w:rsidR="00541FA6" w:rsidRPr="004E24D7" w:rsidRDefault="00541FA6" w:rsidP="000217E2">
      <w:pPr>
        <w:jc w:val="both"/>
        <w:rPr>
          <w:rFonts w:ascii="Garamond" w:hAnsi="Garamond"/>
          <w:lang w:val="pt-PT"/>
        </w:rPr>
      </w:pPr>
      <w:r>
        <w:rPr>
          <w:rFonts w:ascii="Garamond" w:hAnsi="Garamond"/>
          <w:u w:val="single"/>
          <w:lang w:val="pt-PT"/>
        </w:rPr>
        <w:t>Prevalência da v</w:t>
      </w:r>
      <w:r w:rsidRPr="004E24D7">
        <w:rPr>
          <w:rFonts w:ascii="Garamond" w:hAnsi="Garamond"/>
          <w:u w:val="single"/>
          <w:lang w:val="pt-PT"/>
        </w:rPr>
        <w:t>iolência física</w:t>
      </w:r>
      <w:r w:rsidRPr="004E24D7">
        <w:rPr>
          <w:rFonts w:ascii="Garamond" w:hAnsi="Garamond"/>
          <w:lang w:val="pt-PT"/>
        </w:rPr>
        <w:t xml:space="preserve"> (qualquer perpetrador): </w:t>
      </w:r>
    </w:p>
    <w:p w14:paraId="0C205ED3" w14:textId="77777777" w:rsidR="00541FA6" w:rsidRDefault="00541FA6" w:rsidP="002A62A2">
      <w:pPr>
        <w:pStyle w:val="PargrafodaLista"/>
        <w:numPr>
          <w:ilvl w:val="0"/>
          <w:numId w:val="92"/>
        </w:numPr>
        <w:jc w:val="both"/>
        <w:rPr>
          <w:rFonts w:ascii="Garamond" w:hAnsi="Garamond"/>
          <w:lang w:val="pt-PT"/>
        </w:rPr>
      </w:pPr>
      <w:r>
        <w:rPr>
          <w:rFonts w:ascii="Garamond" w:hAnsi="Garamond"/>
          <w:lang w:val="pt-PT"/>
        </w:rPr>
        <w:t xml:space="preserve">As mulheres da igreja do Racionalismo Cristão (20,3%), Adventista (17,7%) </w:t>
      </w:r>
      <w:proofErr w:type="gramStart"/>
      <w:r>
        <w:rPr>
          <w:rFonts w:ascii="Garamond" w:hAnsi="Garamond"/>
          <w:lang w:val="pt-PT"/>
        </w:rPr>
        <w:t>e Nazarena</w:t>
      </w:r>
      <w:proofErr w:type="gramEnd"/>
      <w:r>
        <w:rPr>
          <w:rFonts w:ascii="Garamond" w:hAnsi="Garamond"/>
          <w:lang w:val="pt-PT"/>
        </w:rPr>
        <w:t xml:space="preserve"> (14,4%) têm taxas mais elevadas do que a média nacional (10,9%)</w:t>
      </w:r>
    </w:p>
    <w:p w14:paraId="50E272E2" w14:textId="77777777" w:rsidR="00541FA6" w:rsidRDefault="00541FA6" w:rsidP="002A62A2">
      <w:pPr>
        <w:pStyle w:val="PargrafodaLista"/>
        <w:numPr>
          <w:ilvl w:val="0"/>
          <w:numId w:val="92"/>
        </w:numPr>
        <w:jc w:val="both"/>
        <w:rPr>
          <w:rFonts w:ascii="Garamond" w:hAnsi="Garamond"/>
          <w:lang w:val="pt-PT"/>
        </w:rPr>
      </w:pPr>
      <w:r>
        <w:rPr>
          <w:rFonts w:ascii="Garamond" w:hAnsi="Garamond"/>
          <w:lang w:val="pt-PT"/>
        </w:rPr>
        <w:t>O mesmo se aplica a outras Religiões (22,7%)</w:t>
      </w:r>
    </w:p>
    <w:p w14:paraId="1A5E24B7" w14:textId="77777777" w:rsidR="00541FA6" w:rsidRPr="003A4954" w:rsidRDefault="00541FA6" w:rsidP="002A62A2">
      <w:pPr>
        <w:pStyle w:val="PargrafodaLista"/>
        <w:numPr>
          <w:ilvl w:val="0"/>
          <w:numId w:val="92"/>
        </w:numPr>
        <w:jc w:val="both"/>
        <w:rPr>
          <w:rFonts w:ascii="Garamond" w:hAnsi="Garamond"/>
          <w:lang w:val="pt-PT"/>
        </w:rPr>
      </w:pPr>
      <w:r>
        <w:rPr>
          <w:rFonts w:ascii="Garamond" w:hAnsi="Garamond"/>
          <w:lang w:val="pt-PT"/>
        </w:rPr>
        <w:t>A</w:t>
      </w:r>
      <w:r w:rsidRPr="003A4954">
        <w:rPr>
          <w:rFonts w:ascii="Garamond" w:hAnsi="Garamond"/>
          <w:lang w:val="pt-PT"/>
        </w:rPr>
        <w:t xml:space="preserve">pesar dos efectivos da igreja Universal do Reino de Deus não serem estatisticamente significativa, a taxa de prevalência para as mulheres desta igreja é de 31,9% </w:t>
      </w:r>
    </w:p>
    <w:p w14:paraId="28B34770" w14:textId="77777777" w:rsidR="00541FA6" w:rsidRPr="00E8319E" w:rsidRDefault="00541FA6" w:rsidP="000217E2">
      <w:pPr>
        <w:jc w:val="both"/>
        <w:rPr>
          <w:rFonts w:ascii="Garamond" w:hAnsi="Garamond"/>
          <w:lang w:val="pt-PT"/>
        </w:rPr>
      </w:pPr>
      <w:r w:rsidRPr="00E8319E">
        <w:rPr>
          <w:rFonts w:ascii="Garamond" w:hAnsi="Garamond"/>
          <w:u w:val="single"/>
          <w:lang w:val="pt-PT"/>
        </w:rPr>
        <w:t>Violência Conjugal</w:t>
      </w:r>
      <w:r>
        <w:rPr>
          <w:rFonts w:ascii="Garamond" w:hAnsi="Garamond"/>
          <w:lang w:val="pt-PT"/>
        </w:rPr>
        <w:t>:</w:t>
      </w:r>
      <w:r w:rsidRPr="00E8319E">
        <w:rPr>
          <w:rFonts w:ascii="Garamond" w:hAnsi="Garamond"/>
          <w:lang w:val="pt-PT"/>
        </w:rPr>
        <w:t xml:space="preserve">  </w:t>
      </w:r>
    </w:p>
    <w:p w14:paraId="00C86E0E" w14:textId="77777777" w:rsidR="00541FA6" w:rsidRPr="00E8319E" w:rsidRDefault="00541FA6" w:rsidP="002A62A2">
      <w:pPr>
        <w:pStyle w:val="PargrafodaLista"/>
        <w:numPr>
          <w:ilvl w:val="0"/>
          <w:numId w:val="92"/>
        </w:numPr>
        <w:ind w:left="357" w:hanging="357"/>
        <w:contextualSpacing w:val="0"/>
        <w:jc w:val="both"/>
        <w:rPr>
          <w:rFonts w:ascii="Garamond" w:hAnsi="Garamond"/>
          <w:lang w:val="pt-PT"/>
        </w:rPr>
      </w:pPr>
      <w:r w:rsidRPr="00E8319E">
        <w:rPr>
          <w:rFonts w:ascii="Garamond" w:hAnsi="Garamond"/>
          <w:lang w:val="pt-PT"/>
        </w:rPr>
        <w:t>Os dados da violência conjugal são mais homogéneos, independentemente da religião, contudo as mulheres da igreja do Racionalismo Cristão (27,7% versus média nacional de 20,4%), apesar do efectivo não permitir considerar este resultado estatisticamente significativo</w:t>
      </w:r>
    </w:p>
    <w:p w14:paraId="2432C4D0" w14:textId="77777777" w:rsidR="00541FA6" w:rsidRDefault="00541FA6" w:rsidP="000217E2">
      <w:pPr>
        <w:spacing w:before="160"/>
        <w:jc w:val="both"/>
        <w:rPr>
          <w:rFonts w:ascii="Garamond" w:hAnsi="Garamond"/>
          <w:lang w:val="pt-PT"/>
        </w:rPr>
      </w:pPr>
      <w:r>
        <w:rPr>
          <w:rFonts w:ascii="Garamond" w:hAnsi="Garamond"/>
          <w:lang w:val="pt-PT"/>
        </w:rPr>
        <w:t xml:space="preserve">Embora estes resultados não permitam determinar se as mulheres vítimas de violência procuram a religião como amparo, ou se a cultura religiosa </w:t>
      </w:r>
      <w:proofErr w:type="gramStart"/>
      <w:r>
        <w:rPr>
          <w:rFonts w:ascii="Garamond" w:hAnsi="Garamond"/>
          <w:lang w:val="pt-PT"/>
        </w:rPr>
        <w:t>influencia</w:t>
      </w:r>
      <w:proofErr w:type="gramEnd"/>
      <w:r>
        <w:rPr>
          <w:rFonts w:ascii="Garamond" w:hAnsi="Garamond"/>
          <w:lang w:val="pt-PT"/>
        </w:rPr>
        <w:t xml:space="preserve"> o entendimento que as suas comunidades e casais têm das relações de género (ou um mix de ambos ao mesmo tempo), as igrejas precisam se preocupar com este resultado.</w:t>
      </w:r>
    </w:p>
    <w:p w14:paraId="4AB51C1B" w14:textId="77777777" w:rsidR="00541FA6" w:rsidRPr="00186FDA" w:rsidRDefault="00541FA6" w:rsidP="002A62A2">
      <w:pPr>
        <w:pStyle w:val="PargrafodaLista"/>
        <w:numPr>
          <w:ilvl w:val="0"/>
          <w:numId w:val="93"/>
        </w:numPr>
        <w:jc w:val="both"/>
        <w:rPr>
          <w:rFonts w:ascii="Garamond" w:hAnsi="Garamond"/>
          <w:lang w:val="pt-PT"/>
        </w:rPr>
      </w:pPr>
      <w:r>
        <w:rPr>
          <w:rFonts w:ascii="Garamond" w:hAnsi="Garamond"/>
          <w:lang w:val="pt-PT"/>
        </w:rPr>
        <w:t xml:space="preserve">Será importante incluir as igrejas na reflexão sobre a </w:t>
      </w:r>
      <w:proofErr w:type="spellStart"/>
      <w:r>
        <w:rPr>
          <w:rFonts w:ascii="Garamond" w:hAnsi="Garamond"/>
          <w:lang w:val="pt-PT"/>
        </w:rPr>
        <w:t>VBG</w:t>
      </w:r>
      <w:proofErr w:type="spellEnd"/>
      <w:r>
        <w:rPr>
          <w:rFonts w:ascii="Garamond" w:hAnsi="Garamond"/>
          <w:lang w:val="pt-PT"/>
        </w:rPr>
        <w:t xml:space="preserve"> e formar </w:t>
      </w:r>
      <w:r w:rsidRPr="00F009B2">
        <w:rPr>
          <w:rFonts w:ascii="Garamond" w:hAnsi="Garamond"/>
          <w:lang w:val="pt-PT"/>
        </w:rPr>
        <w:t>líderes religiosos</w:t>
      </w:r>
      <w:r>
        <w:rPr>
          <w:rFonts w:ascii="Garamond" w:hAnsi="Garamond"/>
          <w:lang w:val="pt-PT"/>
        </w:rPr>
        <w:t xml:space="preserve">, ou </w:t>
      </w:r>
      <w:r w:rsidRPr="00F009B2">
        <w:rPr>
          <w:rFonts w:ascii="Garamond" w:hAnsi="Garamond"/>
          <w:lang w:val="pt-PT"/>
        </w:rPr>
        <w:t>facilitadores p</w:t>
      </w:r>
      <w:r>
        <w:rPr>
          <w:rFonts w:ascii="Garamond" w:hAnsi="Garamond"/>
          <w:lang w:val="pt-PT"/>
        </w:rPr>
        <w:t xml:space="preserve">or eles indicados, para que possam se organizar internamente no sentido de identificar e apoiar vítimas de </w:t>
      </w:r>
      <w:proofErr w:type="spellStart"/>
      <w:r>
        <w:rPr>
          <w:rFonts w:ascii="Garamond" w:hAnsi="Garamond"/>
          <w:lang w:val="pt-PT"/>
        </w:rPr>
        <w:t>VBG</w:t>
      </w:r>
      <w:proofErr w:type="spellEnd"/>
      <w:r>
        <w:rPr>
          <w:rFonts w:ascii="Garamond" w:hAnsi="Garamond"/>
          <w:lang w:val="pt-PT"/>
        </w:rPr>
        <w:t xml:space="preserve"> e encaminhá-las, bem como os perpetradores, </w:t>
      </w:r>
      <w:r w:rsidRPr="00F009B2">
        <w:rPr>
          <w:rFonts w:ascii="Garamond" w:hAnsi="Garamond"/>
          <w:lang w:val="pt-PT"/>
        </w:rPr>
        <w:t>para programas de acompanhamento e/ou reabilitação</w:t>
      </w:r>
      <w:r>
        <w:rPr>
          <w:rFonts w:ascii="Garamond" w:hAnsi="Garamond"/>
          <w:lang w:val="pt-PT"/>
        </w:rPr>
        <w:t>.</w:t>
      </w:r>
    </w:p>
    <w:p w14:paraId="21041429" w14:textId="77777777" w:rsidR="00541FA6" w:rsidRDefault="00541FA6" w:rsidP="00541FA6">
      <w:pPr>
        <w:jc w:val="both"/>
        <w:rPr>
          <w:rFonts w:ascii="Garamond" w:hAnsi="Garamond"/>
          <w:lang w:val="pt-PT"/>
        </w:rPr>
      </w:pPr>
    </w:p>
    <w:p w14:paraId="627CF794" w14:textId="28D9F154" w:rsidR="00541FA6" w:rsidRPr="00964BF5" w:rsidRDefault="00541FA6" w:rsidP="00541FA6">
      <w:pPr>
        <w:pStyle w:val="Legenda"/>
        <w:spacing w:after="0"/>
        <w:jc w:val="center"/>
        <w:rPr>
          <w:rFonts w:ascii="Garamond" w:hAnsi="Garamond"/>
          <w:b/>
          <w:bCs/>
          <w:color w:val="auto"/>
          <w:sz w:val="20"/>
          <w:szCs w:val="20"/>
          <w:lang w:val="pt-PT"/>
        </w:rPr>
      </w:pPr>
      <w:bookmarkStart w:id="47" w:name="_Toc32856867"/>
      <w:r w:rsidRPr="00964BF5">
        <w:rPr>
          <w:rFonts w:ascii="Garamond" w:hAnsi="Garamond"/>
          <w:b/>
          <w:bCs/>
          <w:color w:val="auto"/>
          <w:sz w:val="20"/>
          <w:szCs w:val="20"/>
          <w:lang w:val="pt-PT"/>
        </w:rPr>
        <w:t xml:space="preserve">Gráfico </w:t>
      </w:r>
      <w:r w:rsidRPr="004C626F">
        <w:rPr>
          <w:rFonts w:ascii="Garamond" w:hAnsi="Garamond"/>
          <w:b/>
          <w:bCs/>
          <w:color w:val="auto"/>
          <w:sz w:val="20"/>
          <w:szCs w:val="20"/>
          <w:lang w:val="pt-PT"/>
        </w:rPr>
        <w:fldChar w:fldCharType="begin"/>
      </w:r>
      <w:r w:rsidRPr="004C626F">
        <w:rPr>
          <w:rFonts w:ascii="Garamond" w:hAnsi="Garamond"/>
          <w:b/>
          <w:bCs/>
          <w:color w:val="auto"/>
          <w:sz w:val="20"/>
          <w:szCs w:val="20"/>
          <w:lang w:val="pt-PT"/>
        </w:rPr>
        <w:instrText xml:space="preserve"> SEQ Grafico \* ARABIC </w:instrText>
      </w:r>
      <w:r w:rsidRPr="004C626F">
        <w:rPr>
          <w:rFonts w:ascii="Garamond" w:hAnsi="Garamond"/>
          <w:b/>
          <w:bCs/>
          <w:color w:val="auto"/>
          <w:sz w:val="20"/>
          <w:szCs w:val="20"/>
          <w:lang w:val="pt-PT"/>
        </w:rPr>
        <w:fldChar w:fldCharType="separate"/>
      </w:r>
      <w:r w:rsidR="009F122A">
        <w:rPr>
          <w:rFonts w:ascii="Garamond" w:hAnsi="Garamond"/>
          <w:b/>
          <w:bCs/>
          <w:noProof/>
          <w:color w:val="auto"/>
          <w:sz w:val="20"/>
          <w:szCs w:val="20"/>
          <w:lang w:val="pt-PT"/>
        </w:rPr>
        <w:t>13</w:t>
      </w:r>
      <w:r w:rsidRPr="004C626F">
        <w:rPr>
          <w:rFonts w:ascii="Garamond" w:hAnsi="Garamond"/>
          <w:b/>
          <w:bCs/>
          <w:color w:val="auto"/>
          <w:sz w:val="20"/>
          <w:szCs w:val="20"/>
          <w:lang w:val="pt-PT"/>
        </w:rPr>
        <w:fldChar w:fldCharType="end"/>
      </w:r>
      <w:r w:rsidRPr="00964BF5">
        <w:rPr>
          <w:rFonts w:ascii="Garamond" w:hAnsi="Garamond"/>
          <w:b/>
          <w:bCs/>
          <w:color w:val="auto"/>
          <w:sz w:val="20"/>
          <w:szCs w:val="20"/>
          <w:lang w:val="pt-PT"/>
        </w:rPr>
        <w:t xml:space="preserve"> – </w:t>
      </w:r>
      <w:r>
        <w:rPr>
          <w:rFonts w:ascii="Garamond" w:hAnsi="Garamond"/>
          <w:b/>
          <w:bCs/>
          <w:color w:val="auto"/>
          <w:sz w:val="20"/>
          <w:szCs w:val="20"/>
          <w:lang w:val="pt-PT"/>
        </w:rPr>
        <w:t>Taxa de prevalência da v</w:t>
      </w:r>
      <w:r w:rsidRPr="00964BF5">
        <w:rPr>
          <w:rFonts w:ascii="Garamond" w:hAnsi="Garamond"/>
          <w:b/>
          <w:bCs/>
          <w:color w:val="auto"/>
          <w:sz w:val="20"/>
          <w:szCs w:val="20"/>
          <w:lang w:val="pt-PT"/>
        </w:rPr>
        <w:t>iolência</w:t>
      </w:r>
      <w:r>
        <w:rPr>
          <w:rFonts w:ascii="Garamond" w:hAnsi="Garamond"/>
          <w:b/>
          <w:bCs/>
          <w:color w:val="auto"/>
          <w:sz w:val="20"/>
          <w:szCs w:val="20"/>
          <w:lang w:val="pt-PT"/>
        </w:rPr>
        <w:t xml:space="preserve"> física (qualquer perpetrador) e violência </w:t>
      </w:r>
      <w:r w:rsidRPr="00964BF5">
        <w:rPr>
          <w:rFonts w:ascii="Garamond" w:hAnsi="Garamond"/>
          <w:b/>
          <w:bCs/>
          <w:color w:val="auto"/>
          <w:sz w:val="20"/>
          <w:szCs w:val="20"/>
          <w:lang w:val="pt-PT"/>
        </w:rPr>
        <w:t xml:space="preserve">conjugal </w:t>
      </w:r>
      <w:r>
        <w:rPr>
          <w:rFonts w:ascii="Garamond" w:hAnsi="Garamond"/>
          <w:b/>
          <w:bCs/>
          <w:color w:val="auto"/>
          <w:sz w:val="20"/>
          <w:szCs w:val="20"/>
          <w:lang w:val="pt-PT"/>
        </w:rPr>
        <w:t xml:space="preserve">(emocional, física ou sexual) </w:t>
      </w:r>
      <w:r w:rsidRPr="00964BF5">
        <w:rPr>
          <w:rFonts w:ascii="Garamond" w:hAnsi="Garamond"/>
          <w:b/>
          <w:bCs/>
          <w:color w:val="auto"/>
          <w:sz w:val="20"/>
          <w:szCs w:val="20"/>
          <w:lang w:val="pt-PT"/>
        </w:rPr>
        <w:t xml:space="preserve">por </w:t>
      </w:r>
      <w:r>
        <w:rPr>
          <w:rFonts w:ascii="Garamond" w:hAnsi="Garamond"/>
          <w:b/>
          <w:bCs/>
          <w:color w:val="auto"/>
          <w:sz w:val="20"/>
          <w:szCs w:val="20"/>
          <w:lang w:val="pt-PT"/>
        </w:rPr>
        <w:t>religião da mulher agredida</w:t>
      </w:r>
      <w:r w:rsidRPr="00964BF5">
        <w:rPr>
          <w:rFonts w:ascii="Garamond" w:hAnsi="Garamond"/>
          <w:b/>
          <w:bCs/>
          <w:color w:val="auto"/>
          <w:sz w:val="20"/>
          <w:szCs w:val="20"/>
          <w:lang w:val="pt-PT"/>
        </w:rPr>
        <w:t xml:space="preserve"> (%) </w:t>
      </w:r>
      <w:r>
        <w:rPr>
          <w:rStyle w:val="Refdenotaderodap"/>
          <w:rFonts w:ascii="Garamond" w:hAnsi="Garamond"/>
          <w:b/>
          <w:bCs/>
          <w:color w:val="auto"/>
        </w:rPr>
        <w:footnoteReference w:id="50"/>
      </w:r>
      <w:bookmarkEnd w:id="47"/>
    </w:p>
    <w:p w14:paraId="6F32D82E" w14:textId="77777777" w:rsidR="00541FA6" w:rsidRDefault="00541FA6" w:rsidP="00541FA6">
      <w:pPr>
        <w:jc w:val="both"/>
        <w:rPr>
          <w:rFonts w:ascii="Garamond" w:hAnsi="Garamond"/>
          <w:lang w:val="pt-PT"/>
        </w:rPr>
      </w:pPr>
      <w:r>
        <w:rPr>
          <w:noProof/>
        </w:rPr>
        <w:drawing>
          <wp:inline distT="0" distB="0" distL="0" distR="0" wp14:anchorId="4E9143C5" wp14:editId="1A1ADAEC">
            <wp:extent cx="5400040" cy="1618445"/>
            <wp:effectExtent l="0" t="0" r="0" b="1270"/>
            <wp:docPr id="51" name="Gráfico 51">
              <a:extLst xmlns:a="http://schemas.openxmlformats.org/drawingml/2006/main">
                <a:ext uri="{FF2B5EF4-FFF2-40B4-BE49-F238E27FC236}">
                  <a16:creationId xmlns:a16="http://schemas.microsoft.com/office/drawing/2014/main" id="{D2F93EF3-0A67-45DF-A77D-19ABDC7F6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C9C60BD" w14:textId="77777777" w:rsidR="00541FA6" w:rsidRPr="00964BF5" w:rsidRDefault="00541FA6" w:rsidP="00541FA6">
      <w:pPr>
        <w:spacing w:after="240"/>
        <w:jc w:val="center"/>
        <w:rPr>
          <w:rFonts w:ascii="Garamond" w:hAnsi="Garamond"/>
          <w:b/>
          <w:bCs/>
          <w:sz w:val="20"/>
          <w:szCs w:val="20"/>
          <w:lang w:val="pt-PT"/>
        </w:rPr>
      </w:pPr>
      <w:r w:rsidRPr="00964BF5">
        <w:rPr>
          <w:rFonts w:ascii="Garamond" w:hAnsi="Garamond"/>
          <w:b/>
          <w:bCs/>
          <w:sz w:val="20"/>
          <w:szCs w:val="20"/>
          <w:lang w:val="pt-PT"/>
        </w:rPr>
        <w:t xml:space="preserve">Fonte: elaboração própria com base nos dados do </w:t>
      </w:r>
      <w:proofErr w:type="spellStart"/>
      <w:r w:rsidRPr="00964BF5">
        <w:rPr>
          <w:rFonts w:ascii="Garamond" w:hAnsi="Garamond"/>
          <w:b/>
          <w:bCs/>
          <w:sz w:val="20"/>
          <w:szCs w:val="20"/>
          <w:lang w:val="pt-PT"/>
        </w:rPr>
        <w:t>IDSR</w:t>
      </w:r>
      <w:proofErr w:type="spellEnd"/>
      <w:r w:rsidRPr="00964BF5">
        <w:rPr>
          <w:rFonts w:ascii="Garamond" w:hAnsi="Garamond"/>
          <w:b/>
          <w:bCs/>
          <w:sz w:val="20"/>
          <w:szCs w:val="20"/>
          <w:lang w:val="pt-PT"/>
        </w:rPr>
        <w:t xml:space="preserve"> III (2018) </w:t>
      </w:r>
    </w:p>
    <w:p w14:paraId="6637E83B" w14:textId="77777777" w:rsidR="00541FA6" w:rsidRPr="001B4597" w:rsidRDefault="00541FA6" w:rsidP="00676C64">
      <w:pPr>
        <w:jc w:val="both"/>
        <w:rPr>
          <w:rFonts w:ascii="Garamond" w:hAnsi="Garamond"/>
          <w:lang w:val="pt-PT"/>
        </w:rPr>
      </w:pPr>
      <w:r>
        <w:rPr>
          <w:rFonts w:ascii="Garamond" w:hAnsi="Garamond"/>
          <w:lang w:val="pt-PT"/>
        </w:rPr>
        <w:t xml:space="preserve">Além da diminuição das taxas de violência, em particular entre as gerações mais jovens, </w:t>
      </w:r>
      <w:r w:rsidRPr="001B4597">
        <w:rPr>
          <w:rFonts w:ascii="Garamond" w:hAnsi="Garamond"/>
          <w:lang w:val="pt-PT"/>
        </w:rPr>
        <w:t xml:space="preserve">os resultados </w:t>
      </w:r>
      <w:r>
        <w:rPr>
          <w:rFonts w:ascii="Garamond" w:hAnsi="Garamond"/>
          <w:lang w:val="pt-PT"/>
        </w:rPr>
        <w:t xml:space="preserve">por ilha </w:t>
      </w:r>
      <w:r w:rsidRPr="001B4597">
        <w:rPr>
          <w:rFonts w:ascii="Garamond" w:hAnsi="Garamond"/>
          <w:lang w:val="pt-PT"/>
        </w:rPr>
        <w:t xml:space="preserve">do </w:t>
      </w:r>
      <w:proofErr w:type="spellStart"/>
      <w:r w:rsidRPr="001B4597">
        <w:rPr>
          <w:rFonts w:ascii="Garamond" w:hAnsi="Garamond"/>
          <w:lang w:val="pt-PT"/>
        </w:rPr>
        <w:t>IDRS</w:t>
      </w:r>
      <w:proofErr w:type="spellEnd"/>
      <w:r w:rsidRPr="001B4597">
        <w:rPr>
          <w:rFonts w:ascii="Garamond" w:hAnsi="Garamond"/>
          <w:lang w:val="pt-PT"/>
        </w:rPr>
        <w:t xml:space="preserve"> III </w:t>
      </w:r>
      <w:r>
        <w:rPr>
          <w:rFonts w:ascii="Garamond" w:hAnsi="Garamond"/>
          <w:lang w:val="pt-PT"/>
        </w:rPr>
        <w:t xml:space="preserve">mostram </w:t>
      </w:r>
      <w:r w:rsidRPr="001B4597">
        <w:rPr>
          <w:rFonts w:ascii="Garamond" w:hAnsi="Garamond"/>
          <w:lang w:val="pt-PT"/>
        </w:rPr>
        <w:t xml:space="preserve">situações de combate à </w:t>
      </w:r>
      <w:proofErr w:type="spellStart"/>
      <w:r w:rsidRPr="001B4597">
        <w:rPr>
          <w:rFonts w:ascii="Garamond" w:hAnsi="Garamond"/>
          <w:lang w:val="pt-PT"/>
        </w:rPr>
        <w:t>VBG</w:t>
      </w:r>
      <w:proofErr w:type="spellEnd"/>
      <w:r w:rsidRPr="001B4597">
        <w:rPr>
          <w:rFonts w:ascii="Garamond" w:hAnsi="Garamond"/>
          <w:lang w:val="pt-PT"/>
        </w:rPr>
        <w:t xml:space="preserve"> bem-sucedidas em ilhas/domínios específicos, incluindo no contexto das relações conjugais, </w:t>
      </w:r>
      <w:proofErr w:type="gramStart"/>
      <w:r>
        <w:rPr>
          <w:rFonts w:ascii="Garamond" w:hAnsi="Garamond"/>
          <w:lang w:val="pt-PT"/>
        </w:rPr>
        <w:t xml:space="preserve">comportamentos  </w:t>
      </w:r>
      <w:r w:rsidRPr="001B4597">
        <w:rPr>
          <w:rFonts w:ascii="Garamond" w:hAnsi="Garamond"/>
          <w:lang w:val="pt-PT"/>
        </w:rPr>
        <w:t>que</w:t>
      </w:r>
      <w:proofErr w:type="gramEnd"/>
      <w:r w:rsidRPr="001B4597">
        <w:rPr>
          <w:rFonts w:ascii="Garamond" w:hAnsi="Garamond"/>
          <w:lang w:val="pt-PT"/>
        </w:rPr>
        <w:t xml:space="preserve"> </w:t>
      </w:r>
      <w:r>
        <w:rPr>
          <w:rFonts w:ascii="Garamond" w:hAnsi="Garamond"/>
          <w:lang w:val="pt-PT"/>
        </w:rPr>
        <w:t xml:space="preserve">já </w:t>
      </w:r>
      <w:r w:rsidRPr="001B4597">
        <w:rPr>
          <w:rFonts w:ascii="Garamond" w:hAnsi="Garamond"/>
          <w:lang w:val="pt-PT"/>
        </w:rPr>
        <w:t>vimos são difíceis de mudar. As taxas de prevalência da violência conjugal diminuíram:</w:t>
      </w:r>
    </w:p>
    <w:p w14:paraId="09D51AC5" w14:textId="77777777" w:rsidR="00541FA6" w:rsidRPr="001B4597" w:rsidRDefault="00541FA6" w:rsidP="00541FA6">
      <w:pPr>
        <w:jc w:val="both"/>
        <w:rPr>
          <w:rFonts w:ascii="Garamond" w:hAnsi="Garamond"/>
          <w:lang w:val="pt-PT"/>
        </w:rPr>
      </w:pPr>
      <w:r w:rsidRPr="001B4597">
        <w:rPr>
          <w:rFonts w:ascii="Garamond" w:hAnsi="Garamond"/>
          <w:u w:val="single"/>
          <w:lang w:val="pt-PT"/>
        </w:rPr>
        <w:t>No Fogo</w:t>
      </w:r>
      <w:r w:rsidRPr="001B4597">
        <w:rPr>
          <w:rFonts w:ascii="Garamond" w:hAnsi="Garamond"/>
          <w:lang w:val="pt-PT"/>
        </w:rPr>
        <w:t>:</w:t>
      </w:r>
    </w:p>
    <w:p w14:paraId="4F70AA4B" w14:textId="77777777" w:rsidR="00541FA6" w:rsidRPr="001B4597" w:rsidRDefault="00541FA6" w:rsidP="002A62A2">
      <w:pPr>
        <w:pStyle w:val="PargrafodaLista"/>
        <w:numPr>
          <w:ilvl w:val="0"/>
          <w:numId w:val="78"/>
        </w:numPr>
        <w:spacing w:after="240" w:line="259" w:lineRule="auto"/>
        <w:jc w:val="both"/>
        <w:rPr>
          <w:rFonts w:ascii="Garamond" w:hAnsi="Garamond"/>
          <w:lang w:val="pt-PT"/>
        </w:rPr>
      </w:pPr>
      <w:r w:rsidRPr="001B4597">
        <w:rPr>
          <w:rFonts w:ascii="Garamond" w:hAnsi="Garamond"/>
          <w:lang w:val="pt-PT"/>
        </w:rPr>
        <w:t>Violência emocional, física ou sexual: de 20% para 18%</w:t>
      </w:r>
    </w:p>
    <w:p w14:paraId="3041D7F6" w14:textId="77777777" w:rsidR="00541FA6" w:rsidRPr="001B4597" w:rsidRDefault="00541FA6" w:rsidP="002A62A2">
      <w:pPr>
        <w:pStyle w:val="PargrafodaLista"/>
        <w:numPr>
          <w:ilvl w:val="0"/>
          <w:numId w:val="78"/>
        </w:numPr>
        <w:spacing w:after="240" w:line="259" w:lineRule="auto"/>
        <w:jc w:val="both"/>
        <w:rPr>
          <w:rFonts w:ascii="Garamond" w:hAnsi="Garamond"/>
          <w:lang w:val="pt-PT"/>
        </w:rPr>
      </w:pPr>
      <w:r w:rsidRPr="001B4597">
        <w:rPr>
          <w:rFonts w:ascii="Garamond" w:hAnsi="Garamond"/>
          <w:lang w:val="pt-PT"/>
        </w:rPr>
        <w:t>Violência emocional: de 12,6% para 11%</w:t>
      </w:r>
    </w:p>
    <w:p w14:paraId="5AC033D3" w14:textId="77777777" w:rsidR="00676C64" w:rsidRDefault="00541FA6" w:rsidP="002A62A2">
      <w:pPr>
        <w:pStyle w:val="PargrafodaLista"/>
        <w:numPr>
          <w:ilvl w:val="0"/>
          <w:numId w:val="78"/>
        </w:numPr>
        <w:spacing w:after="240" w:line="259" w:lineRule="auto"/>
        <w:jc w:val="both"/>
        <w:rPr>
          <w:rFonts w:ascii="Garamond" w:hAnsi="Garamond"/>
          <w:lang w:val="pt-PT"/>
        </w:rPr>
      </w:pPr>
      <w:r w:rsidRPr="001B4597">
        <w:rPr>
          <w:rFonts w:ascii="Garamond" w:hAnsi="Garamond"/>
          <w:lang w:val="pt-PT"/>
        </w:rPr>
        <w:t>Violência física: de 15,6% para 10,9%</w:t>
      </w:r>
    </w:p>
    <w:p w14:paraId="461708CA" w14:textId="2C232146" w:rsidR="00541FA6" w:rsidRPr="00676C64" w:rsidRDefault="00541FA6" w:rsidP="002A62A2">
      <w:pPr>
        <w:pStyle w:val="PargrafodaLista"/>
        <w:numPr>
          <w:ilvl w:val="0"/>
          <w:numId w:val="78"/>
        </w:numPr>
        <w:spacing w:line="259" w:lineRule="auto"/>
        <w:ind w:left="357" w:hanging="357"/>
        <w:jc w:val="both"/>
        <w:rPr>
          <w:rFonts w:ascii="Garamond" w:hAnsi="Garamond"/>
          <w:lang w:val="pt-PT"/>
        </w:rPr>
      </w:pPr>
      <w:r w:rsidRPr="00676C64">
        <w:rPr>
          <w:rFonts w:ascii="Garamond" w:hAnsi="Garamond"/>
          <w:lang w:val="pt-PT"/>
        </w:rPr>
        <w:t>Violência sexual: de 4% para 2,7%</w:t>
      </w:r>
    </w:p>
    <w:p w14:paraId="7CB8F5FC" w14:textId="77777777" w:rsidR="00541FA6" w:rsidRPr="001B4597" w:rsidRDefault="00541FA6" w:rsidP="00541FA6">
      <w:pPr>
        <w:jc w:val="both"/>
        <w:rPr>
          <w:rFonts w:ascii="Garamond" w:hAnsi="Garamond"/>
        </w:rPr>
      </w:pPr>
      <w:proofErr w:type="spellStart"/>
      <w:r w:rsidRPr="001B4597">
        <w:rPr>
          <w:rFonts w:ascii="Garamond" w:hAnsi="Garamond"/>
          <w:u w:val="single"/>
        </w:rPr>
        <w:t>Em</w:t>
      </w:r>
      <w:proofErr w:type="spellEnd"/>
      <w:r w:rsidRPr="001B4597">
        <w:rPr>
          <w:rFonts w:ascii="Garamond" w:hAnsi="Garamond"/>
          <w:u w:val="single"/>
        </w:rPr>
        <w:t xml:space="preserve"> Santiago Sul</w:t>
      </w:r>
      <w:r w:rsidRPr="001B4597">
        <w:rPr>
          <w:rFonts w:ascii="Garamond" w:hAnsi="Garamond"/>
        </w:rPr>
        <w:t>:</w:t>
      </w:r>
      <w:r w:rsidRPr="001B4597">
        <w:rPr>
          <w:rStyle w:val="Refdenotaderodap"/>
          <w:rFonts w:ascii="Garamond" w:hAnsi="Garamond"/>
        </w:rPr>
        <w:footnoteReference w:id="51"/>
      </w:r>
    </w:p>
    <w:p w14:paraId="5EC1C51F" w14:textId="77777777" w:rsidR="00541FA6" w:rsidRPr="001B4597" w:rsidRDefault="00541FA6" w:rsidP="002A62A2">
      <w:pPr>
        <w:pStyle w:val="PargrafodaLista"/>
        <w:numPr>
          <w:ilvl w:val="0"/>
          <w:numId w:val="78"/>
        </w:numPr>
        <w:spacing w:after="240" w:line="259" w:lineRule="auto"/>
        <w:jc w:val="both"/>
        <w:rPr>
          <w:rFonts w:ascii="Garamond" w:hAnsi="Garamond"/>
          <w:lang w:val="pt-PT"/>
        </w:rPr>
      </w:pPr>
      <w:r w:rsidRPr="001B4597">
        <w:rPr>
          <w:rFonts w:ascii="Garamond" w:hAnsi="Garamond"/>
          <w:lang w:val="pt-PT"/>
        </w:rPr>
        <w:t>Violência emocional, física ou sexual: de 28% para 22,4%</w:t>
      </w:r>
    </w:p>
    <w:p w14:paraId="4AB42AC6" w14:textId="77777777" w:rsidR="00541FA6" w:rsidRPr="001B4597" w:rsidRDefault="00541FA6" w:rsidP="002A62A2">
      <w:pPr>
        <w:pStyle w:val="PargrafodaLista"/>
        <w:numPr>
          <w:ilvl w:val="0"/>
          <w:numId w:val="78"/>
        </w:numPr>
        <w:spacing w:after="240" w:line="259" w:lineRule="auto"/>
        <w:jc w:val="both"/>
        <w:rPr>
          <w:rFonts w:ascii="Garamond" w:hAnsi="Garamond"/>
        </w:rPr>
      </w:pPr>
      <w:proofErr w:type="spellStart"/>
      <w:r w:rsidRPr="001B4597">
        <w:rPr>
          <w:rFonts w:ascii="Garamond" w:hAnsi="Garamond"/>
        </w:rPr>
        <w:t>Violência</w:t>
      </w:r>
      <w:proofErr w:type="spellEnd"/>
      <w:r w:rsidRPr="001B4597">
        <w:rPr>
          <w:rFonts w:ascii="Garamond" w:hAnsi="Garamond"/>
        </w:rPr>
        <w:t xml:space="preserve"> </w:t>
      </w:r>
      <w:proofErr w:type="spellStart"/>
      <w:r w:rsidRPr="001B4597">
        <w:rPr>
          <w:rFonts w:ascii="Garamond" w:hAnsi="Garamond"/>
        </w:rPr>
        <w:t>emocional</w:t>
      </w:r>
      <w:proofErr w:type="spellEnd"/>
      <w:r w:rsidRPr="001B4597">
        <w:rPr>
          <w:rFonts w:ascii="Garamond" w:hAnsi="Garamond"/>
        </w:rPr>
        <w:t>: de 19,3% para 16,8%</w:t>
      </w:r>
    </w:p>
    <w:p w14:paraId="7CD9D913" w14:textId="77777777" w:rsidR="00541FA6" w:rsidRPr="001B4597" w:rsidRDefault="00541FA6" w:rsidP="002A62A2">
      <w:pPr>
        <w:pStyle w:val="PargrafodaLista"/>
        <w:numPr>
          <w:ilvl w:val="0"/>
          <w:numId w:val="78"/>
        </w:numPr>
        <w:spacing w:after="240" w:line="259" w:lineRule="auto"/>
        <w:jc w:val="both"/>
        <w:rPr>
          <w:rFonts w:ascii="Garamond" w:hAnsi="Garamond"/>
        </w:rPr>
      </w:pPr>
      <w:proofErr w:type="spellStart"/>
      <w:r w:rsidRPr="001B4597">
        <w:rPr>
          <w:rFonts w:ascii="Garamond" w:hAnsi="Garamond"/>
        </w:rPr>
        <w:t>Violência</w:t>
      </w:r>
      <w:proofErr w:type="spellEnd"/>
      <w:r w:rsidRPr="001B4597">
        <w:rPr>
          <w:rFonts w:ascii="Garamond" w:hAnsi="Garamond"/>
        </w:rPr>
        <w:t xml:space="preserve"> </w:t>
      </w:r>
      <w:proofErr w:type="spellStart"/>
      <w:r w:rsidRPr="001B4597">
        <w:rPr>
          <w:rFonts w:ascii="Garamond" w:hAnsi="Garamond"/>
        </w:rPr>
        <w:t>física</w:t>
      </w:r>
      <w:proofErr w:type="spellEnd"/>
      <w:r w:rsidRPr="001B4597">
        <w:rPr>
          <w:rFonts w:ascii="Garamond" w:hAnsi="Garamond"/>
        </w:rPr>
        <w:t>: de 25,2% para 15,7%</w:t>
      </w:r>
    </w:p>
    <w:p w14:paraId="4C69A45D" w14:textId="77777777" w:rsidR="00541FA6" w:rsidRPr="001B4597" w:rsidRDefault="00541FA6" w:rsidP="002A62A2">
      <w:pPr>
        <w:pStyle w:val="PargrafodaLista"/>
        <w:numPr>
          <w:ilvl w:val="0"/>
          <w:numId w:val="78"/>
        </w:numPr>
        <w:spacing w:line="259" w:lineRule="auto"/>
        <w:ind w:left="357" w:hanging="357"/>
        <w:jc w:val="both"/>
        <w:rPr>
          <w:rFonts w:ascii="Garamond" w:hAnsi="Garamond"/>
        </w:rPr>
      </w:pPr>
      <w:proofErr w:type="spellStart"/>
      <w:r w:rsidRPr="001B4597">
        <w:rPr>
          <w:rFonts w:ascii="Garamond" w:hAnsi="Garamond"/>
        </w:rPr>
        <w:t>Violência</w:t>
      </w:r>
      <w:proofErr w:type="spellEnd"/>
      <w:r w:rsidRPr="001B4597">
        <w:rPr>
          <w:rFonts w:ascii="Garamond" w:hAnsi="Garamond"/>
        </w:rPr>
        <w:t xml:space="preserve"> sexual: de 6,7% para 3,6%</w:t>
      </w:r>
    </w:p>
    <w:p w14:paraId="0BD3645F" w14:textId="77777777" w:rsidR="00541FA6" w:rsidRPr="001B4597" w:rsidRDefault="00541FA6" w:rsidP="00541FA6">
      <w:pPr>
        <w:ind w:left="357" w:hanging="357"/>
        <w:contextualSpacing/>
        <w:jc w:val="both"/>
        <w:rPr>
          <w:rFonts w:ascii="Garamond" w:hAnsi="Garamond"/>
        </w:rPr>
      </w:pPr>
      <w:r w:rsidRPr="001B4597">
        <w:rPr>
          <w:rFonts w:ascii="Garamond" w:hAnsi="Garamond"/>
          <w:u w:val="single"/>
        </w:rPr>
        <w:t>No Sal</w:t>
      </w:r>
      <w:r w:rsidRPr="001B4597">
        <w:rPr>
          <w:rFonts w:ascii="Garamond" w:hAnsi="Garamond"/>
        </w:rPr>
        <w:t>:</w:t>
      </w:r>
    </w:p>
    <w:p w14:paraId="47BE4928" w14:textId="77777777" w:rsidR="00541FA6" w:rsidRPr="001B4597" w:rsidRDefault="00541FA6" w:rsidP="002A62A2">
      <w:pPr>
        <w:pStyle w:val="PargrafodaLista"/>
        <w:numPr>
          <w:ilvl w:val="0"/>
          <w:numId w:val="78"/>
        </w:numPr>
        <w:spacing w:after="240" w:line="259" w:lineRule="auto"/>
        <w:jc w:val="both"/>
        <w:rPr>
          <w:rFonts w:ascii="Garamond" w:hAnsi="Garamond"/>
          <w:lang w:val="pt-PT"/>
        </w:rPr>
      </w:pPr>
      <w:r w:rsidRPr="001B4597">
        <w:rPr>
          <w:rFonts w:ascii="Garamond" w:hAnsi="Garamond"/>
          <w:lang w:val="pt-PT"/>
        </w:rPr>
        <w:t>Violência emocional, física ou sexual: de 20% para 18%</w:t>
      </w:r>
    </w:p>
    <w:p w14:paraId="6A0969A8" w14:textId="77777777" w:rsidR="00541FA6" w:rsidRDefault="00541FA6" w:rsidP="002A62A2">
      <w:pPr>
        <w:pStyle w:val="PargrafodaLista"/>
        <w:numPr>
          <w:ilvl w:val="0"/>
          <w:numId w:val="78"/>
        </w:numPr>
        <w:spacing w:after="240" w:line="259" w:lineRule="auto"/>
        <w:jc w:val="both"/>
        <w:rPr>
          <w:rFonts w:ascii="Garamond" w:hAnsi="Garamond"/>
        </w:rPr>
      </w:pPr>
      <w:proofErr w:type="spellStart"/>
      <w:r>
        <w:rPr>
          <w:rFonts w:ascii="Garamond" w:hAnsi="Garamond"/>
        </w:rPr>
        <w:t>V</w:t>
      </w:r>
      <w:r w:rsidRPr="00621EF5">
        <w:rPr>
          <w:rFonts w:ascii="Garamond" w:hAnsi="Garamond"/>
        </w:rPr>
        <w:t>iolência</w:t>
      </w:r>
      <w:proofErr w:type="spellEnd"/>
      <w:r w:rsidRPr="00621EF5">
        <w:rPr>
          <w:rFonts w:ascii="Garamond" w:hAnsi="Garamond"/>
        </w:rPr>
        <w:t xml:space="preserve"> </w:t>
      </w:r>
      <w:proofErr w:type="spellStart"/>
      <w:r>
        <w:rPr>
          <w:rFonts w:ascii="Garamond" w:hAnsi="Garamond"/>
        </w:rPr>
        <w:t>emocional</w:t>
      </w:r>
      <w:proofErr w:type="spellEnd"/>
      <w:r>
        <w:rPr>
          <w:rFonts w:ascii="Garamond" w:hAnsi="Garamond"/>
        </w:rPr>
        <w:t>: de 21,7% para 16,1%</w:t>
      </w:r>
    </w:p>
    <w:p w14:paraId="062741FA" w14:textId="77777777" w:rsidR="00541FA6" w:rsidRPr="00D4124E" w:rsidRDefault="00541FA6" w:rsidP="002A62A2">
      <w:pPr>
        <w:pStyle w:val="PargrafodaLista"/>
        <w:numPr>
          <w:ilvl w:val="0"/>
          <w:numId w:val="78"/>
        </w:numPr>
        <w:spacing w:after="240" w:line="259" w:lineRule="auto"/>
        <w:jc w:val="both"/>
        <w:rPr>
          <w:rFonts w:ascii="Garamond" w:hAnsi="Garamond"/>
          <w:lang w:val="pt-PT"/>
        </w:rPr>
      </w:pPr>
      <w:r w:rsidRPr="00D4124E">
        <w:rPr>
          <w:rFonts w:ascii="Garamond" w:hAnsi="Garamond"/>
          <w:lang w:val="pt-PT"/>
        </w:rPr>
        <w:t xml:space="preserve">Mas regista-se a </w:t>
      </w:r>
      <w:r w:rsidRPr="000C6CB3">
        <w:rPr>
          <w:rFonts w:ascii="Garamond" w:hAnsi="Garamond"/>
          <w:b/>
          <w:bCs/>
          <w:lang w:val="pt-PT"/>
        </w:rPr>
        <w:t>subida dos outros tipos de violência</w:t>
      </w:r>
      <w:r w:rsidRPr="00D4124E">
        <w:rPr>
          <w:rFonts w:ascii="Garamond" w:hAnsi="Garamond"/>
          <w:lang w:val="pt-PT"/>
        </w:rPr>
        <w:t>:</w:t>
      </w:r>
    </w:p>
    <w:p w14:paraId="2B1AD589" w14:textId="77777777" w:rsidR="00541FA6" w:rsidRDefault="00541FA6" w:rsidP="002A62A2">
      <w:pPr>
        <w:pStyle w:val="PargrafodaLista"/>
        <w:numPr>
          <w:ilvl w:val="1"/>
          <w:numId w:val="78"/>
        </w:numPr>
        <w:spacing w:after="240" w:line="259" w:lineRule="auto"/>
        <w:jc w:val="both"/>
        <w:rPr>
          <w:rFonts w:ascii="Garamond" w:hAnsi="Garamond"/>
        </w:rPr>
      </w:pPr>
      <w:proofErr w:type="spellStart"/>
      <w:r>
        <w:rPr>
          <w:rFonts w:ascii="Garamond" w:hAnsi="Garamond"/>
        </w:rPr>
        <w:t>V</w:t>
      </w:r>
      <w:r w:rsidRPr="00621EF5">
        <w:rPr>
          <w:rFonts w:ascii="Garamond" w:hAnsi="Garamond"/>
        </w:rPr>
        <w:t>iolência</w:t>
      </w:r>
      <w:proofErr w:type="spellEnd"/>
      <w:r w:rsidRPr="00621EF5">
        <w:rPr>
          <w:rFonts w:ascii="Garamond" w:hAnsi="Garamond"/>
        </w:rPr>
        <w:t xml:space="preserve"> </w:t>
      </w:r>
      <w:proofErr w:type="spellStart"/>
      <w:r>
        <w:rPr>
          <w:rFonts w:ascii="Garamond" w:hAnsi="Garamond"/>
        </w:rPr>
        <w:t>física</w:t>
      </w:r>
      <w:proofErr w:type="spellEnd"/>
      <w:r>
        <w:rPr>
          <w:rFonts w:ascii="Garamond" w:hAnsi="Garamond"/>
        </w:rPr>
        <w:t>: 15,8% para 19,6%</w:t>
      </w:r>
    </w:p>
    <w:p w14:paraId="3F7EA7B6" w14:textId="77777777" w:rsidR="00541FA6" w:rsidRPr="00D4124E" w:rsidRDefault="00541FA6" w:rsidP="002A62A2">
      <w:pPr>
        <w:pStyle w:val="PargrafodaLista"/>
        <w:numPr>
          <w:ilvl w:val="1"/>
          <w:numId w:val="78"/>
        </w:numPr>
        <w:spacing w:after="120" w:line="259" w:lineRule="auto"/>
        <w:ind w:left="1077" w:hanging="357"/>
        <w:jc w:val="both"/>
        <w:rPr>
          <w:rFonts w:ascii="Garamond" w:hAnsi="Garamond"/>
          <w:lang w:val="pt-PT"/>
        </w:rPr>
      </w:pPr>
      <w:r>
        <w:rPr>
          <w:rFonts w:ascii="Garamond" w:hAnsi="Garamond"/>
          <w:lang w:val="pt-PT"/>
        </w:rPr>
        <w:t>V</w:t>
      </w:r>
      <w:r w:rsidRPr="00D4124E">
        <w:rPr>
          <w:rFonts w:ascii="Garamond" w:hAnsi="Garamond"/>
          <w:lang w:val="pt-PT"/>
        </w:rPr>
        <w:t xml:space="preserve">iolência sexual: de 0% para 7,7%, </w:t>
      </w:r>
      <w:r>
        <w:rPr>
          <w:rFonts w:ascii="Garamond" w:hAnsi="Garamond"/>
          <w:lang w:val="pt-PT"/>
        </w:rPr>
        <w:t>a</w:t>
      </w:r>
      <w:r w:rsidRPr="00D4124E">
        <w:rPr>
          <w:rFonts w:ascii="Garamond" w:hAnsi="Garamond"/>
          <w:lang w:val="pt-PT"/>
        </w:rPr>
        <w:t xml:space="preserve"> taxa </w:t>
      </w:r>
      <w:r>
        <w:rPr>
          <w:rFonts w:ascii="Garamond" w:hAnsi="Garamond"/>
          <w:lang w:val="pt-PT"/>
        </w:rPr>
        <w:t xml:space="preserve">mais alta do país (seguida de perto </w:t>
      </w:r>
      <w:proofErr w:type="spellStart"/>
      <w:r>
        <w:rPr>
          <w:rFonts w:ascii="Garamond" w:hAnsi="Garamond"/>
          <w:lang w:val="pt-PT"/>
        </w:rPr>
        <w:t>pela</w:t>
      </w:r>
      <w:proofErr w:type="spellEnd"/>
      <w:r>
        <w:rPr>
          <w:rFonts w:ascii="Garamond" w:hAnsi="Garamond"/>
          <w:lang w:val="pt-PT"/>
        </w:rPr>
        <w:t xml:space="preserve"> Brava, com 7,2%)</w:t>
      </w:r>
    </w:p>
    <w:p w14:paraId="78F4BAC5" w14:textId="77777777" w:rsidR="00541FA6" w:rsidRPr="00D4124E" w:rsidRDefault="00541FA6" w:rsidP="00541FA6">
      <w:pPr>
        <w:jc w:val="both"/>
        <w:rPr>
          <w:rFonts w:ascii="Garamond" w:hAnsi="Garamond"/>
          <w:lang w:val="pt-PT"/>
        </w:rPr>
      </w:pPr>
      <w:r w:rsidRPr="00D4124E">
        <w:rPr>
          <w:rFonts w:ascii="Garamond" w:hAnsi="Garamond"/>
          <w:lang w:val="pt-PT"/>
        </w:rPr>
        <w:t xml:space="preserve">Por outro lado, as taxas de prevalência aumentaram em São Vicente (13 pontos percentuais), Santiago Norte (3,6 pp) e em Santo Antão (1,3 pp). A subida das taxas de </w:t>
      </w:r>
      <w:r w:rsidRPr="00D4124E">
        <w:rPr>
          <w:rFonts w:ascii="Garamond" w:hAnsi="Garamond"/>
          <w:u w:val="single"/>
          <w:lang w:val="pt-PT"/>
        </w:rPr>
        <w:t>São Vicente</w:t>
      </w:r>
      <w:r w:rsidRPr="00D4124E">
        <w:rPr>
          <w:rFonts w:ascii="Garamond" w:hAnsi="Garamond"/>
          <w:lang w:val="pt-PT"/>
        </w:rPr>
        <w:t xml:space="preserve"> é particularmente preocupante:</w:t>
      </w:r>
    </w:p>
    <w:p w14:paraId="5FAE069C" w14:textId="77777777" w:rsidR="00541FA6" w:rsidRDefault="00541FA6" w:rsidP="002A62A2">
      <w:pPr>
        <w:pStyle w:val="PargrafodaLista"/>
        <w:numPr>
          <w:ilvl w:val="0"/>
          <w:numId w:val="78"/>
        </w:numPr>
        <w:spacing w:after="240" w:line="259" w:lineRule="auto"/>
        <w:jc w:val="both"/>
        <w:rPr>
          <w:rFonts w:ascii="Garamond" w:hAnsi="Garamond"/>
        </w:rPr>
      </w:pPr>
      <w:proofErr w:type="spellStart"/>
      <w:r>
        <w:rPr>
          <w:rFonts w:ascii="Garamond" w:hAnsi="Garamond"/>
        </w:rPr>
        <w:t>V</w:t>
      </w:r>
      <w:r w:rsidRPr="00621EF5">
        <w:rPr>
          <w:rFonts w:ascii="Garamond" w:hAnsi="Garamond"/>
        </w:rPr>
        <w:t>iolência</w:t>
      </w:r>
      <w:proofErr w:type="spellEnd"/>
      <w:r w:rsidRPr="00621EF5">
        <w:rPr>
          <w:rFonts w:ascii="Garamond" w:hAnsi="Garamond"/>
        </w:rPr>
        <w:t xml:space="preserve"> </w:t>
      </w:r>
      <w:proofErr w:type="spellStart"/>
      <w:r>
        <w:rPr>
          <w:rFonts w:ascii="Garamond" w:hAnsi="Garamond"/>
        </w:rPr>
        <w:t>emocional</w:t>
      </w:r>
      <w:proofErr w:type="spellEnd"/>
      <w:r>
        <w:rPr>
          <w:rFonts w:ascii="Garamond" w:hAnsi="Garamond"/>
        </w:rPr>
        <w:t>: de 6,4% para 16,4%</w:t>
      </w:r>
    </w:p>
    <w:p w14:paraId="32407001" w14:textId="77777777" w:rsidR="00541FA6" w:rsidRDefault="00541FA6" w:rsidP="002A62A2">
      <w:pPr>
        <w:pStyle w:val="PargrafodaLista"/>
        <w:numPr>
          <w:ilvl w:val="0"/>
          <w:numId w:val="78"/>
        </w:numPr>
        <w:spacing w:after="240" w:line="259" w:lineRule="auto"/>
        <w:jc w:val="both"/>
        <w:rPr>
          <w:rFonts w:ascii="Garamond" w:hAnsi="Garamond"/>
        </w:rPr>
      </w:pPr>
      <w:proofErr w:type="spellStart"/>
      <w:r>
        <w:rPr>
          <w:rFonts w:ascii="Garamond" w:hAnsi="Garamond"/>
        </w:rPr>
        <w:t>V</w:t>
      </w:r>
      <w:r w:rsidRPr="00621EF5">
        <w:rPr>
          <w:rFonts w:ascii="Garamond" w:hAnsi="Garamond"/>
        </w:rPr>
        <w:t>iolência</w:t>
      </w:r>
      <w:proofErr w:type="spellEnd"/>
      <w:r w:rsidRPr="00621EF5">
        <w:rPr>
          <w:rFonts w:ascii="Garamond" w:hAnsi="Garamond"/>
        </w:rPr>
        <w:t xml:space="preserve"> </w:t>
      </w:r>
      <w:proofErr w:type="spellStart"/>
      <w:r>
        <w:rPr>
          <w:rFonts w:ascii="Garamond" w:hAnsi="Garamond"/>
        </w:rPr>
        <w:t>física</w:t>
      </w:r>
      <w:proofErr w:type="spellEnd"/>
      <w:r>
        <w:rPr>
          <w:rFonts w:ascii="Garamond" w:hAnsi="Garamond"/>
        </w:rPr>
        <w:t>: de 3,1% para 16,5%</w:t>
      </w:r>
    </w:p>
    <w:p w14:paraId="6D15AE54" w14:textId="77777777" w:rsidR="00541FA6" w:rsidRDefault="00541FA6" w:rsidP="002A62A2">
      <w:pPr>
        <w:pStyle w:val="PargrafodaLista"/>
        <w:numPr>
          <w:ilvl w:val="0"/>
          <w:numId w:val="78"/>
        </w:numPr>
        <w:spacing w:line="259" w:lineRule="auto"/>
        <w:ind w:left="357" w:hanging="357"/>
        <w:contextualSpacing w:val="0"/>
        <w:jc w:val="both"/>
        <w:rPr>
          <w:rFonts w:ascii="Garamond" w:hAnsi="Garamond"/>
        </w:rPr>
      </w:pPr>
      <w:proofErr w:type="spellStart"/>
      <w:r>
        <w:rPr>
          <w:rFonts w:ascii="Garamond" w:hAnsi="Garamond"/>
        </w:rPr>
        <w:t>V</w:t>
      </w:r>
      <w:r w:rsidRPr="00621EF5">
        <w:rPr>
          <w:rFonts w:ascii="Garamond" w:hAnsi="Garamond"/>
        </w:rPr>
        <w:t>iolência</w:t>
      </w:r>
      <w:proofErr w:type="spellEnd"/>
      <w:r w:rsidRPr="00621EF5">
        <w:rPr>
          <w:rFonts w:ascii="Garamond" w:hAnsi="Garamond"/>
        </w:rPr>
        <w:t xml:space="preserve"> </w:t>
      </w:r>
      <w:r>
        <w:rPr>
          <w:rFonts w:ascii="Garamond" w:hAnsi="Garamond"/>
        </w:rPr>
        <w:t>sexual: de 0,6% para 3,3%</w:t>
      </w:r>
    </w:p>
    <w:p w14:paraId="73CDAFCB" w14:textId="77777777" w:rsidR="00541FA6" w:rsidRDefault="00541FA6" w:rsidP="00541FA6">
      <w:pPr>
        <w:pStyle w:val="PargrafodaLista"/>
        <w:spacing w:line="259" w:lineRule="auto"/>
        <w:ind w:left="357"/>
        <w:contextualSpacing w:val="0"/>
        <w:jc w:val="both"/>
        <w:rPr>
          <w:rFonts w:ascii="Garamond" w:hAnsi="Garamond"/>
        </w:rPr>
      </w:pPr>
    </w:p>
    <w:p w14:paraId="34DDF283" w14:textId="20D16456" w:rsidR="00541FA6" w:rsidRPr="00D4124E" w:rsidRDefault="00541FA6" w:rsidP="00541FA6">
      <w:pPr>
        <w:pStyle w:val="Legenda"/>
        <w:spacing w:after="0"/>
        <w:jc w:val="center"/>
        <w:rPr>
          <w:rFonts w:ascii="Garamond" w:hAnsi="Garamond"/>
          <w:b/>
          <w:bCs/>
          <w:color w:val="auto"/>
          <w:sz w:val="20"/>
          <w:szCs w:val="20"/>
          <w:lang w:val="pt-PT"/>
        </w:rPr>
      </w:pPr>
      <w:bookmarkStart w:id="48" w:name="_Toc32856868"/>
      <w:r w:rsidRPr="00D4124E">
        <w:rPr>
          <w:rFonts w:ascii="Garamond" w:hAnsi="Garamond"/>
          <w:b/>
          <w:bCs/>
          <w:color w:val="auto"/>
          <w:sz w:val="20"/>
          <w:szCs w:val="20"/>
          <w:lang w:val="pt-PT"/>
        </w:rPr>
        <w:t xml:space="preserve">Gráfico </w:t>
      </w:r>
      <w:r w:rsidRPr="000B5981">
        <w:rPr>
          <w:rFonts w:ascii="Garamond" w:hAnsi="Garamond"/>
          <w:b/>
          <w:bCs/>
          <w:color w:val="auto"/>
          <w:sz w:val="20"/>
          <w:szCs w:val="20"/>
        </w:rPr>
        <w:fldChar w:fldCharType="begin"/>
      </w:r>
      <w:r w:rsidRPr="00D4124E">
        <w:rPr>
          <w:rFonts w:ascii="Garamond" w:hAnsi="Garamond"/>
          <w:b/>
          <w:bCs/>
          <w:color w:val="auto"/>
          <w:sz w:val="20"/>
          <w:szCs w:val="20"/>
          <w:lang w:val="pt-PT"/>
        </w:rPr>
        <w:instrText xml:space="preserve"> SEQ Grafico \* ARABIC </w:instrText>
      </w:r>
      <w:r w:rsidRPr="000B5981">
        <w:rPr>
          <w:rFonts w:ascii="Garamond" w:hAnsi="Garamond"/>
          <w:b/>
          <w:bCs/>
          <w:color w:val="auto"/>
          <w:sz w:val="20"/>
          <w:szCs w:val="20"/>
        </w:rPr>
        <w:fldChar w:fldCharType="separate"/>
      </w:r>
      <w:r w:rsidR="009F122A">
        <w:rPr>
          <w:rFonts w:ascii="Garamond" w:hAnsi="Garamond"/>
          <w:b/>
          <w:bCs/>
          <w:noProof/>
          <w:color w:val="auto"/>
          <w:sz w:val="20"/>
          <w:szCs w:val="20"/>
          <w:lang w:val="pt-PT"/>
        </w:rPr>
        <w:t>14</w:t>
      </w:r>
      <w:r w:rsidRPr="000B5981">
        <w:rPr>
          <w:rFonts w:ascii="Garamond" w:hAnsi="Garamond"/>
          <w:b/>
          <w:bCs/>
          <w:color w:val="auto"/>
          <w:sz w:val="20"/>
          <w:szCs w:val="20"/>
        </w:rPr>
        <w:fldChar w:fldCharType="end"/>
      </w:r>
      <w:r w:rsidRPr="00D4124E">
        <w:rPr>
          <w:rFonts w:ascii="Garamond" w:hAnsi="Garamond"/>
          <w:b/>
          <w:bCs/>
          <w:color w:val="auto"/>
          <w:sz w:val="20"/>
          <w:szCs w:val="20"/>
          <w:lang w:val="pt-PT"/>
        </w:rPr>
        <w:t xml:space="preserve"> – Evolução da prevalência da violência contra a mulher nas relações conjugais (exercida </w:t>
      </w:r>
      <w:proofErr w:type="spellStart"/>
      <w:r w:rsidRPr="00D4124E">
        <w:rPr>
          <w:rFonts w:ascii="Garamond" w:hAnsi="Garamond"/>
          <w:b/>
          <w:bCs/>
          <w:color w:val="auto"/>
          <w:sz w:val="20"/>
          <w:szCs w:val="20"/>
          <w:lang w:val="pt-PT"/>
        </w:rPr>
        <w:t>pelo</w:t>
      </w:r>
      <w:proofErr w:type="spellEnd"/>
      <w:r w:rsidRPr="00D4124E">
        <w:rPr>
          <w:rFonts w:ascii="Garamond" w:hAnsi="Garamond"/>
          <w:b/>
          <w:bCs/>
          <w:color w:val="auto"/>
          <w:sz w:val="20"/>
          <w:szCs w:val="20"/>
          <w:lang w:val="pt-PT"/>
        </w:rPr>
        <w:t xml:space="preserve"> marido/companheiro </w:t>
      </w:r>
      <w:r>
        <w:rPr>
          <w:rFonts w:ascii="Garamond" w:hAnsi="Garamond"/>
          <w:b/>
          <w:bCs/>
          <w:color w:val="auto"/>
          <w:sz w:val="20"/>
          <w:szCs w:val="20"/>
          <w:lang w:val="pt-PT"/>
        </w:rPr>
        <w:t xml:space="preserve">ou </w:t>
      </w:r>
      <w:proofErr w:type="spellStart"/>
      <w:r>
        <w:rPr>
          <w:rFonts w:ascii="Garamond" w:hAnsi="Garamond"/>
          <w:b/>
          <w:bCs/>
          <w:color w:val="auto"/>
          <w:sz w:val="20"/>
          <w:szCs w:val="20"/>
          <w:lang w:val="pt-PT"/>
        </w:rPr>
        <w:t>ex</w:t>
      </w:r>
      <w:proofErr w:type="spellEnd"/>
      <w:r>
        <w:rPr>
          <w:rFonts w:ascii="Garamond" w:hAnsi="Garamond"/>
          <w:b/>
          <w:bCs/>
          <w:color w:val="auto"/>
          <w:sz w:val="20"/>
          <w:szCs w:val="20"/>
          <w:lang w:val="pt-PT"/>
        </w:rPr>
        <w:t>)</w:t>
      </w:r>
      <w:r w:rsidRPr="00D4124E">
        <w:rPr>
          <w:rFonts w:ascii="Garamond" w:hAnsi="Garamond"/>
          <w:b/>
          <w:bCs/>
          <w:color w:val="auto"/>
          <w:sz w:val="20"/>
          <w:szCs w:val="20"/>
          <w:lang w:val="pt-PT"/>
        </w:rPr>
        <w:t xml:space="preserve"> em qualquer momento, por ilha/domínio estudado (%)</w:t>
      </w:r>
      <w:r>
        <w:rPr>
          <w:rFonts w:ascii="Garamond" w:hAnsi="Garamond"/>
          <w:b/>
          <w:bCs/>
          <w:color w:val="auto"/>
          <w:sz w:val="20"/>
          <w:szCs w:val="20"/>
          <w:lang w:val="pt-PT"/>
        </w:rPr>
        <w:t xml:space="preserve"> </w:t>
      </w:r>
      <w:r>
        <w:rPr>
          <w:rStyle w:val="Refdenotaderodap"/>
          <w:rFonts w:ascii="Garamond" w:hAnsi="Garamond"/>
          <w:b/>
          <w:bCs/>
          <w:color w:val="auto"/>
          <w:lang w:val="pt-PT"/>
        </w:rPr>
        <w:footnoteReference w:id="52"/>
      </w:r>
      <w:bookmarkEnd w:id="48"/>
    </w:p>
    <w:p w14:paraId="41AD577E" w14:textId="77777777" w:rsidR="00541FA6" w:rsidRDefault="00541FA6" w:rsidP="00541FA6">
      <w:pPr>
        <w:jc w:val="center"/>
        <w:rPr>
          <w:rFonts w:ascii="Garamond" w:hAnsi="Garamond"/>
        </w:rPr>
      </w:pPr>
      <w:r>
        <w:rPr>
          <w:noProof/>
        </w:rPr>
        <w:drawing>
          <wp:inline distT="0" distB="0" distL="0" distR="0" wp14:anchorId="2DDAB411" wp14:editId="5A644476">
            <wp:extent cx="4726305" cy="1742940"/>
            <wp:effectExtent l="0" t="0" r="0" b="0"/>
            <wp:docPr id="52" name="Gráfico 52">
              <a:extLst xmlns:a="http://schemas.openxmlformats.org/drawingml/2006/main">
                <a:ext uri="{FF2B5EF4-FFF2-40B4-BE49-F238E27FC236}">
                  <a16:creationId xmlns:a16="http://schemas.microsoft.com/office/drawing/2014/main" id="{6E6A4B19-9FE1-434B-BEC3-5DD90D793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20256B0" w14:textId="77777777" w:rsidR="00541FA6" w:rsidRPr="00D4124E" w:rsidRDefault="00541FA6" w:rsidP="00541FA6">
      <w:pPr>
        <w:spacing w:after="240"/>
        <w:jc w:val="center"/>
        <w:rPr>
          <w:rFonts w:ascii="Garamond" w:hAnsi="Garamond"/>
          <w:b/>
          <w:bCs/>
          <w:sz w:val="20"/>
          <w:szCs w:val="20"/>
          <w:lang w:val="pt-PT"/>
        </w:rPr>
      </w:pPr>
      <w:r w:rsidRPr="00D4124E">
        <w:rPr>
          <w:rFonts w:ascii="Garamond" w:hAnsi="Garamond"/>
          <w:b/>
          <w:bCs/>
          <w:sz w:val="20"/>
          <w:szCs w:val="20"/>
          <w:lang w:val="pt-PT"/>
        </w:rPr>
        <w:t xml:space="preserve">Fonte: elaboração própria com base nos dados do </w:t>
      </w:r>
      <w:proofErr w:type="spellStart"/>
      <w:r w:rsidRPr="00D4124E">
        <w:rPr>
          <w:rFonts w:ascii="Garamond" w:hAnsi="Garamond"/>
          <w:b/>
          <w:bCs/>
          <w:sz w:val="20"/>
          <w:szCs w:val="20"/>
          <w:lang w:val="pt-PT"/>
        </w:rPr>
        <w:t>IDSR</w:t>
      </w:r>
      <w:proofErr w:type="spellEnd"/>
      <w:r w:rsidRPr="00D4124E">
        <w:rPr>
          <w:rFonts w:ascii="Garamond" w:hAnsi="Garamond"/>
          <w:b/>
          <w:bCs/>
          <w:sz w:val="20"/>
          <w:szCs w:val="20"/>
          <w:lang w:val="pt-PT"/>
        </w:rPr>
        <w:t xml:space="preserve"> III (2018) </w:t>
      </w:r>
      <w:r>
        <w:rPr>
          <w:rFonts w:ascii="Garamond" w:hAnsi="Garamond"/>
          <w:b/>
          <w:bCs/>
          <w:sz w:val="20"/>
          <w:szCs w:val="20"/>
          <w:lang w:val="pt-PT"/>
        </w:rPr>
        <w:t xml:space="preserve">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1EC47694" w14:textId="77777777" w:rsidR="00541FA6" w:rsidRPr="00A771E2" w:rsidRDefault="00541FA6" w:rsidP="00541FA6">
      <w:pPr>
        <w:jc w:val="both"/>
        <w:rPr>
          <w:rFonts w:ascii="Garamond" w:hAnsi="Garamond"/>
          <w:lang w:val="pt-PT"/>
        </w:rPr>
      </w:pPr>
      <w:r w:rsidRPr="00A771E2">
        <w:rPr>
          <w:rFonts w:ascii="Garamond" w:hAnsi="Garamond"/>
          <w:lang w:val="pt-PT"/>
        </w:rPr>
        <w:t xml:space="preserve">É fundamental identificar </w:t>
      </w:r>
      <w:r>
        <w:rPr>
          <w:rFonts w:ascii="Garamond" w:hAnsi="Garamond"/>
          <w:lang w:val="pt-PT"/>
        </w:rPr>
        <w:t>o</w:t>
      </w:r>
      <w:r w:rsidRPr="00A771E2">
        <w:rPr>
          <w:rFonts w:ascii="Garamond" w:hAnsi="Garamond"/>
          <w:lang w:val="pt-PT"/>
        </w:rPr>
        <w:t xml:space="preserve">s </w:t>
      </w:r>
      <w:proofErr w:type="spellStart"/>
      <w:r w:rsidRPr="00A771E2">
        <w:rPr>
          <w:rFonts w:ascii="Garamond" w:hAnsi="Garamond"/>
          <w:lang w:val="pt-PT"/>
        </w:rPr>
        <w:t>fatores</w:t>
      </w:r>
      <w:proofErr w:type="spellEnd"/>
      <w:r w:rsidRPr="00A771E2">
        <w:rPr>
          <w:rFonts w:ascii="Garamond" w:hAnsi="Garamond"/>
          <w:lang w:val="pt-PT"/>
        </w:rPr>
        <w:t xml:space="preserve"> e boas práticas que estão por de trás das tendências positivas, bem como os </w:t>
      </w:r>
      <w:proofErr w:type="spellStart"/>
      <w:r w:rsidRPr="00A771E2">
        <w:rPr>
          <w:rFonts w:ascii="Garamond" w:hAnsi="Garamond"/>
          <w:lang w:val="pt-PT"/>
        </w:rPr>
        <w:t>fatores</w:t>
      </w:r>
      <w:proofErr w:type="spellEnd"/>
      <w:r w:rsidRPr="00A771E2">
        <w:rPr>
          <w:rFonts w:ascii="Garamond" w:hAnsi="Garamond"/>
          <w:lang w:val="pt-PT"/>
        </w:rPr>
        <w:t xml:space="preserve"> que levam a retrocessos. Com base na </w:t>
      </w:r>
      <w:r w:rsidRPr="00A771E2">
        <w:rPr>
          <w:rFonts w:ascii="Garamond" w:hAnsi="Garamond"/>
          <w:i/>
          <w:iCs/>
          <w:lang w:val="pt-PT"/>
        </w:rPr>
        <w:t xml:space="preserve">Avaliação do Grau de Implementação da Lei </w:t>
      </w:r>
      <w:proofErr w:type="spellStart"/>
      <w:r w:rsidRPr="00A771E2">
        <w:rPr>
          <w:rFonts w:ascii="Garamond" w:hAnsi="Garamond"/>
          <w:i/>
          <w:iCs/>
          <w:lang w:val="pt-PT"/>
        </w:rPr>
        <w:t>VBG</w:t>
      </w:r>
      <w:proofErr w:type="spellEnd"/>
      <w:r w:rsidRPr="00A771E2">
        <w:rPr>
          <w:rFonts w:ascii="Garamond" w:hAnsi="Garamond"/>
          <w:lang w:val="pt-PT"/>
        </w:rPr>
        <w:t xml:space="preserve"> (2017), e na </w:t>
      </w:r>
      <w:r w:rsidRPr="00A771E2">
        <w:rPr>
          <w:rFonts w:ascii="Garamond" w:hAnsi="Garamond"/>
          <w:i/>
          <w:iCs/>
          <w:lang w:val="pt-PT"/>
        </w:rPr>
        <w:t xml:space="preserve">Avaliação do Programa de Reinserção de Homens Condenados por </w:t>
      </w:r>
      <w:proofErr w:type="spellStart"/>
      <w:r w:rsidRPr="00A771E2">
        <w:rPr>
          <w:rFonts w:ascii="Garamond" w:hAnsi="Garamond"/>
          <w:i/>
          <w:iCs/>
          <w:lang w:val="pt-PT"/>
        </w:rPr>
        <w:t>VBG</w:t>
      </w:r>
      <w:proofErr w:type="spellEnd"/>
      <w:r w:rsidRPr="00A771E2">
        <w:rPr>
          <w:rFonts w:ascii="Garamond" w:hAnsi="Garamond"/>
          <w:lang w:val="pt-PT"/>
        </w:rPr>
        <w:t xml:space="preserve"> (2018), podem ser destacados os seguintes </w:t>
      </w:r>
      <w:proofErr w:type="spellStart"/>
      <w:r w:rsidRPr="00A771E2">
        <w:rPr>
          <w:rFonts w:ascii="Garamond" w:hAnsi="Garamond"/>
          <w:lang w:val="pt-PT"/>
        </w:rPr>
        <w:t>aspetos</w:t>
      </w:r>
      <w:proofErr w:type="spellEnd"/>
      <w:r w:rsidRPr="00A771E2">
        <w:rPr>
          <w:rFonts w:ascii="Garamond" w:hAnsi="Garamond"/>
          <w:lang w:val="pt-PT"/>
        </w:rPr>
        <w:t xml:space="preserve">: </w:t>
      </w:r>
    </w:p>
    <w:p w14:paraId="7205E108" w14:textId="77777777" w:rsidR="00541FA6" w:rsidRPr="00A771E2" w:rsidRDefault="00541FA6" w:rsidP="002A62A2">
      <w:pPr>
        <w:pStyle w:val="PargrafodaLista"/>
        <w:numPr>
          <w:ilvl w:val="0"/>
          <w:numId w:val="79"/>
        </w:numPr>
        <w:jc w:val="both"/>
        <w:rPr>
          <w:rFonts w:ascii="Garamond" w:hAnsi="Garamond"/>
          <w:lang w:val="pt-PT"/>
        </w:rPr>
      </w:pPr>
      <w:r w:rsidRPr="00A771E2">
        <w:rPr>
          <w:rFonts w:ascii="Garamond" w:hAnsi="Garamond"/>
          <w:lang w:val="pt-PT"/>
        </w:rPr>
        <w:t xml:space="preserve">26% das pessoas inquiridas confirmam a realização de sessões de sensibilização e divulgação da Lei </w:t>
      </w:r>
      <w:proofErr w:type="spellStart"/>
      <w:r w:rsidRPr="00A771E2">
        <w:rPr>
          <w:rFonts w:ascii="Garamond" w:hAnsi="Garamond"/>
          <w:lang w:val="pt-PT"/>
        </w:rPr>
        <w:t>VBG</w:t>
      </w:r>
      <w:proofErr w:type="spellEnd"/>
      <w:r w:rsidRPr="00A771E2">
        <w:rPr>
          <w:rFonts w:ascii="Garamond" w:hAnsi="Garamond"/>
          <w:lang w:val="pt-PT"/>
        </w:rPr>
        <w:t xml:space="preserve"> nas suas comunidades, o que acontece com 43% das do Fogo e apenas 11% das do Sal e São Vicente.</w:t>
      </w:r>
    </w:p>
    <w:p w14:paraId="6696E4DE" w14:textId="77777777" w:rsidR="00541FA6" w:rsidRPr="00A771E2" w:rsidRDefault="00541FA6" w:rsidP="002A62A2">
      <w:pPr>
        <w:pStyle w:val="PargrafodaLista"/>
        <w:numPr>
          <w:ilvl w:val="0"/>
          <w:numId w:val="79"/>
        </w:numPr>
        <w:spacing w:line="259" w:lineRule="auto"/>
        <w:jc w:val="both"/>
        <w:rPr>
          <w:rFonts w:ascii="Garamond" w:hAnsi="Garamond"/>
          <w:lang w:val="pt-PT"/>
        </w:rPr>
      </w:pPr>
      <w:r w:rsidRPr="00A771E2">
        <w:rPr>
          <w:rFonts w:ascii="Garamond" w:hAnsi="Garamond"/>
          <w:lang w:val="pt-PT"/>
        </w:rPr>
        <w:t>Em São Vicente as sessões de sensibilização não foram consideradas esclarecedoras, enquanto o foram na Praia (70%), interior de Santiago (67%) e Fogo (59%).</w:t>
      </w:r>
    </w:p>
    <w:p w14:paraId="45D70751" w14:textId="77777777" w:rsidR="00541FA6" w:rsidRPr="00A771E2" w:rsidRDefault="00541FA6" w:rsidP="002A62A2">
      <w:pPr>
        <w:pStyle w:val="PargrafodaLista"/>
        <w:numPr>
          <w:ilvl w:val="0"/>
          <w:numId w:val="79"/>
        </w:numPr>
        <w:spacing w:line="259" w:lineRule="auto"/>
        <w:jc w:val="both"/>
        <w:rPr>
          <w:rFonts w:ascii="Garamond" w:hAnsi="Garamond"/>
          <w:lang w:val="pt-PT"/>
        </w:rPr>
      </w:pPr>
      <w:r w:rsidRPr="00A771E2">
        <w:rPr>
          <w:rFonts w:ascii="Garamond" w:hAnsi="Garamond"/>
          <w:lang w:val="pt-PT"/>
        </w:rPr>
        <w:t xml:space="preserve">No Sal, quase metade das pessoas considera a Lei </w:t>
      </w:r>
      <w:proofErr w:type="spellStart"/>
      <w:r w:rsidRPr="00A771E2">
        <w:rPr>
          <w:rFonts w:ascii="Garamond" w:hAnsi="Garamond"/>
          <w:lang w:val="pt-PT"/>
        </w:rPr>
        <w:t>VBG</w:t>
      </w:r>
      <w:proofErr w:type="spellEnd"/>
      <w:r w:rsidRPr="00A771E2">
        <w:rPr>
          <w:rFonts w:ascii="Garamond" w:hAnsi="Garamond"/>
          <w:lang w:val="pt-PT"/>
        </w:rPr>
        <w:t xml:space="preserve"> pouco/nada divulgada versus 42% no Fogo, 41% na Praia, seguidos de perto por São Vicente e interior de Santiago.</w:t>
      </w:r>
    </w:p>
    <w:p w14:paraId="65409321" w14:textId="77777777" w:rsidR="00541FA6" w:rsidRPr="00A771E2" w:rsidRDefault="00541FA6" w:rsidP="002A62A2">
      <w:pPr>
        <w:pStyle w:val="PargrafodaLista"/>
        <w:numPr>
          <w:ilvl w:val="0"/>
          <w:numId w:val="79"/>
        </w:numPr>
        <w:jc w:val="both"/>
        <w:rPr>
          <w:b/>
          <w:bCs/>
          <w:lang w:val="pt-PT"/>
        </w:rPr>
      </w:pPr>
      <w:r w:rsidRPr="00A771E2">
        <w:rPr>
          <w:rFonts w:ascii="Garamond" w:hAnsi="Garamond"/>
          <w:lang w:val="pt-PT"/>
        </w:rPr>
        <w:t xml:space="preserve">Nas ilhas do Fogo, Sal e na Praia Urbana foi implementado o projecto bem-sucedido “Escolas Promotoras da Igualdade”. </w:t>
      </w:r>
    </w:p>
    <w:p w14:paraId="7959379F" w14:textId="77777777" w:rsidR="00541FA6" w:rsidRPr="00A771E2" w:rsidRDefault="00541FA6" w:rsidP="002A62A2">
      <w:pPr>
        <w:pStyle w:val="PargrafodaLista"/>
        <w:numPr>
          <w:ilvl w:val="0"/>
          <w:numId w:val="79"/>
        </w:numPr>
        <w:spacing w:line="259" w:lineRule="auto"/>
        <w:jc w:val="both"/>
        <w:rPr>
          <w:rFonts w:ascii="Garamond" w:hAnsi="Garamond"/>
          <w:lang w:val="pt-PT"/>
        </w:rPr>
      </w:pPr>
      <w:r w:rsidRPr="00A771E2">
        <w:rPr>
          <w:rFonts w:ascii="Garamond" w:hAnsi="Garamond"/>
          <w:lang w:val="pt-PT"/>
        </w:rPr>
        <w:t xml:space="preserve">Os </w:t>
      </w:r>
      <w:proofErr w:type="spellStart"/>
      <w:r w:rsidRPr="00A771E2">
        <w:rPr>
          <w:rFonts w:ascii="Garamond" w:hAnsi="Garamond"/>
          <w:lang w:val="pt-PT"/>
        </w:rPr>
        <w:t>CAV</w:t>
      </w:r>
      <w:proofErr w:type="spellEnd"/>
      <w:r w:rsidRPr="00A771E2">
        <w:rPr>
          <w:rFonts w:ascii="Garamond" w:hAnsi="Garamond"/>
          <w:lang w:val="pt-PT"/>
        </w:rPr>
        <w:t xml:space="preserve"> são mais conhecidos na Praia (57%) e Fogo (53%), e menos conhecidos no Sal (35%) e São Vicente (41%)</w:t>
      </w:r>
    </w:p>
    <w:p w14:paraId="6EB7B868" w14:textId="77777777" w:rsidR="00541FA6" w:rsidRPr="00A771E2" w:rsidRDefault="00541FA6" w:rsidP="002A62A2">
      <w:pPr>
        <w:pStyle w:val="PargrafodaLista"/>
        <w:numPr>
          <w:ilvl w:val="0"/>
          <w:numId w:val="79"/>
        </w:numPr>
        <w:spacing w:after="160" w:line="259" w:lineRule="auto"/>
        <w:jc w:val="both"/>
        <w:rPr>
          <w:rFonts w:ascii="Garamond" w:hAnsi="Garamond" w:cs="Times New Roman"/>
          <w:lang w:val="pt-PT"/>
        </w:rPr>
      </w:pPr>
      <w:bookmarkStart w:id="49" w:name="_Hlk31614290"/>
      <w:r w:rsidRPr="00A771E2">
        <w:rPr>
          <w:rFonts w:ascii="Garamond" w:hAnsi="Garamond" w:cs="Times New Roman"/>
          <w:lang w:val="pt-PT"/>
        </w:rPr>
        <w:t xml:space="preserve">A </w:t>
      </w:r>
      <w:r w:rsidRPr="00A771E2">
        <w:rPr>
          <w:rFonts w:ascii="Garamond" w:hAnsi="Garamond" w:cs="Times New Roman"/>
          <w:lang w:val="pt-PT" w:eastAsia="pt-PT"/>
        </w:rPr>
        <w:t xml:space="preserve">fragilidade dos </w:t>
      </w:r>
      <w:proofErr w:type="spellStart"/>
      <w:r w:rsidRPr="00A771E2">
        <w:rPr>
          <w:rFonts w:ascii="Garamond" w:hAnsi="Garamond" w:cs="Times New Roman"/>
          <w:lang w:val="pt-PT" w:eastAsia="pt-PT"/>
        </w:rPr>
        <w:t>CAV</w:t>
      </w:r>
      <w:proofErr w:type="spellEnd"/>
      <w:r w:rsidRPr="00A771E2">
        <w:rPr>
          <w:rFonts w:ascii="Garamond" w:hAnsi="Garamond" w:cs="Times New Roman"/>
          <w:lang w:val="pt-PT" w:eastAsia="pt-PT"/>
        </w:rPr>
        <w:t xml:space="preserve"> e da Rede Sol</w:t>
      </w:r>
      <w:r>
        <w:rPr>
          <w:rFonts w:ascii="Garamond" w:hAnsi="Garamond" w:cs="Times New Roman"/>
          <w:lang w:val="pt-PT" w:eastAsia="pt-PT"/>
        </w:rPr>
        <w:t xml:space="preserve"> tem posto em causa o efectivo atendimento especializado às vítimas</w:t>
      </w:r>
      <w:r w:rsidRPr="00A771E2">
        <w:rPr>
          <w:rFonts w:ascii="Garamond" w:hAnsi="Garamond" w:cs="Times New Roman"/>
          <w:lang w:val="pt-PT" w:eastAsia="pt-PT"/>
        </w:rPr>
        <w:t>.</w:t>
      </w:r>
    </w:p>
    <w:p w14:paraId="192A727B" w14:textId="77777777" w:rsidR="00541FA6" w:rsidRPr="00A771E2" w:rsidRDefault="00541FA6" w:rsidP="002A62A2">
      <w:pPr>
        <w:pStyle w:val="PargrafodaLista"/>
        <w:numPr>
          <w:ilvl w:val="0"/>
          <w:numId w:val="79"/>
        </w:numPr>
        <w:spacing w:line="259" w:lineRule="auto"/>
        <w:jc w:val="both"/>
        <w:rPr>
          <w:rFonts w:ascii="Garamond" w:hAnsi="Garamond"/>
          <w:lang w:val="pt-PT"/>
        </w:rPr>
      </w:pPr>
      <w:r>
        <w:rPr>
          <w:rFonts w:ascii="Garamond" w:hAnsi="Garamond"/>
          <w:lang w:val="pt-PT"/>
        </w:rPr>
        <w:t xml:space="preserve">No caso dos </w:t>
      </w:r>
      <w:proofErr w:type="spellStart"/>
      <w:r>
        <w:rPr>
          <w:rFonts w:ascii="Garamond" w:hAnsi="Garamond"/>
          <w:lang w:val="pt-PT"/>
        </w:rPr>
        <w:t>GAV</w:t>
      </w:r>
      <w:proofErr w:type="spellEnd"/>
      <w:r>
        <w:rPr>
          <w:rFonts w:ascii="Garamond" w:hAnsi="Garamond"/>
          <w:lang w:val="pt-PT"/>
        </w:rPr>
        <w:t xml:space="preserve">, </w:t>
      </w:r>
      <w:r w:rsidRPr="00A771E2">
        <w:rPr>
          <w:rFonts w:ascii="Garamond" w:hAnsi="Garamond"/>
          <w:lang w:val="pt-PT"/>
        </w:rPr>
        <w:t xml:space="preserve">São Vicente chegou a ter 3, o primeiro instalado com apoio do </w:t>
      </w:r>
      <w:proofErr w:type="spellStart"/>
      <w:r w:rsidRPr="00A771E2">
        <w:rPr>
          <w:rFonts w:ascii="Garamond" w:hAnsi="Garamond"/>
          <w:lang w:val="pt-PT"/>
        </w:rPr>
        <w:t>ICIEG</w:t>
      </w:r>
      <w:proofErr w:type="spellEnd"/>
      <w:r w:rsidRPr="00A771E2">
        <w:rPr>
          <w:rFonts w:ascii="Garamond" w:hAnsi="Garamond"/>
          <w:lang w:val="pt-PT"/>
        </w:rPr>
        <w:t xml:space="preserve">, mas assumido totalmente </w:t>
      </w:r>
      <w:proofErr w:type="spellStart"/>
      <w:r w:rsidRPr="00A771E2">
        <w:rPr>
          <w:rFonts w:ascii="Garamond" w:hAnsi="Garamond"/>
          <w:lang w:val="pt-PT"/>
        </w:rPr>
        <w:t>pelo</w:t>
      </w:r>
      <w:proofErr w:type="spellEnd"/>
      <w:r w:rsidRPr="00A771E2">
        <w:rPr>
          <w:rFonts w:ascii="Garamond" w:hAnsi="Garamond"/>
          <w:lang w:val="pt-PT"/>
        </w:rPr>
        <w:t xml:space="preserve"> Comando Regional de São Vicente, prestando apoio psicológico às vítimas, através de Agentes Policiais da área, contudo conta </w:t>
      </w:r>
      <w:proofErr w:type="spellStart"/>
      <w:r w:rsidRPr="00A771E2">
        <w:rPr>
          <w:rFonts w:ascii="Garamond" w:hAnsi="Garamond"/>
          <w:lang w:val="pt-PT"/>
        </w:rPr>
        <w:t>atualmente</w:t>
      </w:r>
      <w:proofErr w:type="spellEnd"/>
      <w:r w:rsidRPr="00A771E2">
        <w:rPr>
          <w:rFonts w:ascii="Garamond" w:hAnsi="Garamond"/>
          <w:lang w:val="pt-PT"/>
        </w:rPr>
        <w:t xml:space="preserve"> apenas com 1 </w:t>
      </w:r>
      <w:proofErr w:type="spellStart"/>
      <w:r w:rsidRPr="00A771E2">
        <w:rPr>
          <w:rFonts w:ascii="Garamond" w:hAnsi="Garamond"/>
          <w:lang w:val="pt-PT"/>
        </w:rPr>
        <w:t>GAV</w:t>
      </w:r>
      <w:proofErr w:type="spellEnd"/>
      <w:r w:rsidRPr="00A771E2">
        <w:rPr>
          <w:rFonts w:ascii="Garamond" w:hAnsi="Garamond"/>
          <w:lang w:val="pt-PT"/>
        </w:rPr>
        <w:t>, que já não funciona com atendimento multidisciplinar.</w:t>
      </w:r>
    </w:p>
    <w:bookmarkEnd w:id="49"/>
    <w:p w14:paraId="0C76A68A" w14:textId="77777777" w:rsidR="00541FA6" w:rsidRPr="00A771E2" w:rsidRDefault="00541FA6" w:rsidP="002A62A2">
      <w:pPr>
        <w:pStyle w:val="PargrafodaLista"/>
        <w:numPr>
          <w:ilvl w:val="0"/>
          <w:numId w:val="79"/>
        </w:numPr>
        <w:jc w:val="both"/>
        <w:rPr>
          <w:b/>
          <w:bCs/>
          <w:lang w:val="pt-PT"/>
        </w:rPr>
      </w:pPr>
      <w:r w:rsidRPr="00A771E2">
        <w:rPr>
          <w:rFonts w:ascii="Garamond" w:hAnsi="Garamond"/>
          <w:lang w:val="pt-PT"/>
        </w:rPr>
        <w:t>As maiores pendências de processos verificam-se nas Comarcas do Sal, Tarrafal e Santa Catarina (ambos Santigo Norte), Praia e São Vicente.</w:t>
      </w:r>
    </w:p>
    <w:p w14:paraId="3EDFA50B" w14:textId="77777777" w:rsidR="00541FA6" w:rsidRPr="00A771E2" w:rsidRDefault="00541FA6" w:rsidP="002A62A2">
      <w:pPr>
        <w:pStyle w:val="PargrafodaLista"/>
        <w:numPr>
          <w:ilvl w:val="0"/>
          <w:numId w:val="79"/>
        </w:numPr>
        <w:jc w:val="both"/>
        <w:rPr>
          <w:b/>
          <w:bCs/>
          <w:lang w:val="pt-PT"/>
        </w:rPr>
      </w:pPr>
      <w:r w:rsidRPr="00A771E2">
        <w:rPr>
          <w:rFonts w:ascii="Garamond" w:hAnsi="Garamond"/>
          <w:lang w:val="pt-PT"/>
        </w:rPr>
        <w:t xml:space="preserve">A </w:t>
      </w:r>
      <w:proofErr w:type="spellStart"/>
      <w:r w:rsidRPr="00A771E2">
        <w:rPr>
          <w:rFonts w:ascii="Garamond" w:hAnsi="Garamond"/>
          <w:lang w:val="pt-PT"/>
        </w:rPr>
        <w:t>perceção</w:t>
      </w:r>
      <w:proofErr w:type="spellEnd"/>
      <w:r w:rsidRPr="00A771E2">
        <w:rPr>
          <w:rFonts w:ascii="Garamond" w:hAnsi="Garamond"/>
          <w:lang w:val="pt-PT"/>
        </w:rPr>
        <w:t xml:space="preserve"> da punição da </w:t>
      </w:r>
      <w:proofErr w:type="spellStart"/>
      <w:r w:rsidRPr="00A771E2">
        <w:rPr>
          <w:rFonts w:ascii="Garamond" w:hAnsi="Garamond"/>
          <w:lang w:val="pt-PT"/>
        </w:rPr>
        <w:t>VBG</w:t>
      </w:r>
      <w:proofErr w:type="spellEnd"/>
      <w:r w:rsidRPr="00A771E2">
        <w:rPr>
          <w:rFonts w:ascii="Garamond" w:hAnsi="Garamond"/>
          <w:lang w:val="pt-PT"/>
        </w:rPr>
        <w:t xml:space="preserve"> é significativa no Fogo (57%), interior de Santiago (47%), mas de 35% na Praia e Sal, descendo para 17% em São Vicente.</w:t>
      </w:r>
    </w:p>
    <w:p w14:paraId="24CB7795" w14:textId="77777777" w:rsidR="00541FA6" w:rsidRPr="00A771E2" w:rsidRDefault="00541FA6" w:rsidP="002A62A2">
      <w:pPr>
        <w:pStyle w:val="PargrafodaLista"/>
        <w:numPr>
          <w:ilvl w:val="0"/>
          <w:numId w:val="91"/>
        </w:numPr>
        <w:jc w:val="both"/>
        <w:rPr>
          <w:rFonts w:ascii="Garamond" w:hAnsi="Garamond" w:cs="Times New Roman"/>
          <w:lang w:val="pt-PT"/>
        </w:rPr>
      </w:pPr>
      <w:r w:rsidRPr="00A771E2">
        <w:rPr>
          <w:rFonts w:ascii="Garamond" w:hAnsi="Garamond" w:cs="Times New Roman"/>
          <w:lang w:val="pt-PT"/>
        </w:rPr>
        <w:t xml:space="preserve">Em termos de reabilitação de autores de </w:t>
      </w:r>
      <w:proofErr w:type="spellStart"/>
      <w:r w:rsidRPr="00A771E2">
        <w:rPr>
          <w:rFonts w:ascii="Garamond" w:hAnsi="Garamond" w:cs="Times New Roman"/>
          <w:lang w:val="pt-PT"/>
        </w:rPr>
        <w:t>VBG</w:t>
      </w:r>
      <w:proofErr w:type="spellEnd"/>
      <w:r w:rsidRPr="00A771E2">
        <w:rPr>
          <w:rFonts w:ascii="Garamond" w:hAnsi="Garamond" w:cs="Times New Roman"/>
          <w:lang w:val="pt-PT"/>
        </w:rPr>
        <w:t>, as Comarcas com mais grupos realizados desde 2012, são Praia e Fogo</w:t>
      </w:r>
      <w:r>
        <w:rPr>
          <w:rFonts w:ascii="Garamond" w:hAnsi="Garamond" w:cs="Times New Roman"/>
          <w:lang w:val="pt-PT"/>
        </w:rPr>
        <w:t>.</w:t>
      </w:r>
    </w:p>
    <w:p w14:paraId="2CB747C7" w14:textId="77777777" w:rsidR="00541FA6" w:rsidRPr="00A771E2" w:rsidRDefault="00541FA6" w:rsidP="002A62A2">
      <w:pPr>
        <w:pStyle w:val="PargrafodaLista"/>
        <w:numPr>
          <w:ilvl w:val="0"/>
          <w:numId w:val="91"/>
        </w:numPr>
        <w:spacing w:after="160" w:line="259" w:lineRule="auto"/>
        <w:jc w:val="both"/>
        <w:rPr>
          <w:rFonts w:ascii="Garamond" w:hAnsi="Garamond" w:cs="Times New Roman"/>
          <w:lang w:val="pt-PT"/>
        </w:rPr>
      </w:pPr>
      <w:r w:rsidRPr="00A771E2">
        <w:rPr>
          <w:rFonts w:ascii="Garamond" w:eastAsia="Times New Roman" w:hAnsi="Garamond" w:cs="Times New Roman"/>
          <w:lang w:val="pt-PT"/>
        </w:rPr>
        <w:t xml:space="preserve">Na Comarca do Fogo, o Tribunal convoca os facilitadores do Programa no momento da leitura da sentença (permite </w:t>
      </w:r>
      <w:proofErr w:type="spellStart"/>
      <w:r w:rsidRPr="00A771E2">
        <w:rPr>
          <w:rFonts w:ascii="Garamond" w:eastAsia="Times New Roman" w:hAnsi="Garamond" w:cs="Times New Roman"/>
          <w:lang w:val="pt-PT"/>
        </w:rPr>
        <w:t>contato</w:t>
      </w:r>
      <w:proofErr w:type="spellEnd"/>
      <w:r w:rsidRPr="00A771E2">
        <w:rPr>
          <w:rFonts w:ascii="Garamond" w:eastAsia="Times New Roman" w:hAnsi="Garamond" w:cs="Times New Roman"/>
          <w:lang w:val="pt-PT"/>
        </w:rPr>
        <w:t xml:space="preserve"> imediato e marcação da primeira entrevista).</w:t>
      </w:r>
    </w:p>
    <w:p w14:paraId="0E495D0F" w14:textId="77777777" w:rsidR="00541FA6" w:rsidRPr="00527816" w:rsidRDefault="00541FA6" w:rsidP="002A62A2">
      <w:pPr>
        <w:pStyle w:val="PargrafodaLista"/>
        <w:numPr>
          <w:ilvl w:val="0"/>
          <w:numId w:val="91"/>
        </w:numPr>
        <w:spacing w:after="240" w:line="259" w:lineRule="auto"/>
        <w:jc w:val="both"/>
        <w:rPr>
          <w:rFonts w:ascii="Garamond" w:hAnsi="Garamond"/>
          <w:lang w:val="pt-PT"/>
        </w:rPr>
      </w:pPr>
      <w:r w:rsidRPr="00527816">
        <w:rPr>
          <w:rFonts w:ascii="Garamond" w:eastAsia="Times New Roman" w:hAnsi="Garamond" w:cs="Times New Roman"/>
          <w:lang w:val="pt-PT"/>
        </w:rPr>
        <w:t>Na Comarca da Praia há sensibilidade da Procuradoria para a Suspensão Provisória do Processo, condicionad</w:t>
      </w:r>
      <w:r>
        <w:rPr>
          <w:rFonts w:ascii="Garamond" w:eastAsia="Times New Roman" w:hAnsi="Garamond" w:cs="Times New Roman"/>
          <w:lang w:val="pt-PT"/>
        </w:rPr>
        <w:t>a</w:t>
      </w:r>
      <w:r w:rsidRPr="00527816">
        <w:rPr>
          <w:rFonts w:ascii="Garamond" w:eastAsia="Times New Roman" w:hAnsi="Garamond" w:cs="Times New Roman"/>
          <w:lang w:val="pt-PT"/>
        </w:rPr>
        <w:t xml:space="preserve"> ao seguimento do Programa e trabalho comunitário.</w:t>
      </w:r>
    </w:p>
    <w:p w14:paraId="2F83D208" w14:textId="77777777" w:rsidR="00541FA6" w:rsidRPr="00527816" w:rsidRDefault="00541FA6" w:rsidP="002A62A2">
      <w:pPr>
        <w:pStyle w:val="PargrafodaLista"/>
        <w:numPr>
          <w:ilvl w:val="0"/>
          <w:numId w:val="91"/>
        </w:numPr>
        <w:spacing w:after="240" w:line="259" w:lineRule="auto"/>
        <w:jc w:val="both"/>
        <w:rPr>
          <w:rFonts w:ascii="Garamond" w:hAnsi="Garamond"/>
          <w:lang w:val="pt-PT"/>
        </w:rPr>
      </w:pPr>
      <w:r w:rsidRPr="00527816">
        <w:rPr>
          <w:rFonts w:ascii="Garamond" w:eastAsia="Times New Roman" w:hAnsi="Garamond" w:cs="Times New Roman"/>
          <w:lang w:val="pt-PT"/>
        </w:rPr>
        <w:t>Na Comarca do Fogo, a suspensão da pena condicionada à realização de trabalhos a favor da comunidade é também elevada (41 em 46 suspensões de pena), ou seja, medidas de responsabilização do autor visíveis, além das de reabilitação</w:t>
      </w:r>
      <w:r>
        <w:rPr>
          <w:rFonts w:ascii="Garamond" w:eastAsia="Times New Roman" w:hAnsi="Garamond" w:cs="Times New Roman"/>
          <w:lang w:val="pt-PT"/>
        </w:rPr>
        <w:t>.</w:t>
      </w:r>
    </w:p>
    <w:p w14:paraId="6F1D3E9E" w14:textId="77777777" w:rsidR="00541FA6" w:rsidRPr="00527816" w:rsidRDefault="00541FA6" w:rsidP="00541FA6">
      <w:pPr>
        <w:spacing w:after="240" w:line="259" w:lineRule="auto"/>
        <w:jc w:val="both"/>
        <w:rPr>
          <w:rFonts w:ascii="Garamond" w:hAnsi="Garamond"/>
          <w:lang w:val="pt-PT"/>
        </w:rPr>
      </w:pPr>
      <w:r w:rsidRPr="00527816">
        <w:rPr>
          <w:rFonts w:ascii="Garamond" w:hAnsi="Garamond"/>
          <w:lang w:val="pt-PT"/>
        </w:rPr>
        <w:t xml:space="preserve">O </w:t>
      </w:r>
      <w:proofErr w:type="spellStart"/>
      <w:r w:rsidRPr="00527816">
        <w:rPr>
          <w:rFonts w:ascii="Garamond" w:hAnsi="Garamond"/>
          <w:lang w:val="pt-PT"/>
        </w:rPr>
        <w:t>IDSR</w:t>
      </w:r>
      <w:proofErr w:type="spellEnd"/>
      <w:r w:rsidRPr="00527816">
        <w:rPr>
          <w:rFonts w:ascii="Garamond" w:hAnsi="Garamond"/>
          <w:lang w:val="pt-PT"/>
        </w:rPr>
        <w:t xml:space="preserve"> III permitiu por outro lado conhecer as taxas de prevalência da violência contra as mulheres em São Nicolau, Boavista, Maio e Brava, o que não havia sido possível em 2005. No que tange à violência conjugal, as taxas estão acima da média nacional de 20,4% no caso da </w:t>
      </w:r>
      <w:r w:rsidRPr="00527816">
        <w:rPr>
          <w:rFonts w:ascii="Garamond" w:hAnsi="Garamond"/>
          <w:b/>
          <w:bCs/>
          <w:lang w:val="pt-PT"/>
        </w:rPr>
        <w:t>Brava</w:t>
      </w:r>
      <w:r w:rsidRPr="00527816">
        <w:rPr>
          <w:rFonts w:ascii="Garamond" w:hAnsi="Garamond"/>
          <w:lang w:val="pt-PT"/>
        </w:rPr>
        <w:t xml:space="preserve">, onde quase 3 em cada 10 mulheres sofre algum tipo de violência por parte do marido/companheiro (28%) e da Boavista (22,8%). São Nicolau apresenta taxas de prevalência abaixo da média nacional </w:t>
      </w:r>
      <w:proofErr w:type="spellStart"/>
      <w:r w:rsidRPr="00527816">
        <w:rPr>
          <w:rFonts w:ascii="Garamond" w:hAnsi="Garamond"/>
          <w:lang w:val="pt-PT"/>
        </w:rPr>
        <w:t>exceto</w:t>
      </w:r>
      <w:proofErr w:type="spellEnd"/>
      <w:r w:rsidRPr="00527816">
        <w:rPr>
          <w:rFonts w:ascii="Garamond" w:hAnsi="Garamond"/>
          <w:lang w:val="pt-PT"/>
        </w:rPr>
        <w:t xml:space="preserve"> no que tange à violência sexual (5,2% versus 4% a nível nacional).</w:t>
      </w:r>
    </w:p>
    <w:p w14:paraId="4FF818B3" w14:textId="53A3537C" w:rsidR="00541FA6" w:rsidRDefault="00541FA6" w:rsidP="00541FA6">
      <w:pPr>
        <w:spacing w:after="240"/>
        <w:jc w:val="both"/>
        <w:rPr>
          <w:rFonts w:ascii="Garamond" w:hAnsi="Garamond"/>
          <w:lang w:val="pt-PT"/>
        </w:rPr>
      </w:pPr>
      <w:r w:rsidRPr="000C6CB3">
        <w:rPr>
          <w:rFonts w:ascii="Garamond" w:hAnsi="Garamond"/>
          <w:lang w:val="pt-PT"/>
        </w:rPr>
        <w:t xml:space="preserve">Para efeitos de priorização e de seguimento, será importante cada vez mais trabalhar com a taxa de prevalência da violência nos 12 últimos anos, </w:t>
      </w:r>
      <w:proofErr w:type="spellStart"/>
      <w:r w:rsidRPr="000C6CB3">
        <w:rPr>
          <w:rFonts w:ascii="Garamond" w:hAnsi="Garamond"/>
          <w:lang w:val="pt-PT"/>
        </w:rPr>
        <w:t>suscetível</w:t>
      </w:r>
      <w:proofErr w:type="spellEnd"/>
      <w:r w:rsidRPr="000C6CB3">
        <w:rPr>
          <w:rFonts w:ascii="Garamond" w:hAnsi="Garamond"/>
          <w:lang w:val="pt-PT"/>
        </w:rPr>
        <w:t xml:space="preserve"> de segui</w:t>
      </w:r>
      <w:r>
        <w:rPr>
          <w:rFonts w:ascii="Garamond" w:hAnsi="Garamond"/>
          <w:lang w:val="pt-PT"/>
        </w:rPr>
        <w:t xml:space="preserve">r </w:t>
      </w:r>
      <w:r w:rsidRPr="000C6CB3">
        <w:rPr>
          <w:rFonts w:ascii="Garamond" w:hAnsi="Garamond"/>
          <w:lang w:val="pt-PT"/>
        </w:rPr>
        <w:t>as tendências recentes</w:t>
      </w:r>
      <w:r>
        <w:rPr>
          <w:rFonts w:ascii="Garamond" w:hAnsi="Garamond"/>
          <w:lang w:val="pt-PT"/>
        </w:rPr>
        <w:t xml:space="preserve"> (ver gráfico que se segue).</w:t>
      </w:r>
      <w:r>
        <w:rPr>
          <w:rStyle w:val="Refdenotaderodap"/>
          <w:rFonts w:ascii="Garamond" w:hAnsi="Garamond"/>
        </w:rPr>
        <w:footnoteReference w:id="53"/>
      </w:r>
      <w:r w:rsidRPr="000C6CB3">
        <w:rPr>
          <w:rFonts w:ascii="Garamond" w:hAnsi="Garamond"/>
          <w:lang w:val="pt-PT"/>
        </w:rPr>
        <w:t xml:space="preserve"> </w:t>
      </w:r>
    </w:p>
    <w:p w14:paraId="7BD87B0B" w14:textId="66AC1AF6" w:rsidR="00541FA6" w:rsidRPr="000C6CB3" w:rsidRDefault="00541FA6" w:rsidP="00541FA6">
      <w:pPr>
        <w:pStyle w:val="Legenda"/>
        <w:jc w:val="center"/>
        <w:rPr>
          <w:rFonts w:ascii="Garamond" w:hAnsi="Garamond"/>
          <w:b/>
          <w:bCs/>
          <w:color w:val="auto"/>
          <w:sz w:val="20"/>
          <w:szCs w:val="20"/>
          <w:lang w:val="pt-PT"/>
        </w:rPr>
      </w:pPr>
      <w:bookmarkStart w:id="50" w:name="_Toc32856869"/>
      <w:r w:rsidRPr="000C6CB3">
        <w:rPr>
          <w:rFonts w:ascii="Garamond" w:hAnsi="Garamond"/>
          <w:b/>
          <w:bCs/>
          <w:color w:val="auto"/>
          <w:sz w:val="20"/>
          <w:szCs w:val="20"/>
          <w:lang w:val="pt-PT"/>
        </w:rPr>
        <w:t xml:space="preserve">Gráfico </w:t>
      </w:r>
      <w:r w:rsidRPr="009844FE">
        <w:rPr>
          <w:rFonts w:ascii="Garamond" w:hAnsi="Garamond"/>
          <w:b/>
          <w:bCs/>
          <w:color w:val="auto"/>
          <w:sz w:val="20"/>
          <w:szCs w:val="20"/>
          <w:lang w:val="pt-PT"/>
        </w:rPr>
        <w:fldChar w:fldCharType="begin"/>
      </w:r>
      <w:r w:rsidRPr="009844FE">
        <w:rPr>
          <w:rFonts w:ascii="Garamond" w:hAnsi="Garamond"/>
          <w:b/>
          <w:bCs/>
          <w:color w:val="auto"/>
          <w:sz w:val="20"/>
          <w:szCs w:val="20"/>
          <w:lang w:val="pt-PT"/>
        </w:rPr>
        <w:instrText xml:space="preserve"> SEQ Grafico \* ARABIC </w:instrText>
      </w:r>
      <w:r w:rsidRPr="009844FE">
        <w:rPr>
          <w:rFonts w:ascii="Garamond" w:hAnsi="Garamond"/>
          <w:b/>
          <w:bCs/>
          <w:color w:val="auto"/>
          <w:sz w:val="20"/>
          <w:szCs w:val="20"/>
          <w:lang w:val="pt-PT"/>
        </w:rPr>
        <w:fldChar w:fldCharType="separate"/>
      </w:r>
      <w:r w:rsidR="009F122A">
        <w:rPr>
          <w:rFonts w:ascii="Garamond" w:hAnsi="Garamond"/>
          <w:b/>
          <w:bCs/>
          <w:noProof/>
          <w:color w:val="auto"/>
          <w:sz w:val="20"/>
          <w:szCs w:val="20"/>
          <w:lang w:val="pt-PT"/>
        </w:rPr>
        <w:t>15</w:t>
      </w:r>
      <w:r w:rsidRPr="009844FE">
        <w:rPr>
          <w:rFonts w:ascii="Garamond" w:hAnsi="Garamond"/>
          <w:b/>
          <w:bCs/>
          <w:color w:val="auto"/>
          <w:sz w:val="20"/>
          <w:szCs w:val="20"/>
          <w:lang w:val="pt-PT"/>
        </w:rPr>
        <w:fldChar w:fldCharType="end"/>
      </w:r>
      <w:r w:rsidRPr="000C6CB3">
        <w:rPr>
          <w:rFonts w:ascii="Garamond" w:hAnsi="Garamond"/>
          <w:b/>
          <w:bCs/>
          <w:color w:val="auto"/>
          <w:sz w:val="20"/>
          <w:szCs w:val="20"/>
          <w:lang w:val="pt-PT"/>
        </w:rPr>
        <w:t xml:space="preserve"> – </w:t>
      </w:r>
      <w:r>
        <w:rPr>
          <w:rFonts w:ascii="Garamond" w:hAnsi="Garamond"/>
          <w:b/>
          <w:bCs/>
          <w:color w:val="auto"/>
          <w:sz w:val="20"/>
          <w:szCs w:val="20"/>
          <w:lang w:val="pt-PT"/>
        </w:rPr>
        <w:t>P</w:t>
      </w:r>
      <w:r w:rsidRPr="000C6CB3">
        <w:rPr>
          <w:rFonts w:ascii="Garamond" w:hAnsi="Garamond"/>
          <w:b/>
          <w:bCs/>
          <w:color w:val="auto"/>
          <w:sz w:val="20"/>
          <w:szCs w:val="20"/>
          <w:lang w:val="pt-PT"/>
        </w:rPr>
        <w:t xml:space="preserve">revalência da violência contra a mulher nas relações conjugais (exercida </w:t>
      </w:r>
      <w:proofErr w:type="spellStart"/>
      <w:r w:rsidRPr="000C6CB3">
        <w:rPr>
          <w:rFonts w:ascii="Garamond" w:hAnsi="Garamond"/>
          <w:b/>
          <w:bCs/>
          <w:color w:val="auto"/>
          <w:sz w:val="20"/>
          <w:szCs w:val="20"/>
          <w:lang w:val="pt-PT"/>
        </w:rPr>
        <w:t>pelo</w:t>
      </w:r>
      <w:proofErr w:type="spellEnd"/>
      <w:r w:rsidRPr="000C6CB3">
        <w:rPr>
          <w:rFonts w:ascii="Garamond" w:hAnsi="Garamond"/>
          <w:b/>
          <w:bCs/>
          <w:color w:val="auto"/>
          <w:sz w:val="20"/>
          <w:szCs w:val="20"/>
          <w:lang w:val="pt-PT"/>
        </w:rPr>
        <w:t xml:space="preserve"> marido/companheiro </w:t>
      </w:r>
      <w:proofErr w:type="spellStart"/>
      <w:r w:rsidRPr="000C6CB3">
        <w:rPr>
          <w:rFonts w:ascii="Garamond" w:hAnsi="Garamond"/>
          <w:b/>
          <w:bCs/>
          <w:color w:val="auto"/>
          <w:sz w:val="20"/>
          <w:szCs w:val="20"/>
          <w:lang w:val="pt-PT"/>
        </w:rPr>
        <w:t>atual</w:t>
      </w:r>
      <w:proofErr w:type="spellEnd"/>
      <w:r w:rsidRPr="000C6CB3">
        <w:rPr>
          <w:rFonts w:ascii="Garamond" w:hAnsi="Garamond"/>
          <w:b/>
          <w:bCs/>
          <w:color w:val="auto"/>
          <w:sz w:val="20"/>
          <w:szCs w:val="20"/>
          <w:lang w:val="pt-PT"/>
        </w:rPr>
        <w:t xml:space="preserve"> ou anterior) </w:t>
      </w:r>
      <w:r>
        <w:rPr>
          <w:rFonts w:ascii="Garamond" w:hAnsi="Garamond"/>
          <w:b/>
          <w:bCs/>
          <w:color w:val="auto"/>
          <w:sz w:val="20"/>
          <w:szCs w:val="20"/>
          <w:lang w:val="pt-PT"/>
        </w:rPr>
        <w:t>nos últimos 12 meses</w:t>
      </w:r>
      <w:r w:rsidRPr="000C6CB3">
        <w:rPr>
          <w:rFonts w:ascii="Garamond" w:hAnsi="Garamond"/>
          <w:b/>
          <w:bCs/>
          <w:color w:val="auto"/>
          <w:sz w:val="20"/>
          <w:szCs w:val="20"/>
          <w:lang w:val="pt-PT"/>
        </w:rPr>
        <w:t>, por ilha/domínio (%)</w:t>
      </w:r>
      <w:r>
        <w:rPr>
          <w:rFonts w:ascii="Garamond" w:hAnsi="Garamond"/>
          <w:b/>
          <w:bCs/>
          <w:color w:val="auto"/>
          <w:sz w:val="20"/>
          <w:szCs w:val="20"/>
          <w:lang w:val="pt-PT"/>
        </w:rPr>
        <w:t xml:space="preserve"> </w:t>
      </w:r>
      <w:r>
        <w:rPr>
          <w:rStyle w:val="Refdenotaderodap"/>
          <w:rFonts w:ascii="Garamond" w:hAnsi="Garamond"/>
          <w:b/>
          <w:bCs/>
          <w:color w:val="auto"/>
          <w:lang w:val="pt-PT"/>
        </w:rPr>
        <w:footnoteReference w:id="54"/>
      </w:r>
      <w:bookmarkEnd w:id="50"/>
    </w:p>
    <w:p w14:paraId="3AF5440A" w14:textId="77777777" w:rsidR="00541FA6" w:rsidRDefault="00541FA6" w:rsidP="00541FA6">
      <w:pPr>
        <w:ind w:left="-709"/>
        <w:jc w:val="center"/>
        <w:rPr>
          <w:rFonts w:ascii="Garamond" w:hAnsi="Garamond"/>
        </w:rPr>
      </w:pPr>
      <w:r>
        <w:rPr>
          <w:noProof/>
        </w:rPr>
        <w:drawing>
          <wp:inline distT="0" distB="0" distL="0" distR="0" wp14:anchorId="7D1FA4B7" wp14:editId="10A21512">
            <wp:extent cx="6563360" cy="2781837"/>
            <wp:effectExtent l="0" t="0" r="8890" b="0"/>
            <wp:docPr id="53" name="Gráfico 53">
              <a:extLst xmlns:a="http://schemas.openxmlformats.org/drawingml/2006/main">
                <a:ext uri="{FF2B5EF4-FFF2-40B4-BE49-F238E27FC236}">
                  <a16:creationId xmlns:a16="http://schemas.microsoft.com/office/drawing/2014/main" id="{22729422-C5E9-4B7A-B96E-A6C461F15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E4014F6" w14:textId="77777777" w:rsidR="00541FA6" w:rsidRPr="000C6CB3" w:rsidRDefault="00541FA6" w:rsidP="00541FA6">
      <w:pPr>
        <w:spacing w:after="240"/>
        <w:jc w:val="center"/>
        <w:rPr>
          <w:rFonts w:ascii="Garamond" w:hAnsi="Garamond"/>
          <w:b/>
          <w:bCs/>
          <w:sz w:val="20"/>
          <w:szCs w:val="20"/>
          <w:lang w:val="pt-PT"/>
        </w:rPr>
      </w:pPr>
      <w:r w:rsidRPr="000C6CB3">
        <w:rPr>
          <w:rFonts w:ascii="Garamond" w:hAnsi="Garamond"/>
          <w:b/>
          <w:bCs/>
          <w:sz w:val="20"/>
          <w:szCs w:val="20"/>
          <w:lang w:val="pt-PT"/>
        </w:rPr>
        <w:t xml:space="preserve">Fonte: elaboração própria com base nos dados do </w:t>
      </w:r>
      <w:proofErr w:type="spellStart"/>
      <w:r w:rsidRPr="000C6CB3">
        <w:rPr>
          <w:rFonts w:ascii="Garamond" w:hAnsi="Garamond"/>
          <w:b/>
          <w:bCs/>
          <w:sz w:val="20"/>
          <w:szCs w:val="20"/>
          <w:lang w:val="pt-PT"/>
        </w:rPr>
        <w:t>IDSR</w:t>
      </w:r>
      <w:proofErr w:type="spellEnd"/>
      <w:r w:rsidRPr="000C6CB3">
        <w:rPr>
          <w:rFonts w:ascii="Garamond" w:hAnsi="Garamond"/>
          <w:b/>
          <w:bCs/>
          <w:sz w:val="20"/>
          <w:szCs w:val="20"/>
          <w:lang w:val="pt-PT"/>
        </w:rPr>
        <w:t xml:space="preserve"> III (2018) </w:t>
      </w:r>
    </w:p>
    <w:p w14:paraId="2B711FB3" w14:textId="77777777" w:rsidR="00541FA6" w:rsidRPr="00FE0D5F" w:rsidRDefault="00541FA6" w:rsidP="00541FA6">
      <w:pPr>
        <w:jc w:val="both"/>
        <w:rPr>
          <w:rFonts w:ascii="Garamond" w:hAnsi="Garamond"/>
          <w:lang w:val="pt-PT"/>
        </w:rPr>
      </w:pPr>
      <w:r w:rsidRPr="00FE0D5F">
        <w:rPr>
          <w:rFonts w:ascii="Garamond" w:hAnsi="Garamond"/>
          <w:lang w:val="pt-PT"/>
        </w:rPr>
        <w:t xml:space="preserve">É importante notar que se regista uma evolução extremamente positiva na forma como a violência conjugal é percebida, demonstrando o impacto </w:t>
      </w:r>
      <w:r>
        <w:rPr>
          <w:rFonts w:ascii="Garamond" w:hAnsi="Garamond"/>
          <w:lang w:val="pt-PT"/>
        </w:rPr>
        <w:t xml:space="preserve">na sociedade </w:t>
      </w:r>
      <w:r w:rsidRPr="00FE0D5F">
        <w:rPr>
          <w:rFonts w:ascii="Garamond" w:hAnsi="Garamond"/>
          <w:lang w:val="pt-PT"/>
        </w:rPr>
        <w:t>das campanhas e contribuindo para a redução da violência contra a mulher em geral, mesmo que em menor grau no caso da violência conjugal:</w:t>
      </w:r>
    </w:p>
    <w:p w14:paraId="2DD9D318" w14:textId="77777777" w:rsidR="00541FA6" w:rsidRPr="00FE0D5F" w:rsidRDefault="00541FA6" w:rsidP="002A62A2">
      <w:pPr>
        <w:pStyle w:val="PargrafodaLista"/>
        <w:numPr>
          <w:ilvl w:val="0"/>
          <w:numId w:val="80"/>
        </w:numPr>
        <w:spacing w:after="240" w:line="259" w:lineRule="auto"/>
        <w:jc w:val="both"/>
        <w:rPr>
          <w:rFonts w:ascii="Garamond" w:hAnsi="Garamond"/>
          <w:lang w:val="pt-PT"/>
        </w:rPr>
      </w:pPr>
      <w:r w:rsidRPr="00FE0D5F">
        <w:rPr>
          <w:rFonts w:ascii="Garamond" w:hAnsi="Garamond"/>
          <w:lang w:val="pt-PT"/>
        </w:rPr>
        <w:t>Se</w:t>
      </w:r>
      <w:r>
        <w:rPr>
          <w:rFonts w:ascii="Garamond" w:hAnsi="Garamond"/>
          <w:lang w:val="pt-PT"/>
        </w:rPr>
        <w:t xml:space="preserve"> </w:t>
      </w:r>
      <w:r w:rsidRPr="00FE0D5F">
        <w:rPr>
          <w:rFonts w:ascii="Garamond" w:hAnsi="Garamond"/>
          <w:lang w:val="pt-PT"/>
        </w:rPr>
        <w:t xml:space="preserve">em 2005, 17,3% das mulheres e 16,3% dos homens estavam de acordo com </w:t>
      </w:r>
      <w:proofErr w:type="spellStart"/>
      <w:r w:rsidRPr="00FE0D5F">
        <w:rPr>
          <w:rFonts w:ascii="Garamond" w:hAnsi="Garamond"/>
          <w:lang w:val="pt-PT"/>
        </w:rPr>
        <w:t>pelo</w:t>
      </w:r>
      <w:proofErr w:type="spellEnd"/>
      <w:r w:rsidRPr="00FE0D5F">
        <w:rPr>
          <w:rFonts w:ascii="Garamond" w:hAnsi="Garamond"/>
          <w:lang w:val="pt-PT"/>
        </w:rPr>
        <w:t xml:space="preserve"> menos 3 razões que justificavam um </w:t>
      </w:r>
      <w:r>
        <w:rPr>
          <w:rFonts w:ascii="Garamond" w:hAnsi="Garamond"/>
          <w:lang w:val="pt-PT"/>
        </w:rPr>
        <w:t xml:space="preserve">cônjuge </w:t>
      </w:r>
      <w:r w:rsidRPr="00FE0D5F">
        <w:rPr>
          <w:rFonts w:ascii="Garamond" w:hAnsi="Garamond"/>
          <w:lang w:val="pt-PT"/>
        </w:rPr>
        <w:t>bater na mulher/companheira, em 20</w:t>
      </w:r>
      <w:r>
        <w:rPr>
          <w:rFonts w:ascii="Garamond" w:hAnsi="Garamond"/>
          <w:lang w:val="pt-PT"/>
        </w:rPr>
        <w:t>1</w:t>
      </w:r>
      <w:r w:rsidRPr="00FE0D5F">
        <w:rPr>
          <w:rFonts w:ascii="Garamond" w:hAnsi="Garamond"/>
          <w:lang w:val="pt-PT"/>
        </w:rPr>
        <w:t>8 apenas 6,1% das mulheres e 4,5% dos homens têm essa mesma opinião.</w:t>
      </w:r>
      <w:r w:rsidRPr="005C5238">
        <w:rPr>
          <w:rStyle w:val="Refdenotaderodap"/>
          <w:rFonts w:ascii="Garamond" w:hAnsi="Garamond"/>
        </w:rPr>
        <w:footnoteReference w:id="55"/>
      </w:r>
      <w:r w:rsidRPr="00FE0D5F">
        <w:rPr>
          <w:rFonts w:ascii="Garamond" w:hAnsi="Garamond"/>
          <w:lang w:val="pt-PT"/>
        </w:rPr>
        <w:t xml:space="preserve"> </w:t>
      </w:r>
    </w:p>
    <w:p w14:paraId="18841AFC" w14:textId="77777777" w:rsidR="00541FA6" w:rsidRPr="00FE0D5F" w:rsidRDefault="00541FA6" w:rsidP="002A62A2">
      <w:pPr>
        <w:pStyle w:val="PargrafodaLista"/>
        <w:numPr>
          <w:ilvl w:val="0"/>
          <w:numId w:val="80"/>
        </w:numPr>
        <w:spacing w:after="240" w:line="259" w:lineRule="auto"/>
        <w:jc w:val="both"/>
        <w:rPr>
          <w:rFonts w:ascii="Garamond" w:hAnsi="Garamond"/>
          <w:lang w:val="pt-PT"/>
        </w:rPr>
      </w:pPr>
      <w:r w:rsidRPr="00FE0D5F">
        <w:rPr>
          <w:rFonts w:ascii="Garamond" w:hAnsi="Garamond"/>
          <w:lang w:val="pt-PT"/>
        </w:rPr>
        <w:t xml:space="preserve">Em 2005 as mulheres que mais consideravam haver motivos que justificam um cônjuge bater na esposa eram as mulheres rurais (25,8%), sem instrução (20,4%) ou com o ensino básico (22%), sem autonomia económica (sem trabalho remunerado, cerca de 19%) e as mais jovens (22,5% das meninas/mulheres de 15-19 anos). Como mostra o gráfico </w:t>
      </w:r>
      <w:r>
        <w:rPr>
          <w:rFonts w:ascii="Garamond" w:hAnsi="Garamond"/>
          <w:lang w:val="pt-PT"/>
        </w:rPr>
        <w:t>abaixo</w:t>
      </w:r>
      <w:r w:rsidRPr="00FE0D5F">
        <w:rPr>
          <w:rFonts w:ascii="Garamond" w:hAnsi="Garamond"/>
          <w:lang w:val="pt-PT"/>
        </w:rPr>
        <w:t xml:space="preserve">, em 2018, todas estas mulheres têm uma opinião mais </w:t>
      </w:r>
      <w:r>
        <w:rPr>
          <w:rFonts w:ascii="Garamond" w:hAnsi="Garamond"/>
          <w:lang w:val="pt-PT"/>
        </w:rPr>
        <w:t>assertiva</w:t>
      </w:r>
      <w:r w:rsidRPr="00FE0D5F">
        <w:rPr>
          <w:rFonts w:ascii="Garamond" w:hAnsi="Garamond"/>
          <w:lang w:val="pt-PT"/>
        </w:rPr>
        <w:t xml:space="preserve"> sobre a questão e apenas as mulheres rurais (11,9%) e as mulheres sem instrução (16,8%) têm taxas acima da média das mulheres em geral (6,1%).</w:t>
      </w:r>
    </w:p>
    <w:p w14:paraId="1F0BF22B" w14:textId="77777777" w:rsidR="00541FA6" w:rsidRPr="00FE0D5F" w:rsidRDefault="00541FA6" w:rsidP="002A62A2">
      <w:pPr>
        <w:pStyle w:val="PargrafodaLista"/>
        <w:numPr>
          <w:ilvl w:val="0"/>
          <w:numId w:val="80"/>
        </w:numPr>
        <w:spacing w:after="240" w:line="259" w:lineRule="auto"/>
        <w:jc w:val="both"/>
        <w:rPr>
          <w:rFonts w:ascii="Garamond" w:hAnsi="Garamond"/>
          <w:lang w:val="pt-PT"/>
        </w:rPr>
      </w:pPr>
      <w:r w:rsidRPr="00FE0D5F">
        <w:rPr>
          <w:rFonts w:ascii="Garamond" w:hAnsi="Garamond"/>
          <w:lang w:val="pt-PT"/>
        </w:rPr>
        <w:t>No caso das mulheres rurais, o indicador evoluiu positivamente em 13,9 pontos percentuais, o que mostra que também houve impacto das campanhas no meio rural.</w:t>
      </w:r>
    </w:p>
    <w:p w14:paraId="28560D13" w14:textId="77777777" w:rsidR="00541FA6" w:rsidRDefault="00541FA6" w:rsidP="002A62A2">
      <w:pPr>
        <w:pStyle w:val="PargrafodaLista"/>
        <w:numPr>
          <w:ilvl w:val="0"/>
          <w:numId w:val="80"/>
        </w:numPr>
        <w:spacing w:after="240" w:line="259" w:lineRule="auto"/>
        <w:jc w:val="both"/>
        <w:rPr>
          <w:rFonts w:ascii="Garamond" w:hAnsi="Garamond"/>
          <w:lang w:val="pt-PT"/>
        </w:rPr>
      </w:pPr>
      <w:r w:rsidRPr="00FE0D5F">
        <w:rPr>
          <w:rFonts w:ascii="Garamond" w:hAnsi="Garamond"/>
          <w:lang w:val="pt-PT"/>
        </w:rPr>
        <w:t>No caso das mulheres analfabetas, verifica-se uma menor evolução</w:t>
      </w:r>
      <w:r>
        <w:rPr>
          <w:rFonts w:ascii="Garamond" w:hAnsi="Garamond"/>
          <w:lang w:val="pt-PT"/>
        </w:rPr>
        <w:t xml:space="preserve"> (apenas 3,6 pp)</w:t>
      </w:r>
      <w:r w:rsidRPr="00FE0D5F">
        <w:rPr>
          <w:rFonts w:ascii="Garamond" w:hAnsi="Garamond"/>
          <w:lang w:val="pt-PT"/>
        </w:rPr>
        <w:t xml:space="preserve">, o que pode significar que vêm tendo menos acesso a informações e </w:t>
      </w:r>
      <w:proofErr w:type="spellStart"/>
      <w:r w:rsidRPr="00FE0D5F">
        <w:rPr>
          <w:rFonts w:ascii="Garamond" w:hAnsi="Garamond"/>
          <w:lang w:val="pt-PT"/>
        </w:rPr>
        <w:t>ações</w:t>
      </w:r>
      <w:proofErr w:type="spellEnd"/>
      <w:r w:rsidRPr="00FE0D5F">
        <w:rPr>
          <w:rFonts w:ascii="Garamond" w:hAnsi="Garamond"/>
          <w:lang w:val="pt-PT"/>
        </w:rPr>
        <w:t xml:space="preserve"> de sensibilização. Note-se que o analfabetismo </w:t>
      </w:r>
      <w:proofErr w:type="spellStart"/>
      <w:r w:rsidRPr="00FE0D5F">
        <w:rPr>
          <w:rFonts w:ascii="Garamond" w:hAnsi="Garamond"/>
          <w:lang w:val="pt-PT"/>
        </w:rPr>
        <w:t>afeta</w:t>
      </w:r>
      <w:proofErr w:type="spellEnd"/>
      <w:r w:rsidRPr="00FE0D5F">
        <w:rPr>
          <w:rFonts w:ascii="Garamond" w:hAnsi="Garamond"/>
          <w:lang w:val="pt-PT"/>
        </w:rPr>
        <w:t xml:space="preserve"> em particular as mulheres mais velhas.</w:t>
      </w:r>
      <w:r w:rsidRPr="005C5238">
        <w:rPr>
          <w:rStyle w:val="Refdenotaderodap"/>
          <w:rFonts w:ascii="Garamond" w:hAnsi="Garamond"/>
        </w:rPr>
        <w:footnoteReference w:id="56"/>
      </w:r>
      <w:r w:rsidRPr="00FE0D5F">
        <w:rPr>
          <w:rFonts w:ascii="Garamond" w:hAnsi="Garamond"/>
          <w:lang w:val="pt-PT"/>
        </w:rPr>
        <w:t xml:space="preserve">    </w:t>
      </w:r>
    </w:p>
    <w:p w14:paraId="08406740" w14:textId="4DD7BCE1" w:rsidR="00541FA6" w:rsidRPr="009844FE" w:rsidRDefault="00541FA6" w:rsidP="00541FA6">
      <w:pPr>
        <w:pStyle w:val="Legenda"/>
        <w:spacing w:after="0"/>
        <w:jc w:val="center"/>
        <w:rPr>
          <w:rFonts w:ascii="Garamond" w:hAnsi="Garamond"/>
          <w:b/>
          <w:bCs/>
          <w:color w:val="auto"/>
          <w:sz w:val="20"/>
          <w:szCs w:val="20"/>
          <w:lang w:val="pt-PT"/>
        </w:rPr>
      </w:pPr>
      <w:bookmarkStart w:id="51" w:name="_Toc32856870"/>
      <w:r w:rsidRPr="00FE0D5F">
        <w:rPr>
          <w:rFonts w:ascii="Garamond" w:hAnsi="Garamond"/>
          <w:b/>
          <w:bCs/>
          <w:color w:val="auto"/>
          <w:sz w:val="20"/>
          <w:szCs w:val="20"/>
          <w:lang w:val="pt-PT"/>
        </w:rPr>
        <w:t xml:space="preserve">Gráfico </w:t>
      </w:r>
      <w:r w:rsidRPr="005C5238">
        <w:rPr>
          <w:rFonts w:ascii="Garamond" w:hAnsi="Garamond"/>
          <w:b/>
          <w:bCs/>
          <w:color w:val="auto"/>
          <w:sz w:val="20"/>
          <w:szCs w:val="20"/>
        </w:rPr>
        <w:fldChar w:fldCharType="begin"/>
      </w:r>
      <w:r w:rsidRPr="00FE0D5F">
        <w:rPr>
          <w:rFonts w:ascii="Garamond" w:hAnsi="Garamond"/>
          <w:b/>
          <w:bCs/>
          <w:color w:val="auto"/>
          <w:sz w:val="20"/>
          <w:szCs w:val="20"/>
          <w:lang w:val="pt-PT"/>
        </w:rPr>
        <w:instrText xml:space="preserve"> SEQ Grafico \* ARABIC </w:instrText>
      </w:r>
      <w:r w:rsidRPr="005C5238">
        <w:rPr>
          <w:rFonts w:ascii="Garamond" w:hAnsi="Garamond"/>
          <w:b/>
          <w:bCs/>
          <w:color w:val="auto"/>
          <w:sz w:val="20"/>
          <w:szCs w:val="20"/>
        </w:rPr>
        <w:fldChar w:fldCharType="separate"/>
      </w:r>
      <w:r w:rsidR="009F122A">
        <w:rPr>
          <w:rFonts w:ascii="Garamond" w:hAnsi="Garamond"/>
          <w:b/>
          <w:bCs/>
          <w:noProof/>
          <w:color w:val="auto"/>
          <w:sz w:val="20"/>
          <w:szCs w:val="20"/>
          <w:lang w:val="pt-PT"/>
        </w:rPr>
        <w:t>16</w:t>
      </w:r>
      <w:r w:rsidRPr="005C5238">
        <w:rPr>
          <w:rFonts w:ascii="Garamond" w:hAnsi="Garamond"/>
          <w:b/>
          <w:bCs/>
          <w:color w:val="auto"/>
          <w:sz w:val="20"/>
          <w:szCs w:val="20"/>
        </w:rPr>
        <w:fldChar w:fldCharType="end"/>
      </w:r>
      <w:r w:rsidRPr="00FE0D5F">
        <w:rPr>
          <w:rFonts w:ascii="Garamond" w:hAnsi="Garamond"/>
          <w:b/>
          <w:bCs/>
          <w:color w:val="auto"/>
          <w:sz w:val="20"/>
          <w:szCs w:val="20"/>
          <w:lang w:val="pt-PT"/>
        </w:rPr>
        <w:t xml:space="preserve"> - </w:t>
      </w:r>
      <w:r w:rsidRPr="009844FE">
        <w:rPr>
          <w:rFonts w:ascii="Garamond" w:hAnsi="Garamond"/>
          <w:b/>
          <w:bCs/>
          <w:color w:val="auto"/>
          <w:sz w:val="20"/>
          <w:szCs w:val="20"/>
          <w:lang w:val="pt-PT"/>
        </w:rPr>
        <w:t xml:space="preserve">Evolução da proporção de mulheres que concordam com </w:t>
      </w:r>
      <w:proofErr w:type="spellStart"/>
      <w:r w:rsidRPr="009844FE">
        <w:rPr>
          <w:rFonts w:ascii="Garamond" w:hAnsi="Garamond"/>
          <w:b/>
          <w:bCs/>
          <w:color w:val="auto"/>
          <w:sz w:val="20"/>
          <w:szCs w:val="20"/>
          <w:lang w:val="pt-PT"/>
        </w:rPr>
        <w:t>pelo</w:t>
      </w:r>
      <w:proofErr w:type="spellEnd"/>
      <w:r w:rsidRPr="009844FE">
        <w:rPr>
          <w:rFonts w:ascii="Garamond" w:hAnsi="Garamond"/>
          <w:b/>
          <w:bCs/>
          <w:color w:val="auto"/>
          <w:sz w:val="20"/>
          <w:szCs w:val="20"/>
          <w:lang w:val="pt-PT"/>
        </w:rPr>
        <w:t xml:space="preserve"> menos 1 motivo que justifica um marido/companheiro bater na sua mulher/companheira, por características (%)</w:t>
      </w:r>
      <w:bookmarkEnd w:id="51"/>
    </w:p>
    <w:p w14:paraId="29C5B175" w14:textId="77777777" w:rsidR="00541FA6" w:rsidRPr="005C5238" w:rsidRDefault="00541FA6" w:rsidP="00541FA6">
      <w:pPr>
        <w:ind w:left="-284"/>
        <w:jc w:val="both"/>
        <w:rPr>
          <w:rFonts w:ascii="Garamond" w:hAnsi="Garamond"/>
        </w:rPr>
      </w:pPr>
      <w:r w:rsidRPr="005C5238">
        <w:rPr>
          <w:noProof/>
        </w:rPr>
        <w:drawing>
          <wp:inline distT="0" distB="0" distL="0" distR="0" wp14:anchorId="6ED2AB01" wp14:editId="22F746B1">
            <wp:extent cx="5718220" cy="2043430"/>
            <wp:effectExtent l="0" t="0" r="0" b="0"/>
            <wp:docPr id="12" name="Gráfico 12">
              <a:extLst xmlns:a="http://schemas.openxmlformats.org/drawingml/2006/main">
                <a:ext uri="{FF2B5EF4-FFF2-40B4-BE49-F238E27FC236}">
                  <a16:creationId xmlns:a16="http://schemas.microsoft.com/office/drawing/2014/main" id="{D19D7831-F324-4584-BE8C-EA59CA5D63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035999E" w14:textId="77777777" w:rsidR="00541FA6" w:rsidRPr="00FE0D5F" w:rsidRDefault="00541FA6" w:rsidP="00541FA6">
      <w:pPr>
        <w:spacing w:after="240"/>
        <w:jc w:val="center"/>
        <w:rPr>
          <w:rFonts w:ascii="Garamond" w:hAnsi="Garamond"/>
          <w:b/>
          <w:bCs/>
          <w:sz w:val="20"/>
          <w:szCs w:val="20"/>
          <w:lang w:val="pt-PT"/>
        </w:rPr>
      </w:pPr>
      <w:r w:rsidRPr="00FE0D5F">
        <w:rPr>
          <w:rFonts w:ascii="Garamond" w:hAnsi="Garamond"/>
          <w:b/>
          <w:bCs/>
          <w:sz w:val="20"/>
          <w:szCs w:val="20"/>
          <w:lang w:val="pt-PT"/>
        </w:rPr>
        <w:t xml:space="preserve">Fonte: elaboração própria com base nos dados do </w:t>
      </w:r>
      <w:proofErr w:type="spellStart"/>
      <w:r w:rsidRPr="00FE0D5F">
        <w:rPr>
          <w:rFonts w:ascii="Garamond" w:hAnsi="Garamond"/>
          <w:b/>
          <w:bCs/>
          <w:sz w:val="20"/>
          <w:szCs w:val="20"/>
          <w:lang w:val="pt-PT"/>
        </w:rPr>
        <w:t>IDSR</w:t>
      </w:r>
      <w:proofErr w:type="spellEnd"/>
      <w:r w:rsidRPr="00FE0D5F">
        <w:rPr>
          <w:rFonts w:ascii="Garamond" w:hAnsi="Garamond"/>
          <w:b/>
          <w:bCs/>
          <w:sz w:val="20"/>
          <w:szCs w:val="20"/>
          <w:lang w:val="pt-PT"/>
        </w:rPr>
        <w:t xml:space="preserve"> III (2018)</w:t>
      </w:r>
      <w:r>
        <w:rPr>
          <w:rFonts w:ascii="Garamond" w:hAnsi="Garamond"/>
          <w:b/>
          <w:bCs/>
          <w:sz w:val="20"/>
          <w:szCs w:val="20"/>
          <w:lang w:val="pt-PT"/>
        </w:rPr>
        <w:t xml:space="preserve"> 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r w:rsidRPr="00871C6F">
        <w:rPr>
          <w:rFonts w:ascii="Garamond" w:hAnsi="Garamond"/>
          <w:b/>
          <w:bCs/>
          <w:sz w:val="20"/>
          <w:szCs w:val="20"/>
          <w:lang w:val="pt-PT"/>
        </w:rPr>
        <w:t xml:space="preserve"> </w:t>
      </w:r>
      <w:r w:rsidRPr="00FE0D5F">
        <w:rPr>
          <w:rFonts w:ascii="Garamond" w:hAnsi="Garamond"/>
          <w:b/>
          <w:bCs/>
          <w:sz w:val="20"/>
          <w:szCs w:val="20"/>
          <w:lang w:val="pt-PT"/>
        </w:rPr>
        <w:t xml:space="preserve"> </w:t>
      </w:r>
    </w:p>
    <w:p w14:paraId="4352FA25" w14:textId="77777777" w:rsidR="00541FA6" w:rsidRPr="009844FE" w:rsidRDefault="00541FA6" w:rsidP="00541FA6">
      <w:pPr>
        <w:jc w:val="both"/>
        <w:rPr>
          <w:rFonts w:ascii="Garamond" w:hAnsi="Garamond"/>
          <w:lang w:val="pt-PT"/>
        </w:rPr>
      </w:pPr>
      <w:r>
        <w:rPr>
          <w:rFonts w:ascii="Garamond" w:hAnsi="Garamond"/>
          <w:lang w:val="pt-PT"/>
        </w:rPr>
        <w:t xml:space="preserve">Por outro lado, </w:t>
      </w:r>
      <w:r w:rsidRPr="009844FE">
        <w:rPr>
          <w:rFonts w:ascii="Garamond" w:hAnsi="Garamond"/>
          <w:lang w:val="pt-PT"/>
        </w:rPr>
        <w:t>a evolução é notória entre todos os homens, ou seja:</w:t>
      </w:r>
    </w:p>
    <w:p w14:paraId="61533CAC" w14:textId="77777777" w:rsidR="00541FA6" w:rsidRPr="009844FE" w:rsidRDefault="00541FA6" w:rsidP="002A62A2">
      <w:pPr>
        <w:pStyle w:val="PargrafodaLista"/>
        <w:numPr>
          <w:ilvl w:val="0"/>
          <w:numId w:val="82"/>
        </w:numPr>
        <w:spacing w:line="259" w:lineRule="auto"/>
        <w:jc w:val="both"/>
        <w:rPr>
          <w:rFonts w:ascii="Garamond" w:hAnsi="Garamond"/>
          <w:lang w:val="pt-PT"/>
        </w:rPr>
      </w:pPr>
      <w:r w:rsidRPr="009844FE">
        <w:rPr>
          <w:rFonts w:ascii="Garamond" w:hAnsi="Garamond"/>
          <w:lang w:val="pt-PT"/>
        </w:rPr>
        <w:t>Independentemente da sua educação, idade ou meio de residência</w:t>
      </w:r>
    </w:p>
    <w:p w14:paraId="514B8D84" w14:textId="77777777" w:rsidR="00541FA6" w:rsidRDefault="00541FA6" w:rsidP="002A62A2">
      <w:pPr>
        <w:pStyle w:val="PargrafodaLista"/>
        <w:numPr>
          <w:ilvl w:val="0"/>
          <w:numId w:val="82"/>
        </w:numPr>
        <w:spacing w:line="259" w:lineRule="auto"/>
        <w:jc w:val="both"/>
        <w:rPr>
          <w:rFonts w:ascii="Garamond" w:hAnsi="Garamond"/>
          <w:lang w:val="pt-PT"/>
        </w:rPr>
      </w:pPr>
      <w:r w:rsidRPr="009844FE">
        <w:rPr>
          <w:rFonts w:ascii="Garamond" w:hAnsi="Garamond"/>
          <w:lang w:val="pt-PT"/>
        </w:rPr>
        <w:t>Os jovens (15-19 anos) e os homens com menor nível educativo são os que têm proporções mais elevadas, mas sempre abaixo de 1 em cada 10 homens (</w:t>
      </w:r>
      <w:proofErr w:type="spellStart"/>
      <w:r w:rsidRPr="009844FE">
        <w:rPr>
          <w:rFonts w:ascii="Garamond" w:hAnsi="Garamond"/>
          <w:lang w:val="pt-PT"/>
        </w:rPr>
        <w:t>respetivamente</w:t>
      </w:r>
      <w:proofErr w:type="spellEnd"/>
      <w:r w:rsidRPr="009844FE">
        <w:rPr>
          <w:rFonts w:ascii="Garamond" w:hAnsi="Garamond"/>
          <w:lang w:val="pt-PT"/>
        </w:rPr>
        <w:t xml:space="preserve"> 6,3% e 6,6%). </w:t>
      </w:r>
    </w:p>
    <w:p w14:paraId="5A80E488" w14:textId="77777777" w:rsidR="00541FA6" w:rsidRPr="00FE0D5F" w:rsidRDefault="00541FA6" w:rsidP="00541FA6">
      <w:pPr>
        <w:jc w:val="both"/>
        <w:rPr>
          <w:rFonts w:ascii="Garamond" w:hAnsi="Garamond"/>
          <w:lang w:val="pt-PT"/>
        </w:rPr>
      </w:pPr>
    </w:p>
    <w:p w14:paraId="1DCC1E9C" w14:textId="006E8E56" w:rsidR="00541FA6" w:rsidRPr="009844FE" w:rsidRDefault="00541FA6" w:rsidP="00541FA6">
      <w:pPr>
        <w:pStyle w:val="Legenda"/>
        <w:spacing w:after="0"/>
        <w:jc w:val="center"/>
        <w:rPr>
          <w:rFonts w:ascii="Garamond" w:hAnsi="Garamond"/>
          <w:b/>
          <w:bCs/>
          <w:color w:val="auto"/>
          <w:sz w:val="20"/>
          <w:szCs w:val="20"/>
          <w:lang w:val="pt-PT"/>
        </w:rPr>
      </w:pPr>
      <w:bookmarkStart w:id="52" w:name="_Toc32856871"/>
      <w:r w:rsidRPr="00FE0D5F">
        <w:rPr>
          <w:rFonts w:ascii="Garamond" w:hAnsi="Garamond"/>
          <w:b/>
          <w:bCs/>
          <w:color w:val="auto"/>
          <w:sz w:val="20"/>
          <w:szCs w:val="20"/>
          <w:lang w:val="pt-PT"/>
        </w:rPr>
        <w:t xml:space="preserve">Gráfico </w:t>
      </w:r>
      <w:r w:rsidRPr="005C5238">
        <w:rPr>
          <w:rFonts w:ascii="Garamond" w:hAnsi="Garamond"/>
          <w:b/>
          <w:bCs/>
          <w:color w:val="auto"/>
          <w:sz w:val="20"/>
          <w:szCs w:val="20"/>
        </w:rPr>
        <w:fldChar w:fldCharType="begin"/>
      </w:r>
      <w:r w:rsidRPr="00FE0D5F">
        <w:rPr>
          <w:rFonts w:ascii="Garamond" w:hAnsi="Garamond"/>
          <w:b/>
          <w:bCs/>
          <w:color w:val="auto"/>
          <w:sz w:val="20"/>
          <w:szCs w:val="20"/>
          <w:lang w:val="pt-PT"/>
        </w:rPr>
        <w:instrText xml:space="preserve"> SEQ Grafico \* ARABIC </w:instrText>
      </w:r>
      <w:r w:rsidRPr="005C5238">
        <w:rPr>
          <w:rFonts w:ascii="Garamond" w:hAnsi="Garamond"/>
          <w:b/>
          <w:bCs/>
          <w:color w:val="auto"/>
          <w:sz w:val="20"/>
          <w:szCs w:val="20"/>
        </w:rPr>
        <w:fldChar w:fldCharType="separate"/>
      </w:r>
      <w:r w:rsidR="009F122A">
        <w:rPr>
          <w:rFonts w:ascii="Garamond" w:hAnsi="Garamond"/>
          <w:b/>
          <w:bCs/>
          <w:noProof/>
          <w:color w:val="auto"/>
          <w:sz w:val="20"/>
          <w:szCs w:val="20"/>
          <w:lang w:val="pt-PT"/>
        </w:rPr>
        <w:t>17</w:t>
      </w:r>
      <w:r w:rsidRPr="005C5238">
        <w:rPr>
          <w:rFonts w:ascii="Garamond" w:hAnsi="Garamond"/>
          <w:b/>
          <w:bCs/>
          <w:color w:val="auto"/>
          <w:sz w:val="20"/>
          <w:szCs w:val="20"/>
        </w:rPr>
        <w:fldChar w:fldCharType="end"/>
      </w:r>
      <w:r w:rsidRPr="00FE0D5F">
        <w:rPr>
          <w:rFonts w:ascii="Garamond" w:hAnsi="Garamond"/>
          <w:b/>
          <w:bCs/>
          <w:color w:val="auto"/>
          <w:sz w:val="20"/>
          <w:szCs w:val="20"/>
          <w:lang w:val="pt-PT"/>
        </w:rPr>
        <w:t xml:space="preserve"> - </w:t>
      </w:r>
      <w:r w:rsidRPr="009844FE">
        <w:rPr>
          <w:rFonts w:ascii="Garamond" w:hAnsi="Garamond"/>
          <w:b/>
          <w:bCs/>
          <w:color w:val="auto"/>
          <w:sz w:val="20"/>
          <w:szCs w:val="20"/>
          <w:lang w:val="pt-PT"/>
        </w:rPr>
        <w:t xml:space="preserve">Evolução da proporção de homens que concordam com </w:t>
      </w:r>
      <w:proofErr w:type="spellStart"/>
      <w:r w:rsidRPr="009844FE">
        <w:rPr>
          <w:rFonts w:ascii="Garamond" w:hAnsi="Garamond"/>
          <w:b/>
          <w:bCs/>
          <w:color w:val="auto"/>
          <w:sz w:val="20"/>
          <w:szCs w:val="20"/>
          <w:lang w:val="pt-PT"/>
        </w:rPr>
        <w:t>pelo</w:t>
      </w:r>
      <w:proofErr w:type="spellEnd"/>
      <w:r w:rsidRPr="009844FE">
        <w:rPr>
          <w:rFonts w:ascii="Garamond" w:hAnsi="Garamond"/>
          <w:b/>
          <w:bCs/>
          <w:color w:val="auto"/>
          <w:sz w:val="20"/>
          <w:szCs w:val="20"/>
          <w:lang w:val="pt-PT"/>
        </w:rPr>
        <w:t xml:space="preserve"> menos 1 motivo que justifica um marido/companheiro bater na sua mulher/companheira, por características (%)</w:t>
      </w:r>
      <w:bookmarkEnd w:id="52"/>
    </w:p>
    <w:p w14:paraId="3ABEFB0C" w14:textId="77777777" w:rsidR="00541FA6" w:rsidRPr="005C5238" w:rsidRDefault="00541FA6" w:rsidP="00541FA6">
      <w:pPr>
        <w:jc w:val="both"/>
        <w:rPr>
          <w:rFonts w:ascii="Garamond" w:hAnsi="Garamond"/>
        </w:rPr>
      </w:pPr>
      <w:r w:rsidRPr="005C5238">
        <w:rPr>
          <w:noProof/>
        </w:rPr>
        <w:drawing>
          <wp:inline distT="0" distB="0" distL="0" distR="0" wp14:anchorId="035FBB90" wp14:editId="0AAB2CD4">
            <wp:extent cx="5421630" cy="1807336"/>
            <wp:effectExtent l="0" t="0" r="7620" b="2540"/>
            <wp:docPr id="54" name="Gráfico 54">
              <a:extLst xmlns:a="http://schemas.openxmlformats.org/drawingml/2006/main">
                <a:ext uri="{FF2B5EF4-FFF2-40B4-BE49-F238E27FC236}">
                  <a16:creationId xmlns:a16="http://schemas.microsoft.com/office/drawing/2014/main" id="{DD8C6F45-8D63-4B3E-958D-EF1A8DB8F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BB1D3ED" w14:textId="77777777" w:rsidR="00541FA6" w:rsidRPr="00FE0D5F" w:rsidRDefault="00541FA6" w:rsidP="00541FA6">
      <w:pPr>
        <w:spacing w:after="240"/>
        <w:jc w:val="center"/>
        <w:rPr>
          <w:rFonts w:ascii="Garamond" w:hAnsi="Garamond"/>
          <w:b/>
          <w:bCs/>
          <w:sz w:val="20"/>
          <w:szCs w:val="20"/>
          <w:lang w:val="pt-PT"/>
        </w:rPr>
      </w:pPr>
      <w:r w:rsidRPr="00FE0D5F">
        <w:rPr>
          <w:rFonts w:ascii="Garamond" w:hAnsi="Garamond"/>
          <w:b/>
          <w:bCs/>
          <w:sz w:val="20"/>
          <w:szCs w:val="20"/>
          <w:lang w:val="pt-PT"/>
        </w:rPr>
        <w:t xml:space="preserve">Fonte: elaboração própria com base nos dados do </w:t>
      </w:r>
      <w:proofErr w:type="spellStart"/>
      <w:r w:rsidRPr="00FE0D5F">
        <w:rPr>
          <w:rFonts w:ascii="Garamond" w:hAnsi="Garamond"/>
          <w:b/>
          <w:bCs/>
          <w:sz w:val="20"/>
          <w:szCs w:val="20"/>
          <w:lang w:val="pt-PT"/>
        </w:rPr>
        <w:t>IDSR</w:t>
      </w:r>
      <w:proofErr w:type="spellEnd"/>
      <w:r w:rsidRPr="00FE0D5F">
        <w:rPr>
          <w:rFonts w:ascii="Garamond" w:hAnsi="Garamond"/>
          <w:b/>
          <w:bCs/>
          <w:sz w:val="20"/>
          <w:szCs w:val="20"/>
          <w:lang w:val="pt-PT"/>
        </w:rPr>
        <w:t xml:space="preserve"> III (2018) </w:t>
      </w:r>
      <w:r>
        <w:rPr>
          <w:rFonts w:ascii="Garamond" w:hAnsi="Garamond"/>
          <w:b/>
          <w:bCs/>
          <w:sz w:val="20"/>
          <w:szCs w:val="20"/>
          <w:lang w:val="pt-PT"/>
        </w:rPr>
        <w:t xml:space="preserve">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001BF967" w14:textId="77777777" w:rsidR="00541FA6" w:rsidRPr="009844FE" w:rsidRDefault="00541FA6" w:rsidP="00541FA6">
      <w:pPr>
        <w:jc w:val="both"/>
        <w:rPr>
          <w:rFonts w:ascii="Garamond" w:hAnsi="Garamond"/>
          <w:lang w:val="pt-PT"/>
        </w:rPr>
      </w:pPr>
      <w:r w:rsidRPr="009844FE">
        <w:rPr>
          <w:rFonts w:ascii="Garamond" w:hAnsi="Garamond"/>
          <w:lang w:val="pt-PT"/>
        </w:rPr>
        <w:t xml:space="preserve">Analisando a evolução </w:t>
      </w:r>
      <w:r>
        <w:rPr>
          <w:rFonts w:ascii="Garamond" w:hAnsi="Garamond"/>
          <w:lang w:val="pt-PT"/>
        </w:rPr>
        <w:t xml:space="preserve">da </w:t>
      </w:r>
      <w:proofErr w:type="spellStart"/>
      <w:r>
        <w:rPr>
          <w:rFonts w:ascii="Garamond" w:hAnsi="Garamond"/>
          <w:lang w:val="pt-PT"/>
        </w:rPr>
        <w:t>perceção</w:t>
      </w:r>
      <w:proofErr w:type="spellEnd"/>
      <w:r>
        <w:rPr>
          <w:rFonts w:ascii="Garamond" w:hAnsi="Garamond"/>
          <w:lang w:val="pt-PT"/>
        </w:rPr>
        <w:t xml:space="preserve"> da </w:t>
      </w:r>
      <w:r w:rsidRPr="009844FE">
        <w:rPr>
          <w:rFonts w:ascii="Garamond" w:hAnsi="Garamond"/>
          <w:lang w:val="pt-PT"/>
        </w:rPr>
        <w:t>violência conjugal por ilhas/domínios, verifica-se que</w:t>
      </w:r>
      <w:r>
        <w:rPr>
          <w:rFonts w:ascii="Garamond" w:hAnsi="Garamond"/>
          <w:lang w:val="pt-PT"/>
        </w:rPr>
        <w:t xml:space="preserve"> houve um efeito quase generalizado, demonstrando a eficácia das estratégias de </w:t>
      </w:r>
      <w:proofErr w:type="spellStart"/>
      <w:r>
        <w:rPr>
          <w:rFonts w:ascii="Garamond" w:hAnsi="Garamond"/>
          <w:lang w:val="pt-PT"/>
        </w:rPr>
        <w:t>IEC</w:t>
      </w:r>
      <w:proofErr w:type="spellEnd"/>
      <w:r>
        <w:rPr>
          <w:rFonts w:ascii="Garamond" w:hAnsi="Garamond"/>
          <w:lang w:val="pt-PT"/>
        </w:rPr>
        <w:t xml:space="preserve"> e contribuindo para uma sociedade mais esclarecida, seja no caso de homens, ou mulheres</w:t>
      </w:r>
      <w:r w:rsidRPr="009844FE">
        <w:rPr>
          <w:rFonts w:ascii="Garamond" w:hAnsi="Garamond"/>
          <w:lang w:val="pt-PT"/>
        </w:rPr>
        <w:t>:</w:t>
      </w:r>
    </w:p>
    <w:p w14:paraId="4C3B90C6" w14:textId="77777777" w:rsidR="00541FA6" w:rsidRPr="009844FE" w:rsidRDefault="00541FA6" w:rsidP="002A62A2">
      <w:pPr>
        <w:pStyle w:val="PargrafodaLista"/>
        <w:numPr>
          <w:ilvl w:val="0"/>
          <w:numId w:val="81"/>
        </w:numPr>
        <w:spacing w:line="259" w:lineRule="auto"/>
        <w:jc w:val="both"/>
        <w:rPr>
          <w:rFonts w:ascii="Garamond" w:hAnsi="Garamond"/>
          <w:lang w:val="pt-PT"/>
        </w:rPr>
      </w:pPr>
      <w:r w:rsidRPr="009844FE">
        <w:rPr>
          <w:rFonts w:ascii="Garamond" w:hAnsi="Garamond"/>
          <w:lang w:val="pt-PT"/>
        </w:rPr>
        <w:t xml:space="preserve">Houve uma evolução extremamente positiva no caso das mulheres nos vários domínios, mas bem menor em Santiago Norte e no Maio: em 2018 ainda 2 em cada 10 mulheres de Santigo Norte estão de acordo com </w:t>
      </w:r>
      <w:proofErr w:type="spellStart"/>
      <w:r w:rsidRPr="009844FE">
        <w:rPr>
          <w:rFonts w:ascii="Garamond" w:hAnsi="Garamond"/>
          <w:lang w:val="pt-PT"/>
        </w:rPr>
        <w:t>pelo</w:t>
      </w:r>
      <w:proofErr w:type="spellEnd"/>
      <w:r w:rsidRPr="009844FE">
        <w:rPr>
          <w:rFonts w:ascii="Garamond" w:hAnsi="Garamond"/>
          <w:lang w:val="pt-PT"/>
        </w:rPr>
        <w:t xml:space="preserve"> menos 1 motivo que justificam um marido bater na mulher (18,5% versus 23,5% em 2005), enquanto apenas 2,3% dos homens desse domínio têm essa opinião em 2018; e 8,3% das mulheres do Maio (versus 13,3% em 2005), enquanto apenas 0,7% dos homens são dessa opinião.</w:t>
      </w:r>
    </w:p>
    <w:p w14:paraId="242DEA27" w14:textId="77777777" w:rsidR="00541FA6" w:rsidRDefault="00541FA6" w:rsidP="002A62A2">
      <w:pPr>
        <w:pStyle w:val="PargrafodaLista"/>
        <w:numPr>
          <w:ilvl w:val="0"/>
          <w:numId w:val="81"/>
        </w:numPr>
        <w:spacing w:after="240" w:line="259" w:lineRule="auto"/>
        <w:ind w:left="357" w:hanging="357"/>
        <w:jc w:val="both"/>
        <w:rPr>
          <w:rFonts w:ascii="Garamond" w:hAnsi="Garamond"/>
          <w:lang w:val="pt-PT"/>
        </w:rPr>
      </w:pPr>
      <w:r w:rsidRPr="009844FE">
        <w:rPr>
          <w:rFonts w:ascii="Garamond" w:hAnsi="Garamond"/>
          <w:lang w:val="pt-PT"/>
        </w:rPr>
        <w:t>No caso dos homens, as ilhas com maior proporção de homens que considera legítimo o uso da violência física com a mulher continuam a ser a Brava</w:t>
      </w:r>
      <w:r>
        <w:rPr>
          <w:rFonts w:ascii="Garamond" w:hAnsi="Garamond"/>
          <w:lang w:val="pt-PT"/>
        </w:rPr>
        <w:t xml:space="preserve"> (</w:t>
      </w:r>
      <w:r w:rsidRPr="009844FE">
        <w:rPr>
          <w:rFonts w:ascii="Garamond" w:hAnsi="Garamond"/>
          <w:lang w:val="pt-PT"/>
        </w:rPr>
        <w:t>13,9%)</w:t>
      </w:r>
      <w:r>
        <w:rPr>
          <w:rFonts w:ascii="Garamond" w:hAnsi="Garamond"/>
          <w:lang w:val="pt-PT"/>
        </w:rPr>
        <w:t xml:space="preserve"> e o Fogo</w:t>
      </w:r>
      <w:r w:rsidRPr="009844FE">
        <w:rPr>
          <w:rFonts w:ascii="Garamond" w:hAnsi="Garamond"/>
          <w:lang w:val="pt-PT"/>
        </w:rPr>
        <w:t xml:space="preserve"> (11,4% 13,9%) não obstante serem também as ilhas onde se registaram os progressos mais </w:t>
      </w:r>
      <w:r>
        <w:rPr>
          <w:rFonts w:ascii="Garamond" w:hAnsi="Garamond"/>
          <w:lang w:val="pt-PT"/>
        </w:rPr>
        <w:t>significativos</w:t>
      </w:r>
      <w:r w:rsidRPr="009844FE">
        <w:rPr>
          <w:rFonts w:ascii="Garamond" w:hAnsi="Garamond"/>
          <w:lang w:val="pt-PT"/>
        </w:rPr>
        <w:t>: de 3 para 1 em cada 10 homens no Fogo (30,6</w:t>
      </w:r>
      <w:r>
        <w:rPr>
          <w:rFonts w:ascii="Garamond" w:hAnsi="Garamond"/>
          <w:lang w:val="pt-PT"/>
        </w:rPr>
        <w:t>%</w:t>
      </w:r>
      <w:r w:rsidRPr="009844FE">
        <w:rPr>
          <w:rFonts w:ascii="Garamond" w:hAnsi="Garamond"/>
          <w:lang w:val="pt-PT"/>
        </w:rPr>
        <w:t xml:space="preserve"> em 2005) e de 1 em cada 2 homens para pouco mais de 1 em cada 10 na Brava (49,2%</w:t>
      </w:r>
      <w:r>
        <w:rPr>
          <w:rFonts w:ascii="Garamond" w:hAnsi="Garamond"/>
          <w:lang w:val="pt-PT"/>
        </w:rPr>
        <w:t xml:space="preserve"> em 2005</w:t>
      </w:r>
      <w:r w:rsidRPr="009844FE">
        <w:rPr>
          <w:rFonts w:ascii="Garamond" w:hAnsi="Garamond"/>
          <w:lang w:val="pt-PT"/>
        </w:rPr>
        <w:t xml:space="preserve">). </w:t>
      </w:r>
    </w:p>
    <w:p w14:paraId="107CA373" w14:textId="77777777" w:rsidR="00541FA6" w:rsidRPr="009844FE" w:rsidRDefault="00541FA6" w:rsidP="002A62A2">
      <w:pPr>
        <w:pStyle w:val="PargrafodaLista"/>
        <w:numPr>
          <w:ilvl w:val="0"/>
          <w:numId w:val="81"/>
        </w:numPr>
        <w:spacing w:after="240" w:line="259" w:lineRule="auto"/>
        <w:ind w:left="357" w:hanging="357"/>
        <w:jc w:val="both"/>
        <w:rPr>
          <w:rFonts w:ascii="Garamond" w:hAnsi="Garamond"/>
          <w:lang w:val="pt-PT"/>
        </w:rPr>
      </w:pPr>
      <w:r>
        <w:rPr>
          <w:rFonts w:ascii="Garamond" w:hAnsi="Garamond"/>
          <w:lang w:val="pt-PT"/>
        </w:rPr>
        <w:t>Os progressos são também notórios no Maio, Santiago Norte e Santiago Sul.</w:t>
      </w:r>
    </w:p>
    <w:p w14:paraId="18973EFB" w14:textId="05DA4BF0" w:rsidR="00541FA6" w:rsidRPr="009844FE" w:rsidRDefault="00541FA6" w:rsidP="00541FA6">
      <w:pPr>
        <w:pStyle w:val="Legenda"/>
        <w:spacing w:after="0"/>
        <w:jc w:val="center"/>
        <w:rPr>
          <w:rFonts w:ascii="Garamond" w:hAnsi="Garamond"/>
          <w:b/>
          <w:bCs/>
          <w:color w:val="auto"/>
          <w:sz w:val="20"/>
          <w:szCs w:val="20"/>
          <w:lang w:val="pt-PT"/>
        </w:rPr>
      </w:pPr>
      <w:bookmarkStart w:id="53" w:name="_Toc32856872"/>
      <w:r w:rsidRPr="009844FE">
        <w:rPr>
          <w:rFonts w:ascii="Garamond" w:hAnsi="Garamond"/>
          <w:b/>
          <w:bCs/>
          <w:color w:val="auto"/>
          <w:sz w:val="20"/>
          <w:szCs w:val="20"/>
          <w:lang w:val="pt-PT"/>
        </w:rPr>
        <w:t>Gráfico</w:t>
      </w:r>
      <w:r>
        <w:rPr>
          <w:rFonts w:ascii="Garamond" w:hAnsi="Garamond"/>
          <w:b/>
          <w:bCs/>
          <w:color w:val="auto"/>
          <w:sz w:val="20"/>
          <w:szCs w:val="20"/>
          <w:lang w:val="pt-PT"/>
        </w:rPr>
        <w:t xml:space="preserve"> </w:t>
      </w:r>
      <w:r w:rsidRPr="009844FE">
        <w:rPr>
          <w:rFonts w:ascii="Garamond" w:hAnsi="Garamond"/>
          <w:b/>
          <w:bCs/>
          <w:color w:val="auto"/>
          <w:sz w:val="20"/>
          <w:szCs w:val="20"/>
          <w:lang w:val="pt-PT"/>
        </w:rPr>
        <w:fldChar w:fldCharType="begin"/>
      </w:r>
      <w:r w:rsidRPr="009844FE">
        <w:rPr>
          <w:rFonts w:ascii="Garamond" w:hAnsi="Garamond"/>
          <w:b/>
          <w:bCs/>
          <w:color w:val="auto"/>
          <w:sz w:val="20"/>
          <w:szCs w:val="20"/>
          <w:lang w:val="pt-PT"/>
        </w:rPr>
        <w:instrText xml:space="preserve"> SEQ Grafico \* ARABIC </w:instrText>
      </w:r>
      <w:r w:rsidRPr="009844FE">
        <w:rPr>
          <w:rFonts w:ascii="Garamond" w:hAnsi="Garamond"/>
          <w:b/>
          <w:bCs/>
          <w:color w:val="auto"/>
          <w:sz w:val="20"/>
          <w:szCs w:val="20"/>
          <w:lang w:val="pt-PT"/>
        </w:rPr>
        <w:fldChar w:fldCharType="separate"/>
      </w:r>
      <w:r w:rsidR="009F122A">
        <w:rPr>
          <w:rFonts w:ascii="Garamond" w:hAnsi="Garamond"/>
          <w:b/>
          <w:bCs/>
          <w:noProof/>
          <w:color w:val="auto"/>
          <w:sz w:val="20"/>
          <w:szCs w:val="20"/>
          <w:lang w:val="pt-PT"/>
        </w:rPr>
        <w:t>18</w:t>
      </w:r>
      <w:r w:rsidRPr="009844FE">
        <w:rPr>
          <w:rFonts w:ascii="Garamond" w:hAnsi="Garamond"/>
          <w:b/>
          <w:bCs/>
          <w:color w:val="auto"/>
          <w:sz w:val="20"/>
          <w:szCs w:val="20"/>
          <w:lang w:val="pt-PT"/>
        </w:rPr>
        <w:fldChar w:fldCharType="end"/>
      </w:r>
      <w:r w:rsidRPr="009844FE">
        <w:rPr>
          <w:rFonts w:ascii="Garamond" w:hAnsi="Garamond"/>
          <w:b/>
          <w:bCs/>
          <w:color w:val="auto"/>
          <w:sz w:val="20"/>
          <w:szCs w:val="20"/>
          <w:lang w:val="pt-PT"/>
        </w:rPr>
        <w:t xml:space="preserve"> – Evolução da proporção de mulheres que concordam com </w:t>
      </w:r>
      <w:proofErr w:type="spellStart"/>
      <w:r w:rsidRPr="009844FE">
        <w:rPr>
          <w:rFonts w:ascii="Garamond" w:hAnsi="Garamond"/>
          <w:b/>
          <w:bCs/>
          <w:color w:val="auto"/>
          <w:sz w:val="20"/>
          <w:szCs w:val="20"/>
          <w:lang w:val="pt-PT"/>
        </w:rPr>
        <w:t>pelo</w:t>
      </w:r>
      <w:proofErr w:type="spellEnd"/>
      <w:r w:rsidRPr="009844FE">
        <w:rPr>
          <w:rFonts w:ascii="Garamond" w:hAnsi="Garamond"/>
          <w:b/>
          <w:bCs/>
          <w:color w:val="auto"/>
          <w:sz w:val="20"/>
          <w:szCs w:val="20"/>
          <w:lang w:val="pt-PT"/>
        </w:rPr>
        <w:t xml:space="preserve"> menos 1 motivo que justifica um marido/companheiro bater na sua mulher/companheira, por ilha/domínio (%)</w:t>
      </w:r>
      <w:r>
        <w:rPr>
          <w:rFonts w:ascii="Garamond" w:hAnsi="Garamond"/>
          <w:b/>
          <w:bCs/>
          <w:color w:val="auto"/>
          <w:sz w:val="20"/>
          <w:szCs w:val="20"/>
          <w:lang w:val="pt-PT"/>
        </w:rPr>
        <w:t xml:space="preserve"> </w:t>
      </w:r>
      <w:r>
        <w:rPr>
          <w:rStyle w:val="Refdenotaderodap"/>
          <w:rFonts w:ascii="Garamond" w:hAnsi="Garamond"/>
          <w:b/>
          <w:bCs/>
          <w:color w:val="auto"/>
          <w:lang w:val="pt-PT"/>
        </w:rPr>
        <w:footnoteReference w:id="57"/>
      </w:r>
      <w:bookmarkEnd w:id="53"/>
    </w:p>
    <w:p w14:paraId="7D57F29B" w14:textId="77777777" w:rsidR="00541FA6" w:rsidRDefault="00541FA6" w:rsidP="00541FA6">
      <w:pPr>
        <w:jc w:val="both"/>
        <w:rPr>
          <w:rFonts w:ascii="Garamond" w:hAnsi="Garamond"/>
        </w:rPr>
      </w:pPr>
      <w:r>
        <w:rPr>
          <w:noProof/>
        </w:rPr>
        <w:drawing>
          <wp:inline distT="0" distB="0" distL="0" distR="0" wp14:anchorId="63E36641" wp14:editId="25D6B005">
            <wp:extent cx="5400040" cy="2189409"/>
            <wp:effectExtent l="0" t="0" r="0" b="1905"/>
            <wp:docPr id="55" name="Gráfico 55">
              <a:extLst xmlns:a="http://schemas.openxmlformats.org/drawingml/2006/main">
                <a:ext uri="{FF2B5EF4-FFF2-40B4-BE49-F238E27FC236}">
                  <a16:creationId xmlns:a16="http://schemas.microsoft.com/office/drawing/2014/main" id="{FD8633F3-DD45-417C-B960-3B100BA47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20312D4" w14:textId="77777777" w:rsidR="00541FA6" w:rsidRPr="009844FE" w:rsidRDefault="00541FA6" w:rsidP="00541FA6">
      <w:pPr>
        <w:spacing w:after="240"/>
        <w:jc w:val="center"/>
        <w:rPr>
          <w:rFonts w:ascii="Garamond" w:hAnsi="Garamond"/>
          <w:b/>
          <w:bCs/>
          <w:sz w:val="20"/>
          <w:szCs w:val="20"/>
          <w:lang w:val="pt-PT"/>
        </w:rPr>
      </w:pPr>
      <w:r w:rsidRPr="009844FE">
        <w:rPr>
          <w:rFonts w:ascii="Garamond" w:hAnsi="Garamond"/>
          <w:b/>
          <w:bCs/>
          <w:sz w:val="20"/>
          <w:szCs w:val="20"/>
          <w:lang w:val="pt-PT"/>
        </w:rPr>
        <w:t xml:space="preserve">Fonte: elaboração própria com base nos dados do </w:t>
      </w:r>
      <w:proofErr w:type="spellStart"/>
      <w:r w:rsidRPr="009844FE">
        <w:rPr>
          <w:rFonts w:ascii="Garamond" w:hAnsi="Garamond"/>
          <w:b/>
          <w:bCs/>
          <w:sz w:val="20"/>
          <w:szCs w:val="20"/>
          <w:lang w:val="pt-PT"/>
        </w:rPr>
        <w:t>IDSR</w:t>
      </w:r>
      <w:proofErr w:type="spellEnd"/>
      <w:r w:rsidRPr="009844FE">
        <w:rPr>
          <w:rFonts w:ascii="Garamond" w:hAnsi="Garamond"/>
          <w:b/>
          <w:bCs/>
          <w:sz w:val="20"/>
          <w:szCs w:val="20"/>
          <w:lang w:val="pt-PT"/>
        </w:rPr>
        <w:t xml:space="preserve"> III (2018) </w:t>
      </w:r>
      <w:r>
        <w:rPr>
          <w:rFonts w:ascii="Garamond" w:hAnsi="Garamond"/>
          <w:b/>
          <w:bCs/>
          <w:sz w:val="20"/>
          <w:szCs w:val="20"/>
          <w:lang w:val="pt-PT"/>
        </w:rPr>
        <w:t xml:space="preserve">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3AF625DC" w14:textId="77777777" w:rsidR="00541FA6" w:rsidRDefault="00541FA6" w:rsidP="00541FA6">
      <w:pPr>
        <w:pStyle w:val="Legenda"/>
        <w:spacing w:after="0"/>
        <w:jc w:val="center"/>
        <w:rPr>
          <w:rFonts w:ascii="Garamond" w:hAnsi="Garamond"/>
          <w:b/>
          <w:bCs/>
          <w:color w:val="auto"/>
          <w:sz w:val="20"/>
          <w:szCs w:val="20"/>
          <w:lang w:val="pt-PT"/>
        </w:rPr>
      </w:pPr>
    </w:p>
    <w:p w14:paraId="10173068" w14:textId="79E9FC44" w:rsidR="00541FA6" w:rsidRPr="009844FE" w:rsidRDefault="00541FA6" w:rsidP="00541FA6">
      <w:pPr>
        <w:pStyle w:val="Legenda"/>
        <w:spacing w:after="0"/>
        <w:jc w:val="center"/>
        <w:rPr>
          <w:rFonts w:ascii="Garamond" w:hAnsi="Garamond"/>
          <w:b/>
          <w:bCs/>
          <w:color w:val="auto"/>
          <w:sz w:val="20"/>
          <w:szCs w:val="20"/>
          <w:lang w:val="pt-PT"/>
        </w:rPr>
      </w:pPr>
      <w:bookmarkStart w:id="55" w:name="_Toc32856873"/>
      <w:r w:rsidRPr="009844FE">
        <w:rPr>
          <w:rFonts w:ascii="Garamond" w:hAnsi="Garamond"/>
          <w:b/>
          <w:bCs/>
          <w:color w:val="auto"/>
          <w:sz w:val="20"/>
          <w:szCs w:val="20"/>
          <w:lang w:val="pt-PT"/>
        </w:rPr>
        <w:t xml:space="preserve">Gráfico </w:t>
      </w:r>
      <w:r w:rsidRPr="007B2127">
        <w:rPr>
          <w:rFonts w:ascii="Garamond" w:hAnsi="Garamond"/>
          <w:b/>
          <w:bCs/>
          <w:color w:val="auto"/>
          <w:sz w:val="20"/>
          <w:szCs w:val="20"/>
        </w:rPr>
        <w:fldChar w:fldCharType="begin"/>
      </w:r>
      <w:r w:rsidRPr="009844FE">
        <w:rPr>
          <w:rFonts w:ascii="Garamond" w:hAnsi="Garamond"/>
          <w:b/>
          <w:bCs/>
          <w:color w:val="auto"/>
          <w:sz w:val="20"/>
          <w:szCs w:val="20"/>
          <w:lang w:val="pt-PT"/>
        </w:rPr>
        <w:instrText xml:space="preserve"> SEQ Grafico \* ARABIC </w:instrText>
      </w:r>
      <w:r w:rsidRPr="007B2127">
        <w:rPr>
          <w:rFonts w:ascii="Garamond" w:hAnsi="Garamond"/>
          <w:b/>
          <w:bCs/>
          <w:color w:val="auto"/>
          <w:sz w:val="20"/>
          <w:szCs w:val="20"/>
        </w:rPr>
        <w:fldChar w:fldCharType="separate"/>
      </w:r>
      <w:r w:rsidR="009F122A">
        <w:rPr>
          <w:rFonts w:ascii="Garamond" w:hAnsi="Garamond"/>
          <w:b/>
          <w:bCs/>
          <w:noProof/>
          <w:color w:val="auto"/>
          <w:sz w:val="20"/>
          <w:szCs w:val="20"/>
          <w:lang w:val="pt-PT"/>
        </w:rPr>
        <w:t>19</w:t>
      </w:r>
      <w:r w:rsidRPr="007B2127">
        <w:rPr>
          <w:rFonts w:ascii="Garamond" w:hAnsi="Garamond"/>
          <w:b/>
          <w:bCs/>
          <w:color w:val="auto"/>
          <w:sz w:val="20"/>
          <w:szCs w:val="20"/>
        </w:rPr>
        <w:fldChar w:fldCharType="end"/>
      </w:r>
      <w:r w:rsidRPr="009844FE">
        <w:rPr>
          <w:rFonts w:ascii="Garamond" w:hAnsi="Garamond"/>
          <w:b/>
          <w:bCs/>
          <w:color w:val="auto"/>
          <w:sz w:val="20"/>
          <w:szCs w:val="20"/>
          <w:lang w:val="pt-PT"/>
        </w:rPr>
        <w:t xml:space="preserve"> – Evolução da proporção de homens que concordam com </w:t>
      </w:r>
      <w:proofErr w:type="spellStart"/>
      <w:r w:rsidRPr="009844FE">
        <w:rPr>
          <w:rFonts w:ascii="Garamond" w:hAnsi="Garamond"/>
          <w:b/>
          <w:bCs/>
          <w:color w:val="auto"/>
          <w:sz w:val="20"/>
          <w:szCs w:val="20"/>
          <w:lang w:val="pt-PT"/>
        </w:rPr>
        <w:t>pelo</w:t>
      </w:r>
      <w:proofErr w:type="spellEnd"/>
      <w:r w:rsidRPr="009844FE">
        <w:rPr>
          <w:rFonts w:ascii="Garamond" w:hAnsi="Garamond"/>
          <w:b/>
          <w:bCs/>
          <w:color w:val="auto"/>
          <w:sz w:val="20"/>
          <w:szCs w:val="20"/>
          <w:lang w:val="pt-PT"/>
        </w:rPr>
        <w:t xml:space="preserve"> menos 1 motivo que justifica um marido/companheiro bater na sua mulher/companheira, por ilha/domínio (%)</w:t>
      </w:r>
      <w:r>
        <w:rPr>
          <w:rFonts w:ascii="Garamond" w:hAnsi="Garamond"/>
          <w:b/>
          <w:bCs/>
          <w:color w:val="auto"/>
          <w:sz w:val="20"/>
          <w:szCs w:val="20"/>
          <w:lang w:val="pt-PT"/>
        </w:rPr>
        <w:t xml:space="preserve"> </w:t>
      </w:r>
      <w:r>
        <w:rPr>
          <w:rStyle w:val="Refdenotaderodap"/>
          <w:rFonts w:ascii="Garamond" w:hAnsi="Garamond"/>
          <w:b/>
          <w:bCs/>
          <w:color w:val="auto"/>
          <w:lang w:val="pt-PT"/>
        </w:rPr>
        <w:footnoteReference w:id="58"/>
      </w:r>
      <w:bookmarkEnd w:id="55"/>
    </w:p>
    <w:p w14:paraId="64A8C432" w14:textId="77777777" w:rsidR="00541FA6" w:rsidRDefault="00541FA6" w:rsidP="00541FA6">
      <w:pPr>
        <w:jc w:val="both"/>
        <w:rPr>
          <w:rFonts w:ascii="Garamond" w:hAnsi="Garamond"/>
        </w:rPr>
      </w:pPr>
      <w:r>
        <w:rPr>
          <w:noProof/>
        </w:rPr>
        <w:drawing>
          <wp:inline distT="0" distB="0" distL="0" distR="0" wp14:anchorId="382B7294" wp14:editId="75D76B88">
            <wp:extent cx="5636421" cy="2032000"/>
            <wp:effectExtent l="0" t="0" r="2540" b="6350"/>
            <wp:docPr id="56" name="Gráfico 56">
              <a:extLst xmlns:a="http://schemas.openxmlformats.org/drawingml/2006/main">
                <a:ext uri="{FF2B5EF4-FFF2-40B4-BE49-F238E27FC236}">
                  <a16:creationId xmlns:a16="http://schemas.microsoft.com/office/drawing/2014/main" id="{B1B38750-EB1B-41FC-B06C-45EF735D3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97B97C4" w14:textId="77777777" w:rsidR="00541FA6" w:rsidRPr="009844FE" w:rsidRDefault="00541FA6" w:rsidP="00541FA6">
      <w:pPr>
        <w:spacing w:after="240"/>
        <w:jc w:val="center"/>
        <w:rPr>
          <w:rFonts w:ascii="Garamond" w:hAnsi="Garamond"/>
          <w:b/>
          <w:bCs/>
          <w:sz w:val="20"/>
          <w:szCs w:val="20"/>
          <w:lang w:val="pt-PT"/>
        </w:rPr>
      </w:pPr>
      <w:r w:rsidRPr="009844FE">
        <w:rPr>
          <w:rFonts w:ascii="Garamond" w:hAnsi="Garamond"/>
          <w:b/>
          <w:bCs/>
          <w:sz w:val="20"/>
          <w:szCs w:val="20"/>
          <w:lang w:val="pt-PT"/>
        </w:rPr>
        <w:t xml:space="preserve">Fonte: elaboração própria com base nos dados do </w:t>
      </w:r>
      <w:proofErr w:type="spellStart"/>
      <w:r w:rsidRPr="009844FE">
        <w:rPr>
          <w:rFonts w:ascii="Garamond" w:hAnsi="Garamond"/>
          <w:b/>
          <w:bCs/>
          <w:sz w:val="20"/>
          <w:szCs w:val="20"/>
          <w:lang w:val="pt-PT"/>
        </w:rPr>
        <w:t>IDSR</w:t>
      </w:r>
      <w:proofErr w:type="spellEnd"/>
      <w:r w:rsidRPr="009844FE">
        <w:rPr>
          <w:rFonts w:ascii="Garamond" w:hAnsi="Garamond"/>
          <w:b/>
          <w:bCs/>
          <w:sz w:val="20"/>
          <w:szCs w:val="20"/>
          <w:lang w:val="pt-PT"/>
        </w:rPr>
        <w:t xml:space="preserve"> III (2018) </w:t>
      </w:r>
      <w:r>
        <w:rPr>
          <w:rFonts w:ascii="Garamond" w:hAnsi="Garamond"/>
          <w:b/>
          <w:bCs/>
          <w:sz w:val="20"/>
          <w:szCs w:val="20"/>
          <w:lang w:val="pt-PT"/>
        </w:rPr>
        <w:t xml:space="preserve">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557A1FBB" w14:textId="77777777" w:rsidR="00541FA6" w:rsidRPr="009844FE" w:rsidRDefault="00541FA6" w:rsidP="00541FA6">
      <w:pPr>
        <w:jc w:val="both"/>
        <w:rPr>
          <w:rFonts w:ascii="Garamond" w:hAnsi="Garamond"/>
          <w:lang w:val="pt-PT"/>
        </w:rPr>
      </w:pPr>
      <w:r w:rsidRPr="009844FE">
        <w:rPr>
          <w:rFonts w:ascii="Garamond" w:hAnsi="Garamond"/>
          <w:lang w:val="pt-PT"/>
        </w:rPr>
        <w:t xml:space="preserve">Considerando que a violência conjugal globalmente se manteve, não será de estranhar que também os indicadores quanto ao controle exercido </w:t>
      </w:r>
      <w:proofErr w:type="spellStart"/>
      <w:r w:rsidRPr="009844FE">
        <w:rPr>
          <w:rFonts w:ascii="Garamond" w:hAnsi="Garamond"/>
          <w:lang w:val="pt-PT"/>
        </w:rPr>
        <w:t>pelo</w:t>
      </w:r>
      <w:proofErr w:type="spellEnd"/>
      <w:r w:rsidRPr="009844FE">
        <w:rPr>
          <w:rFonts w:ascii="Garamond" w:hAnsi="Garamond"/>
          <w:lang w:val="pt-PT"/>
        </w:rPr>
        <w:t xml:space="preserve"> marido sobre a mulher apresentem essa tendência:</w:t>
      </w:r>
    </w:p>
    <w:p w14:paraId="4920277E" w14:textId="77777777" w:rsidR="00541FA6" w:rsidRPr="009844FE" w:rsidRDefault="00541FA6" w:rsidP="002A62A2">
      <w:pPr>
        <w:pStyle w:val="PargrafodaLista"/>
        <w:numPr>
          <w:ilvl w:val="0"/>
          <w:numId w:val="85"/>
        </w:numPr>
        <w:spacing w:line="259" w:lineRule="auto"/>
        <w:jc w:val="both"/>
        <w:rPr>
          <w:rFonts w:ascii="Garamond" w:hAnsi="Garamond"/>
          <w:lang w:val="pt-PT"/>
        </w:rPr>
      </w:pPr>
      <w:r w:rsidRPr="009844FE">
        <w:rPr>
          <w:rFonts w:ascii="Garamond" w:hAnsi="Garamond"/>
          <w:lang w:val="pt-PT"/>
        </w:rPr>
        <w:t xml:space="preserve">Tanto em 2018 como em 2005, quase 3 em cada 10 homens exerce </w:t>
      </w:r>
      <w:proofErr w:type="spellStart"/>
      <w:r w:rsidRPr="009844FE">
        <w:rPr>
          <w:rFonts w:ascii="Garamond" w:hAnsi="Garamond"/>
          <w:lang w:val="pt-PT"/>
        </w:rPr>
        <w:t>pelo</w:t>
      </w:r>
      <w:proofErr w:type="spellEnd"/>
      <w:r w:rsidRPr="009844FE">
        <w:rPr>
          <w:rFonts w:ascii="Garamond" w:hAnsi="Garamond"/>
          <w:lang w:val="pt-PT"/>
        </w:rPr>
        <w:t xml:space="preserve"> menos 3 tipos de controle sobre a mulher (33,7% e 28,3%), </w:t>
      </w:r>
      <w:proofErr w:type="spellStart"/>
      <w:r w:rsidRPr="009844FE">
        <w:rPr>
          <w:rFonts w:ascii="Garamond" w:hAnsi="Garamond"/>
          <w:lang w:val="pt-PT"/>
        </w:rPr>
        <w:t>respetivamente</w:t>
      </w:r>
      <w:proofErr w:type="spellEnd"/>
      <w:r w:rsidRPr="009844FE">
        <w:rPr>
          <w:rFonts w:ascii="Garamond" w:hAnsi="Garamond"/>
          <w:lang w:val="pt-PT"/>
        </w:rPr>
        <w:t>).</w:t>
      </w:r>
      <w:r>
        <w:rPr>
          <w:rStyle w:val="Refdenotaderodap"/>
          <w:rFonts w:ascii="Garamond" w:hAnsi="Garamond"/>
        </w:rPr>
        <w:footnoteReference w:id="59"/>
      </w:r>
    </w:p>
    <w:p w14:paraId="7197EF74" w14:textId="77777777" w:rsidR="00541FA6" w:rsidRDefault="00541FA6" w:rsidP="002A62A2">
      <w:pPr>
        <w:pStyle w:val="PargrafodaLista"/>
        <w:numPr>
          <w:ilvl w:val="0"/>
          <w:numId w:val="85"/>
        </w:numPr>
        <w:spacing w:line="259" w:lineRule="auto"/>
        <w:jc w:val="both"/>
        <w:rPr>
          <w:rFonts w:ascii="Garamond" w:hAnsi="Garamond"/>
          <w:lang w:val="pt-PT"/>
        </w:rPr>
      </w:pPr>
      <w:r w:rsidRPr="009844FE">
        <w:rPr>
          <w:rFonts w:ascii="Garamond" w:hAnsi="Garamond"/>
          <w:lang w:val="pt-PT"/>
        </w:rPr>
        <w:t xml:space="preserve">Se em 2005 uma proporção significativa de homens não exercia nenhum tipo de controle (3 em cada 10 </w:t>
      </w:r>
      <w:r>
        <w:rPr>
          <w:rFonts w:ascii="Garamond" w:hAnsi="Garamond"/>
          <w:lang w:val="pt-PT"/>
        </w:rPr>
        <w:t xml:space="preserve">homens - </w:t>
      </w:r>
      <w:r w:rsidRPr="009844FE">
        <w:rPr>
          <w:rFonts w:ascii="Garamond" w:hAnsi="Garamond"/>
          <w:lang w:val="pt-PT"/>
        </w:rPr>
        <w:t>27,8%), em 2018 apenas 1 em cada 10 está nessa situação (9%).</w:t>
      </w:r>
    </w:p>
    <w:p w14:paraId="6CCA1772" w14:textId="77777777" w:rsidR="00541FA6" w:rsidRPr="009844FE" w:rsidRDefault="00541FA6" w:rsidP="002A62A2">
      <w:pPr>
        <w:pStyle w:val="PargrafodaLista"/>
        <w:numPr>
          <w:ilvl w:val="0"/>
          <w:numId w:val="85"/>
        </w:numPr>
        <w:spacing w:line="259" w:lineRule="auto"/>
        <w:jc w:val="both"/>
        <w:rPr>
          <w:rFonts w:ascii="Garamond" w:hAnsi="Garamond"/>
          <w:lang w:val="pt-PT"/>
        </w:rPr>
      </w:pPr>
      <w:r w:rsidRPr="009844FE">
        <w:rPr>
          <w:rFonts w:ascii="Garamond" w:hAnsi="Garamond"/>
          <w:lang w:val="pt-PT"/>
        </w:rPr>
        <w:t>Pode-se dizer que a tendência é para uma maior postura de controle na relação conjugal</w:t>
      </w:r>
    </w:p>
    <w:p w14:paraId="1FF2563E" w14:textId="77777777" w:rsidR="00541FA6" w:rsidRPr="009844FE" w:rsidRDefault="00541FA6" w:rsidP="002A62A2">
      <w:pPr>
        <w:pStyle w:val="PargrafodaLista"/>
        <w:numPr>
          <w:ilvl w:val="0"/>
          <w:numId w:val="85"/>
        </w:numPr>
        <w:spacing w:line="259" w:lineRule="auto"/>
        <w:jc w:val="both"/>
        <w:rPr>
          <w:rFonts w:ascii="Garamond" w:hAnsi="Garamond"/>
          <w:lang w:val="pt-PT"/>
        </w:rPr>
      </w:pPr>
      <w:r>
        <w:rPr>
          <w:rFonts w:ascii="Garamond" w:hAnsi="Garamond"/>
          <w:lang w:val="pt-PT"/>
        </w:rPr>
        <w:t>C</w:t>
      </w:r>
      <w:r w:rsidRPr="009844FE">
        <w:rPr>
          <w:rFonts w:ascii="Garamond" w:hAnsi="Garamond"/>
          <w:lang w:val="pt-PT"/>
        </w:rPr>
        <w:t xml:space="preserve">om </w:t>
      </w:r>
      <w:proofErr w:type="spellStart"/>
      <w:r w:rsidRPr="009844FE">
        <w:rPr>
          <w:rFonts w:ascii="Garamond" w:hAnsi="Garamond"/>
          <w:lang w:val="pt-PT"/>
        </w:rPr>
        <w:t>exceção</w:t>
      </w:r>
      <w:proofErr w:type="spellEnd"/>
      <w:r w:rsidRPr="009844FE">
        <w:rPr>
          <w:rFonts w:ascii="Garamond" w:hAnsi="Garamond"/>
          <w:lang w:val="pt-PT"/>
        </w:rPr>
        <w:t xml:space="preserve"> de </w:t>
      </w:r>
      <w:r w:rsidRPr="00984A0C">
        <w:rPr>
          <w:rFonts w:ascii="Garamond" w:hAnsi="Garamond"/>
          <w:b/>
          <w:bCs/>
          <w:lang w:val="pt-PT"/>
        </w:rPr>
        <w:t>controle do dinheiro</w:t>
      </w:r>
      <w:r w:rsidRPr="009844FE">
        <w:rPr>
          <w:rFonts w:ascii="Garamond" w:hAnsi="Garamond"/>
          <w:lang w:val="pt-PT"/>
        </w:rPr>
        <w:t>: em 2018 não se verifica desconfiança em relação a assuntos de dinheiro da parte do marido em relação à mulher.</w:t>
      </w:r>
    </w:p>
    <w:p w14:paraId="2EE35CAB" w14:textId="350F1900" w:rsidR="00541FA6" w:rsidRDefault="00541FA6" w:rsidP="00541FA6">
      <w:pPr>
        <w:pStyle w:val="Legenda"/>
        <w:spacing w:after="0"/>
        <w:jc w:val="center"/>
        <w:rPr>
          <w:rFonts w:ascii="Garamond" w:hAnsi="Garamond"/>
          <w:b/>
          <w:bCs/>
          <w:color w:val="auto"/>
          <w:sz w:val="20"/>
          <w:szCs w:val="20"/>
          <w:lang w:val="pt-PT"/>
        </w:rPr>
      </w:pPr>
    </w:p>
    <w:p w14:paraId="1F3ED717" w14:textId="77777777" w:rsidR="00676C64" w:rsidRPr="00676C64" w:rsidRDefault="00676C64" w:rsidP="00676C64">
      <w:pPr>
        <w:rPr>
          <w:lang w:val="pt-PT"/>
        </w:rPr>
      </w:pPr>
    </w:p>
    <w:p w14:paraId="6366E549" w14:textId="5E7D77BF" w:rsidR="00541FA6" w:rsidRPr="00A977AE" w:rsidRDefault="00541FA6" w:rsidP="00541FA6">
      <w:pPr>
        <w:pStyle w:val="Legenda"/>
        <w:spacing w:after="0"/>
        <w:jc w:val="center"/>
        <w:rPr>
          <w:rFonts w:ascii="Garamond" w:hAnsi="Garamond"/>
          <w:b/>
          <w:bCs/>
          <w:color w:val="auto"/>
          <w:sz w:val="20"/>
          <w:szCs w:val="20"/>
          <w:lang w:val="pt-PT"/>
        </w:rPr>
      </w:pPr>
      <w:bookmarkStart w:id="56" w:name="_Toc32856874"/>
      <w:r w:rsidRPr="00A977AE">
        <w:rPr>
          <w:rFonts w:ascii="Garamond" w:hAnsi="Garamond"/>
          <w:b/>
          <w:bCs/>
          <w:color w:val="auto"/>
          <w:sz w:val="20"/>
          <w:szCs w:val="20"/>
          <w:lang w:val="pt-PT"/>
        </w:rPr>
        <w:t>Gráfico</w:t>
      </w:r>
      <w:r>
        <w:rPr>
          <w:rFonts w:ascii="Garamond" w:hAnsi="Garamond"/>
          <w:b/>
          <w:bCs/>
          <w:color w:val="auto"/>
          <w:sz w:val="20"/>
          <w:szCs w:val="20"/>
          <w:lang w:val="pt-PT"/>
        </w:rPr>
        <w:t xml:space="preserve"> </w:t>
      </w:r>
      <w:r w:rsidRPr="00A977AE">
        <w:rPr>
          <w:rFonts w:ascii="Garamond" w:hAnsi="Garamond"/>
          <w:b/>
          <w:bCs/>
          <w:color w:val="auto"/>
          <w:sz w:val="20"/>
          <w:szCs w:val="20"/>
          <w:lang w:val="pt-PT"/>
        </w:rPr>
        <w:fldChar w:fldCharType="begin"/>
      </w:r>
      <w:r w:rsidRPr="00A977AE">
        <w:rPr>
          <w:rFonts w:ascii="Garamond" w:hAnsi="Garamond"/>
          <w:b/>
          <w:bCs/>
          <w:color w:val="auto"/>
          <w:sz w:val="20"/>
          <w:szCs w:val="20"/>
          <w:lang w:val="pt-PT"/>
        </w:rPr>
        <w:instrText xml:space="preserve"> SEQ Grafico \* ARABIC </w:instrText>
      </w:r>
      <w:r w:rsidRPr="00A977AE">
        <w:rPr>
          <w:rFonts w:ascii="Garamond" w:hAnsi="Garamond"/>
          <w:b/>
          <w:bCs/>
          <w:color w:val="auto"/>
          <w:sz w:val="20"/>
          <w:szCs w:val="20"/>
          <w:lang w:val="pt-PT"/>
        </w:rPr>
        <w:fldChar w:fldCharType="separate"/>
      </w:r>
      <w:r w:rsidR="009F122A">
        <w:rPr>
          <w:rFonts w:ascii="Garamond" w:hAnsi="Garamond"/>
          <w:b/>
          <w:bCs/>
          <w:noProof/>
          <w:color w:val="auto"/>
          <w:sz w:val="20"/>
          <w:szCs w:val="20"/>
          <w:lang w:val="pt-PT"/>
        </w:rPr>
        <w:t>20</w:t>
      </w:r>
      <w:r w:rsidRPr="00A977AE">
        <w:rPr>
          <w:rFonts w:ascii="Garamond" w:hAnsi="Garamond"/>
          <w:b/>
          <w:bCs/>
          <w:color w:val="auto"/>
          <w:sz w:val="20"/>
          <w:szCs w:val="20"/>
          <w:lang w:val="pt-PT"/>
        </w:rPr>
        <w:fldChar w:fldCharType="end"/>
      </w:r>
      <w:r>
        <w:rPr>
          <w:rFonts w:ascii="Garamond" w:hAnsi="Garamond"/>
          <w:b/>
          <w:bCs/>
          <w:color w:val="auto"/>
          <w:sz w:val="20"/>
          <w:szCs w:val="20"/>
          <w:lang w:val="pt-PT"/>
        </w:rPr>
        <w:t xml:space="preserve"> </w:t>
      </w:r>
      <w:r w:rsidRPr="00A977AE">
        <w:rPr>
          <w:rFonts w:ascii="Garamond" w:hAnsi="Garamond"/>
          <w:b/>
          <w:bCs/>
          <w:color w:val="auto"/>
          <w:sz w:val="20"/>
          <w:szCs w:val="20"/>
          <w:lang w:val="pt-PT"/>
        </w:rPr>
        <w:t xml:space="preserve">– Evolução da proporção de maridos/companheiros que exerce </w:t>
      </w:r>
      <w:proofErr w:type="spellStart"/>
      <w:r w:rsidRPr="00A977AE">
        <w:rPr>
          <w:rFonts w:ascii="Garamond" w:hAnsi="Garamond"/>
          <w:b/>
          <w:bCs/>
          <w:color w:val="auto"/>
          <w:sz w:val="20"/>
          <w:szCs w:val="20"/>
          <w:lang w:val="pt-PT"/>
        </w:rPr>
        <w:t>pelo</w:t>
      </w:r>
      <w:proofErr w:type="spellEnd"/>
      <w:r w:rsidRPr="00A977AE">
        <w:rPr>
          <w:rFonts w:ascii="Garamond" w:hAnsi="Garamond"/>
          <w:b/>
          <w:bCs/>
          <w:color w:val="auto"/>
          <w:sz w:val="20"/>
          <w:szCs w:val="20"/>
          <w:lang w:val="pt-PT"/>
        </w:rPr>
        <w:t xml:space="preserve"> menos 3 tipos de controle/nenhum sobre a mulher/companheira (declaração mulheres)</w:t>
      </w:r>
      <w:r>
        <w:rPr>
          <w:rFonts w:ascii="Garamond" w:hAnsi="Garamond"/>
          <w:b/>
          <w:bCs/>
          <w:color w:val="auto"/>
          <w:sz w:val="20"/>
          <w:szCs w:val="20"/>
          <w:lang w:val="pt-PT"/>
        </w:rPr>
        <w:t xml:space="preserve"> </w:t>
      </w:r>
      <w:bookmarkStart w:id="57" w:name="_Hlk31283179"/>
      <w:r>
        <w:rPr>
          <w:rFonts w:ascii="Garamond" w:hAnsi="Garamond"/>
          <w:b/>
          <w:bCs/>
          <w:color w:val="auto"/>
          <w:sz w:val="20"/>
          <w:szCs w:val="20"/>
          <w:lang w:val="pt-PT"/>
        </w:rPr>
        <w:t>(%)</w:t>
      </w:r>
      <w:bookmarkEnd w:id="56"/>
      <w:bookmarkEnd w:id="57"/>
    </w:p>
    <w:p w14:paraId="7D770133" w14:textId="77777777" w:rsidR="00541FA6" w:rsidRPr="009844FE" w:rsidRDefault="00541FA6" w:rsidP="00541FA6">
      <w:pPr>
        <w:pStyle w:val="PargrafodaLista"/>
        <w:ind w:left="360"/>
        <w:jc w:val="both"/>
        <w:rPr>
          <w:rFonts w:ascii="Garamond" w:hAnsi="Garamond"/>
          <w:lang w:val="pt-PT"/>
        </w:rPr>
      </w:pPr>
      <w:r>
        <w:rPr>
          <w:noProof/>
        </w:rPr>
        <w:drawing>
          <wp:inline distT="0" distB="0" distL="0" distR="0" wp14:anchorId="64454374" wp14:editId="5039AD81">
            <wp:extent cx="5400040" cy="807076"/>
            <wp:effectExtent l="0" t="0" r="0" b="0"/>
            <wp:docPr id="57" name="Gráfico 57">
              <a:extLst xmlns:a="http://schemas.openxmlformats.org/drawingml/2006/main">
                <a:ext uri="{FF2B5EF4-FFF2-40B4-BE49-F238E27FC236}">
                  <a16:creationId xmlns:a16="http://schemas.microsoft.com/office/drawing/2014/main" id="{4E8D80D2-956F-4695-9521-757C21378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760001" w14:textId="77777777" w:rsidR="00541FA6" w:rsidRPr="00540E27" w:rsidRDefault="00541FA6" w:rsidP="00541FA6">
      <w:pPr>
        <w:spacing w:after="240"/>
        <w:jc w:val="center"/>
        <w:rPr>
          <w:rFonts w:ascii="Garamond" w:hAnsi="Garamond"/>
          <w:b/>
          <w:bCs/>
          <w:sz w:val="20"/>
          <w:szCs w:val="20"/>
          <w:lang w:val="pt-PT"/>
        </w:rPr>
      </w:pPr>
      <w:r w:rsidRPr="00540E27">
        <w:rPr>
          <w:rFonts w:ascii="Garamond" w:hAnsi="Garamond"/>
          <w:b/>
          <w:bCs/>
          <w:sz w:val="20"/>
          <w:szCs w:val="20"/>
          <w:lang w:val="pt-PT"/>
        </w:rPr>
        <w:t xml:space="preserve">Fonte: elaboração própria com base nos dados do </w:t>
      </w:r>
      <w:proofErr w:type="spellStart"/>
      <w:r w:rsidRPr="00540E27">
        <w:rPr>
          <w:rFonts w:ascii="Garamond" w:hAnsi="Garamond"/>
          <w:b/>
          <w:bCs/>
          <w:sz w:val="20"/>
          <w:szCs w:val="20"/>
          <w:lang w:val="pt-PT"/>
        </w:rPr>
        <w:t>IDSR</w:t>
      </w:r>
      <w:proofErr w:type="spellEnd"/>
      <w:r w:rsidRPr="00540E27">
        <w:rPr>
          <w:rFonts w:ascii="Garamond" w:hAnsi="Garamond"/>
          <w:b/>
          <w:bCs/>
          <w:sz w:val="20"/>
          <w:szCs w:val="20"/>
          <w:lang w:val="pt-PT"/>
        </w:rPr>
        <w:t xml:space="preserve"> III (2018)</w:t>
      </w:r>
      <w:r w:rsidRPr="00532C6D">
        <w:rPr>
          <w:rFonts w:ascii="Garamond" w:hAnsi="Garamond"/>
          <w:b/>
          <w:bCs/>
          <w:sz w:val="20"/>
          <w:szCs w:val="20"/>
          <w:lang w:val="pt-PT"/>
        </w:rPr>
        <w:t xml:space="preserve"> </w:t>
      </w:r>
      <w:r>
        <w:rPr>
          <w:rFonts w:ascii="Garamond" w:hAnsi="Garamond"/>
          <w:b/>
          <w:bCs/>
          <w:sz w:val="20"/>
          <w:szCs w:val="20"/>
          <w:lang w:val="pt-PT"/>
        </w:rPr>
        <w:t xml:space="preserve">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1EEB1795" w14:textId="77777777" w:rsidR="00541FA6" w:rsidRPr="00540E27" w:rsidRDefault="00541FA6" w:rsidP="00541FA6">
      <w:pPr>
        <w:jc w:val="both"/>
        <w:rPr>
          <w:rFonts w:ascii="Garamond" w:hAnsi="Garamond"/>
          <w:lang w:val="pt-PT"/>
        </w:rPr>
      </w:pPr>
      <w:r w:rsidRPr="00540E27">
        <w:rPr>
          <w:rFonts w:ascii="Garamond" w:hAnsi="Garamond"/>
          <w:lang w:val="pt-PT"/>
        </w:rPr>
        <w:t>A respeito da tomada de decisão sobre o dinheiro, verifica-se que:</w:t>
      </w:r>
    </w:p>
    <w:p w14:paraId="3BF47437" w14:textId="77777777" w:rsidR="00541FA6" w:rsidRPr="00540E27"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Em 2018 cerca de metade das mulheres casadas/unidas diz ser a própria a decidir como gasta o dinheiro que ganha (51,2%), cerca de 4 em cada 10 mulheres decide em conjunto com o marido/companheiro (42%) e em 6,8% dos casos o marido/companheiro decide sozinho, proporção que era quase 3 vezes mais elevada em 2005 (19,7%).</w:t>
      </w:r>
    </w:p>
    <w:p w14:paraId="2C1B2797" w14:textId="77777777" w:rsidR="00541FA6" w:rsidRPr="00540E27"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 xml:space="preserve">Santiago Norte (19%), Brava (7,8%) e Santiago Sul (6,1%) são os domínios do </w:t>
      </w:r>
      <w:proofErr w:type="spellStart"/>
      <w:r w:rsidRPr="00540E27">
        <w:rPr>
          <w:rFonts w:ascii="Garamond" w:hAnsi="Garamond"/>
          <w:lang w:val="pt-PT"/>
        </w:rPr>
        <w:t>IDSR</w:t>
      </w:r>
      <w:proofErr w:type="spellEnd"/>
      <w:r w:rsidRPr="00540E27">
        <w:rPr>
          <w:rFonts w:ascii="Garamond" w:hAnsi="Garamond"/>
          <w:lang w:val="pt-PT"/>
        </w:rPr>
        <w:t xml:space="preserve"> III (2018) onde existe maior controle por parte do </w:t>
      </w:r>
      <w:r>
        <w:rPr>
          <w:rFonts w:ascii="Garamond" w:hAnsi="Garamond"/>
          <w:lang w:val="pt-PT"/>
        </w:rPr>
        <w:t xml:space="preserve">cônjuge </w:t>
      </w:r>
      <w:r w:rsidRPr="00540E27">
        <w:rPr>
          <w:rFonts w:ascii="Garamond" w:hAnsi="Garamond"/>
          <w:lang w:val="pt-PT"/>
        </w:rPr>
        <w:t xml:space="preserve">do dinheiro ganho </w:t>
      </w:r>
      <w:proofErr w:type="spellStart"/>
      <w:r w:rsidRPr="00540E27">
        <w:rPr>
          <w:rFonts w:ascii="Garamond" w:hAnsi="Garamond"/>
          <w:lang w:val="pt-PT"/>
        </w:rPr>
        <w:t>pela</w:t>
      </w:r>
      <w:proofErr w:type="spellEnd"/>
      <w:r w:rsidRPr="00540E27">
        <w:rPr>
          <w:rFonts w:ascii="Garamond" w:hAnsi="Garamond"/>
          <w:lang w:val="pt-PT"/>
        </w:rPr>
        <w:t xml:space="preserve"> mulher. </w:t>
      </w:r>
    </w:p>
    <w:p w14:paraId="28CA9BE1" w14:textId="77777777" w:rsidR="00541FA6" w:rsidRPr="00540E27"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Nota-se ainda que em 2018 consideravelmente menos mulheres casadas/unidas decidem sozinhas e mais em conjunto, em comparação com 2005, o que pode corresponder a um padrão mais democrático de decisão na família. A</w:t>
      </w:r>
      <w:r>
        <w:rPr>
          <w:rFonts w:ascii="Garamond" w:hAnsi="Garamond"/>
          <w:lang w:val="pt-PT"/>
        </w:rPr>
        <w:t>lias</w:t>
      </w:r>
      <w:r w:rsidRPr="00540E27">
        <w:rPr>
          <w:rFonts w:ascii="Garamond" w:hAnsi="Garamond"/>
          <w:lang w:val="pt-PT"/>
        </w:rPr>
        <w:t>, mais de metade dos homens casados</w:t>
      </w:r>
      <w:r>
        <w:rPr>
          <w:rFonts w:ascii="Garamond" w:hAnsi="Garamond"/>
          <w:lang w:val="pt-PT"/>
        </w:rPr>
        <w:t>/</w:t>
      </w:r>
      <w:r w:rsidRPr="00540E27">
        <w:rPr>
          <w:rFonts w:ascii="Garamond" w:hAnsi="Garamond"/>
          <w:lang w:val="pt-PT"/>
        </w:rPr>
        <w:t xml:space="preserve">em união diz que decide em conjunto com a mulher/companheira sobre como gastar o dinheiro que ele ganha (53,7%, afirmação corroborada por 59% das mulheres). </w:t>
      </w:r>
    </w:p>
    <w:p w14:paraId="7FCAE046" w14:textId="77777777" w:rsidR="00541FA6" w:rsidRPr="00540E27"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Cerca de 1 em cada 4 homens decide sozinho sobre como gastar o dinheiro que ganha (25,2%), proporção que as mulheres dizem ser um pouco mais elevada (29,6%).</w:t>
      </w:r>
    </w:p>
    <w:p w14:paraId="250ADFF5" w14:textId="77777777" w:rsidR="00541FA6" w:rsidRPr="00540E27"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 xml:space="preserve">Cerca de 1 em cada 5 homens diz que as mulheres decidem sozinhas como gastar o dinheiro que eles ganham (20,7%), embora </w:t>
      </w:r>
      <w:r>
        <w:rPr>
          <w:rFonts w:ascii="Garamond" w:hAnsi="Garamond"/>
          <w:lang w:val="pt-PT"/>
        </w:rPr>
        <w:t>elas</w:t>
      </w:r>
      <w:r w:rsidRPr="00540E27">
        <w:rPr>
          <w:rFonts w:ascii="Garamond" w:hAnsi="Garamond"/>
          <w:lang w:val="pt-PT"/>
        </w:rPr>
        <w:t xml:space="preserve"> refiram metade dessa proporção (11,2%).</w:t>
      </w:r>
    </w:p>
    <w:p w14:paraId="2D3E7DAA" w14:textId="77777777" w:rsidR="00541FA6" w:rsidRDefault="00541FA6" w:rsidP="002A62A2">
      <w:pPr>
        <w:pStyle w:val="PargrafodaLista"/>
        <w:numPr>
          <w:ilvl w:val="0"/>
          <w:numId w:val="83"/>
        </w:numPr>
        <w:spacing w:after="160" w:line="259" w:lineRule="auto"/>
        <w:jc w:val="both"/>
        <w:rPr>
          <w:rFonts w:ascii="Garamond" w:hAnsi="Garamond"/>
          <w:lang w:val="pt-PT"/>
        </w:rPr>
      </w:pPr>
      <w:r w:rsidRPr="00540E27">
        <w:rPr>
          <w:rFonts w:ascii="Garamond" w:hAnsi="Garamond"/>
          <w:lang w:val="pt-PT"/>
        </w:rPr>
        <w:t xml:space="preserve">Mesmo recorrendo à opinião das mulheres, parece que há mais mulheres </w:t>
      </w:r>
      <w:r>
        <w:rPr>
          <w:rFonts w:ascii="Garamond" w:hAnsi="Garamond"/>
          <w:lang w:val="pt-PT"/>
        </w:rPr>
        <w:t>a</w:t>
      </w:r>
      <w:r w:rsidRPr="00540E27">
        <w:rPr>
          <w:rFonts w:ascii="Garamond" w:hAnsi="Garamond"/>
          <w:lang w:val="pt-PT"/>
        </w:rPr>
        <w:t xml:space="preserve"> decidir sozinhas sobre como utilizar o dinheiro ganho tanto por elas como por eles, do que o contrário. Note-se que os salários/rendimentos no país são baixos e que as prioridades </w:t>
      </w:r>
      <w:r>
        <w:rPr>
          <w:rFonts w:ascii="Garamond" w:hAnsi="Garamond"/>
          <w:lang w:val="pt-PT"/>
        </w:rPr>
        <w:t>estão ligadas a</w:t>
      </w:r>
      <w:r w:rsidRPr="00540E27">
        <w:rPr>
          <w:rFonts w:ascii="Garamond" w:hAnsi="Garamond"/>
          <w:lang w:val="pt-PT"/>
        </w:rPr>
        <w:t xml:space="preserve"> necessidades domésticas imediatas, uma área de decisão tradicionalmente feminina. Por outro lado, é possível que o dinheiro ganho </w:t>
      </w:r>
      <w:proofErr w:type="spellStart"/>
      <w:r w:rsidRPr="00540E27">
        <w:rPr>
          <w:rFonts w:ascii="Garamond" w:hAnsi="Garamond"/>
          <w:lang w:val="pt-PT"/>
        </w:rPr>
        <w:t>pelas</w:t>
      </w:r>
      <w:proofErr w:type="spellEnd"/>
      <w:r w:rsidRPr="00540E27">
        <w:rPr>
          <w:rFonts w:ascii="Garamond" w:hAnsi="Garamond"/>
          <w:lang w:val="pt-PT"/>
        </w:rPr>
        <w:t xml:space="preserve"> mulheres seja dedicado em particular às despesas de alimentação, educação dos filhos, etc.</w:t>
      </w:r>
    </w:p>
    <w:p w14:paraId="46B222CD" w14:textId="3B230900" w:rsidR="00541FA6" w:rsidRPr="00540E27" w:rsidRDefault="00541FA6" w:rsidP="00541FA6">
      <w:pPr>
        <w:pStyle w:val="Legenda"/>
        <w:spacing w:after="0"/>
        <w:jc w:val="center"/>
        <w:rPr>
          <w:rFonts w:ascii="Garamond" w:hAnsi="Garamond"/>
          <w:b/>
          <w:bCs/>
          <w:color w:val="auto"/>
          <w:sz w:val="20"/>
          <w:szCs w:val="20"/>
          <w:lang w:val="pt-PT"/>
        </w:rPr>
      </w:pPr>
      <w:bookmarkStart w:id="58" w:name="_Toc32856924"/>
      <w:r w:rsidRPr="00540E27">
        <w:rPr>
          <w:rFonts w:ascii="Garamond" w:hAnsi="Garamond"/>
          <w:b/>
          <w:bCs/>
          <w:color w:val="auto"/>
          <w:sz w:val="20"/>
          <w:szCs w:val="20"/>
          <w:lang w:val="pt-PT"/>
        </w:rPr>
        <w:t xml:space="preserve">Tabela </w:t>
      </w:r>
      <w:r w:rsidRPr="00540E27">
        <w:rPr>
          <w:rFonts w:ascii="Garamond" w:hAnsi="Garamond"/>
          <w:b/>
          <w:bCs/>
          <w:color w:val="auto"/>
          <w:sz w:val="20"/>
          <w:szCs w:val="20"/>
          <w:lang w:val="pt-PT"/>
        </w:rPr>
        <w:fldChar w:fldCharType="begin"/>
      </w:r>
      <w:r w:rsidRPr="00540E27">
        <w:rPr>
          <w:rFonts w:ascii="Garamond" w:hAnsi="Garamond"/>
          <w:b/>
          <w:bCs/>
          <w:color w:val="auto"/>
          <w:sz w:val="20"/>
          <w:szCs w:val="20"/>
          <w:lang w:val="pt-PT"/>
        </w:rPr>
        <w:instrText xml:space="preserve"> SEQ Tabela \* ARABIC </w:instrText>
      </w:r>
      <w:r w:rsidRPr="00540E27">
        <w:rPr>
          <w:rFonts w:ascii="Garamond" w:hAnsi="Garamond"/>
          <w:b/>
          <w:bCs/>
          <w:color w:val="auto"/>
          <w:sz w:val="20"/>
          <w:szCs w:val="20"/>
          <w:lang w:val="pt-PT"/>
        </w:rPr>
        <w:fldChar w:fldCharType="separate"/>
      </w:r>
      <w:r w:rsidR="004723E2">
        <w:rPr>
          <w:rFonts w:ascii="Garamond" w:hAnsi="Garamond"/>
          <w:b/>
          <w:bCs/>
          <w:noProof/>
          <w:color w:val="auto"/>
          <w:sz w:val="20"/>
          <w:szCs w:val="20"/>
          <w:lang w:val="pt-PT"/>
        </w:rPr>
        <w:t>2</w:t>
      </w:r>
      <w:r w:rsidRPr="00540E27">
        <w:rPr>
          <w:rFonts w:ascii="Garamond" w:hAnsi="Garamond"/>
          <w:b/>
          <w:bCs/>
          <w:color w:val="auto"/>
          <w:sz w:val="20"/>
          <w:szCs w:val="20"/>
          <w:lang w:val="pt-PT"/>
        </w:rPr>
        <w:fldChar w:fldCharType="end"/>
      </w:r>
      <w:r w:rsidRPr="00540E27">
        <w:rPr>
          <w:rFonts w:ascii="Garamond" w:hAnsi="Garamond"/>
          <w:b/>
          <w:bCs/>
          <w:color w:val="auto"/>
          <w:sz w:val="20"/>
          <w:szCs w:val="20"/>
          <w:lang w:val="pt-PT"/>
        </w:rPr>
        <w:t xml:space="preserve"> – Evolução de quem decide como gastar o dinheiro ganho </w:t>
      </w:r>
      <w:proofErr w:type="spellStart"/>
      <w:r w:rsidRPr="00540E27">
        <w:rPr>
          <w:rFonts w:ascii="Garamond" w:hAnsi="Garamond"/>
          <w:b/>
          <w:bCs/>
          <w:color w:val="auto"/>
          <w:sz w:val="20"/>
          <w:szCs w:val="20"/>
          <w:lang w:val="pt-PT"/>
        </w:rPr>
        <w:t>pelo</w:t>
      </w:r>
      <w:proofErr w:type="spellEnd"/>
      <w:r w:rsidRPr="00540E27">
        <w:rPr>
          <w:rFonts w:ascii="Garamond" w:hAnsi="Garamond"/>
          <w:b/>
          <w:bCs/>
          <w:color w:val="auto"/>
          <w:sz w:val="20"/>
          <w:szCs w:val="20"/>
          <w:lang w:val="pt-PT"/>
        </w:rPr>
        <w:t xml:space="preserve"> marido/companheiro e </w:t>
      </w:r>
      <w:proofErr w:type="spellStart"/>
      <w:r w:rsidRPr="00540E27">
        <w:rPr>
          <w:rFonts w:ascii="Garamond" w:hAnsi="Garamond"/>
          <w:b/>
          <w:bCs/>
          <w:color w:val="auto"/>
          <w:sz w:val="20"/>
          <w:szCs w:val="20"/>
          <w:lang w:val="pt-PT"/>
        </w:rPr>
        <w:t>pela</w:t>
      </w:r>
      <w:proofErr w:type="spellEnd"/>
      <w:r w:rsidRPr="00540E27">
        <w:rPr>
          <w:rFonts w:ascii="Garamond" w:hAnsi="Garamond"/>
          <w:b/>
          <w:bCs/>
          <w:color w:val="auto"/>
          <w:sz w:val="20"/>
          <w:szCs w:val="20"/>
          <w:lang w:val="pt-PT"/>
        </w:rPr>
        <w:t xml:space="preserve"> mulher/companheira (pessoas casadas/em união) (%)</w:t>
      </w:r>
      <w:bookmarkEnd w:id="58"/>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693"/>
      </w:tblGrid>
      <w:tr w:rsidR="00541FA6" w:rsidRPr="005808D4" w14:paraId="199204E3" w14:textId="77777777" w:rsidTr="00541FA6">
        <w:trPr>
          <w:jc w:val="center"/>
        </w:trPr>
        <w:tc>
          <w:tcPr>
            <w:tcW w:w="1985" w:type="dxa"/>
            <w:tcBorders>
              <w:top w:val="single" w:sz="4" w:space="0" w:color="auto"/>
              <w:bottom w:val="single" w:sz="4" w:space="0" w:color="auto"/>
            </w:tcBorders>
            <w:shd w:val="clear" w:color="auto" w:fill="D9E2F3" w:themeFill="accent1" w:themeFillTint="33"/>
          </w:tcPr>
          <w:p w14:paraId="3AEDE4D2" w14:textId="77777777" w:rsidR="00541FA6" w:rsidRPr="00FF77AE" w:rsidRDefault="00541FA6" w:rsidP="00541FA6">
            <w:pPr>
              <w:jc w:val="center"/>
              <w:rPr>
                <w:rFonts w:ascii="Garamond" w:hAnsi="Garamond"/>
                <w:sz w:val="20"/>
                <w:szCs w:val="20"/>
              </w:rPr>
            </w:pPr>
            <w:proofErr w:type="spellStart"/>
            <w:r w:rsidRPr="00FF77AE">
              <w:rPr>
                <w:rFonts w:ascii="Garamond" w:hAnsi="Garamond"/>
                <w:i/>
                <w:iCs/>
                <w:sz w:val="20"/>
                <w:szCs w:val="20"/>
              </w:rPr>
              <w:t>Quem</w:t>
            </w:r>
            <w:proofErr w:type="spellEnd"/>
            <w:r w:rsidRPr="00FF77AE">
              <w:rPr>
                <w:rFonts w:ascii="Garamond" w:hAnsi="Garamond"/>
                <w:i/>
                <w:iCs/>
                <w:sz w:val="20"/>
                <w:szCs w:val="20"/>
              </w:rPr>
              <w:t xml:space="preserve"> decide </w:t>
            </w:r>
            <w:proofErr w:type="spellStart"/>
            <w:r w:rsidRPr="00FF77AE">
              <w:rPr>
                <w:rFonts w:ascii="Garamond" w:hAnsi="Garamond"/>
                <w:i/>
                <w:iCs/>
                <w:sz w:val="20"/>
                <w:szCs w:val="20"/>
              </w:rPr>
              <w:t>sobre</w:t>
            </w:r>
            <w:proofErr w:type="spellEnd"/>
            <w:r w:rsidRPr="00FF77AE">
              <w:rPr>
                <w:rFonts w:ascii="Garamond" w:hAnsi="Garamond"/>
                <w:i/>
                <w:iCs/>
                <w:sz w:val="20"/>
                <w:szCs w:val="20"/>
              </w:rPr>
              <w:t>:</w:t>
            </w:r>
          </w:p>
        </w:tc>
        <w:tc>
          <w:tcPr>
            <w:tcW w:w="2268" w:type="dxa"/>
            <w:tcBorders>
              <w:top w:val="single" w:sz="4" w:space="0" w:color="auto"/>
              <w:bottom w:val="single" w:sz="4" w:space="0" w:color="auto"/>
            </w:tcBorders>
            <w:shd w:val="clear" w:color="auto" w:fill="D9E2F3" w:themeFill="accent1" w:themeFillTint="33"/>
          </w:tcPr>
          <w:p w14:paraId="537017AB" w14:textId="77777777" w:rsidR="00541FA6" w:rsidRPr="00540E27" w:rsidRDefault="00541FA6" w:rsidP="00541FA6">
            <w:pPr>
              <w:jc w:val="center"/>
              <w:rPr>
                <w:rFonts w:ascii="Garamond" w:hAnsi="Garamond"/>
                <w:sz w:val="20"/>
                <w:szCs w:val="20"/>
                <w:lang w:val="pt-PT"/>
              </w:rPr>
            </w:pPr>
            <w:r w:rsidRPr="00540E27">
              <w:rPr>
                <w:rFonts w:ascii="Garamond" w:hAnsi="Garamond"/>
                <w:b/>
                <w:bCs/>
                <w:sz w:val="20"/>
                <w:szCs w:val="20"/>
                <w:lang w:val="pt-PT"/>
              </w:rPr>
              <w:t xml:space="preserve">Como gastar o dinheiro ganho </w:t>
            </w:r>
            <w:proofErr w:type="spellStart"/>
            <w:r w:rsidRPr="00540E27">
              <w:rPr>
                <w:rFonts w:ascii="Garamond" w:hAnsi="Garamond"/>
                <w:b/>
                <w:bCs/>
                <w:sz w:val="20"/>
                <w:szCs w:val="20"/>
                <w:lang w:val="pt-PT"/>
              </w:rPr>
              <w:t>pela</w:t>
            </w:r>
            <w:proofErr w:type="spellEnd"/>
            <w:r w:rsidRPr="00540E27">
              <w:rPr>
                <w:rFonts w:ascii="Garamond" w:hAnsi="Garamond"/>
                <w:b/>
                <w:bCs/>
                <w:sz w:val="20"/>
                <w:szCs w:val="20"/>
                <w:lang w:val="pt-PT"/>
              </w:rPr>
              <w:t xml:space="preserve"> mulher</w:t>
            </w:r>
          </w:p>
        </w:tc>
        <w:tc>
          <w:tcPr>
            <w:tcW w:w="2693" w:type="dxa"/>
            <w:tcBorders>
              <w:top w:val="single" w:sz="4" w:space="0" w:color="auto"/>
              <w:bottom w:val="single" w:sz="4" w:space="0" w:color="auto"/>
            </w:tcBorders>
            <w:shd w:val="clear" w:color="auto" w:fill="D9E2F3" w:themeFill="accent1" w:themeFillTint="33"/>
          </w:tcPr>
          <w:p w14:paraId="0E48CAA0" w14:textId="77777777" w:rsidR="00541FA6" w:rsidRPr="00540E27" w:rsidRDefault="00541FA6" w:rsidP="00541FA6">
            <w:pPr>
              <w:jc w:val="center"/>
              <w:rPr>
                <w:rFonts w:ascii="Garamond" w:hAnsi="Garamond"/>
                <w:sz w:val="20"/>
                <w:szCs w:val="20"/>
                <w:lang w:val="pt-PT"/>
              </w:rPr>
            </w:pPr>
            <w:r w:rsidRPr="00540E27">
              <w:rPr>
                <w:rFonts w:ascii="Garamond" w:hAnsi="Garamond"/>
                <w:b/>
                <w:bCs/>
                <w:sz w:val="20"/>
                <w:szCs w:val="20"/>
                <w:lang w:val="pt-PT"/>
              </w:rPr>
              <w:t xml:space="preserve">Como gastar o dinheiro ganho </w:t>
            </w:r>
            <w:proofErr w:type="spellStart"/>
            <w:r w:rsidRPr="00540E27">
              <w:rPr>
                <w:rFonts w:ascii="Garamond" w:hAnsi="Garamond"/>
                <w:b/>
                <w:bCs/>
                <w:sz w:val="20"/>
                <w:szCs w:val="20"/>
                <w:lang w:val="pt-PT"/>
              </w:rPr>
              <w:t>pelo</w:t>
            </w:r>
            <w:proofErr w:type="spellEnd"/>
            <w:r w:rsidRPr="00540E27">
              <w:rPr>
                <w:rFonts w:ascii="Garamond" w:hAnsi="Garamond"/>
                <w:b/>
                <w:bCs/>
                <w:sz w:val="20"/>
                <w:szCs w:val="20"/>
                <w:lang w:val="pt-PT"/>
              </w:rPr>
              <w:t xml:space="preserve"> homem</w:t>
            </w:r>
          </w:p>
        </w:tc>
      </w:tr>
      <w:tr w:rsidR="00541FA6" w:rsidRPr="00FF77AE" w14:paraId="4141B3A9" w14:textId="77777777" w:rsidTr="00541FA6">
        <w:trPr>
          <w:jc w:val="center"/>
        </w:trPr>
        <w:tc>
          <w:tcPr>
            <w:tcW w:w="1985" w:type="dxa"/>
            <w:tcBorders>
              <w:top w:val="single" w:sz="4" w:space="0" w:color="auto"/>
              <w:bottom w:val="single" w:sz="4" w:space="0" w:color="auto"/>
            </w:tcBorders>
            <w:shd w:val="clear" w:color="auto" w:fill="8EAADB" w:themeFill="accent1" w:themeFillTint="99"/>
          </w:tcPr>
          <w:p w14:paraId="11D24B1D" w14:textId="77777777" w:rsidR="00541FA6" w:rsidRPr="00FF77AE" w:rsidRDefault="00541FA6" w:rsidP="00541FA6">
            <w:pPr>
              <w:jc w:val="both"/>
              <w:rPr>
                <w:rFonts w:ascii="Garamond" w:hAnsi="Garamond"/>
                <w:b/>
                <w:bCs/>
                <w:sz w:val="20"/>
                <w:szCs w:val="20"/>
              </w:rPr>
            </w:pPr>
            <w:r w:rsidRPr="00FF77AE">
              <w:rPr>
                <w:rFonts w:ascii="Garamond" w:hAnsi="Garamond"/>
                <w:b/>
                <w:bCs/>
                <w:sz w:val="20"/>
                <w:szCs w:val="20"/>
              </w:rPr>
              <w:t>2005</w:t>
            </w:r>
          </w:p>
        </w:tc>
        <w:tc>
          <w:tcPr>
            <w:tcW w:w="2268" w:type="dxa"/>
            <w:tcBorders>
              <w:top w:val="single" w:sz="4" w:space="0" w:color="auto"/>
              <w:bottom w:val="single" w:sz="4" w:space="0" w:color="auto"/>
            </w:tcBorders>
            <w:shd w:val="clear" w:color="auto" w:fill="8EAADB" w:themeFill="accent1" w:themeFillTint="99"/>
          </w:tcPr>
          <w:p w14:paraId="4B98586C" w14:textId="77777777" w:rsidR="00541FA6" w:rsidRPr="00FF77AE" w:rsidRDefault="00541FA6" w:rsidP="00541FA6">
            <w:pPr>
              <w:jc w:val="center"/>
              <w:rPr>
                <w:rFonts w:ascii="Garamond" w:hAnsi="Garamond"/>
                <w:b/>
                <w:bCs/>
                <w:sz w:val="20"/>
                <w:szCs w:val="20"/>
              </w:rPr>
            </w:pPr>
          </w:p>
        </w:tc>
        <w:tc>
          <w:tcPr>
            <w:tcW w:w="2693" w:type="dxa"/>
            <w:tcBorders>
              <w:top w:val="single" w:sz="4" w:space="0" w:color="auto"/>
              <w:bottom w:val="single" w:sz="4" w:space="0" w:color="auto"/>
            </w:tcBorders>
            <w:shd w:val="clear" w:color="auto" w:fill="8EAADB" w:themeFill="accent1" w:themeFillTint="99"/>
          </w:tcPr>
          <w:p w14:paraId="2E850C9D" w14:textId="77777777" w:rsidR="00541FA6" w:rsidRPr="00FF77AE" w:rsidRDefault="00541FA6" w:rsidP="00541FA6">
            <w:pPr>
              <w:jc w:val="center"/>
              <w:rPr>
                <w:rFonts w:ascii="Garamond" w:hAnsi="Garamond"/>
                <w:b/>
                <w:bCs/>
                <w:sz w:val="20"/>
                <w:szCs w:val="20"/>
              </w:rPr>
            </w:pPr>
          </w:p>
        </w:tc>
      </w:tr>
      <w:tr w:rsidR="00541FA6" w:rsidRPr="00FF77AE" w14:paraId="36B62730" w14:textId="77777777" w:rsidTr="00541FA6">
        <w:trPr>
          <w:jc w:val="center"/>
        </w:trPr>
        <w:tc>
          <w:tcPr>
            <w:tcW w:w="1985" w:type="dxa"/>
            <w:tcBorders>
              <w:top w:val="single" w:sz="4" w:space="0" w:color="auto"/>
            </w:tcBorders>
          </w:tcPr>
          <w:p w14:paraId="10961EF5" w14:textId="77777777" w:rsidR="00541FA6" w:rsidRPr="00FF77AE" w:rsidRDefault="00541FA6" w:rsidP="00541FA6">
            <w:pPr>
              <w:spacing w:before="60"/>
              <w:rPr>
                <w:rFonts w:ascii="Garamond" w:hAnsi="Garamond"/>
                <w:sz w:val="20"/>
                <w:szCs w:val="20"/>
              </w:rPr>
            </w:pPr>
            <w:r w:rsidRPr="00FF77AE">
              <w:rPr>
                <w:rFonts w:ascii="Garamond" w:hAnsi="Garamond"/>
                <w:sz w:val="20"/>
                <w:szCs w:val="20"/>
              </w:rPr>
              <w:t>Ela decide</w:t>
            </w:r>
          </w:p>
        </w:tc>
        <w:tc>
          <w:tcPr>
            <w:tcW w:w="2268" w:type="dxa"/>
            <w:tcBorders>
              <w:top w:val="single" w:sz="4" w:space="0" w:color="auto"/>
            </w:tcBorders>
          </w:tcPr>
          <w:p w14:paraId="6A2E5832" w14:textId="77777777" w:rsidR="00541FA6" w:rsidRPr="00FF77AE" w:rsidRDefault="00541FA6" w:rsidP="00541FA6">
            <w:pPr>
              <w:spacing w:before="60"/>
              <w:jc w:val="center"/>
              <w:rPr>
                <w:rFonts w:ascii="Garamond" w:hAnsi="Garamond"/>
                <w:sz w:val="20"/>
                <w:szCs w:val="20"/>
              </w:rPr>
            </w:pPr>
            <w:r w:rsidRPr="00000FD3">
              <w:rPr>
                <w:rFonts w:ascii="Garamond" w:hAnsi="Garamond"/>
                <w:sz w:val="20"/>
                <w:szCs w:val="20"/>
              </w:rPr>
              <w:t>78,6%</w:t>
            </w:r>
          </w:p>
        </w:tc>
        <w:tc>
          <w:tcPr>
            <w:tcW w:w="2693" w:type="dxa"/>
            <w:tcBorders>
              <w:top w:val="single" w:sz="4" w:space="0" w:color="auto"/>
            </w:tcBorders>
          </w:tcPr>
          <w:p w14:paraId="0EFA630A"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w:t>
            </w:r>
          </w:p>
        </w:tc>
      </w:tr>
      <w:tr w:rsidR="00541FA6" w:rsidRPr="00FF77AE" w14:paraId="04FD243F" w14:textId="77777777" w:rsidTr="00541FA6">
        <w:trPr>
          <w:jc w:val="center"/>
        </w:trPr>
        <w:tc>
          <w:tcPr>
            <w:tcW w:w="1985" w:type="dxa"/>
          </w:tcPr>
          <w:p w14:paraId="050A2AE4" w14:textId="77777777" w:rsidR="00541FA6" w:rsidRPr="00FF77AE" w:rsidRDefault="00541FA6" w:rsidP="00541FA6">
            <w:pPr>
              <w:spacing w:before="60"/>
              <w:rPr>
                <w:rFonts w:ascii="Garamond" w:hAnsi="Garamond"/>
                <w:sz w:val="20"/>
                <w:szCs w:val="20"/>
              </w:rPr>
            </w:pPr>
            <w:proofErr w:type="spellStart"/>
            <w:r>
              <w:rPr>
                <w:rFonts w:ascii="Garamond" w:hAnsi="Garamond"/>
                <w:sz w:val="20"/>
                <w:szCs w:val="20"/>
              </w:rPr>
              <w:t>Ele</w:t>
            </w:r>
            <w:proofErr w:type="spellEnd"/>
            <w:r>
              <w:rPr>
                <w:rFonts w:ascii="Garamond" w:hAnsi="Garamond"/>
                <w:sz w:val="20"/>
                <w:szCs w:val="20"/>
              </w:rPr>
              <w:t xml:space="preserve"> decide</w:t>
            </w:r>
            <w:r w:rsidRPr="00FF77AE">
              <w:rPr>
                <w:rFonts w:ascii="Garamond" w:hAnsi="Garamond"/>
                <w:sz w:val="20"/>
                <w:szCs w:val="20"/>
              </w:rPr>
              <w:t xml:space="preserve"> </w:t>
            </w:r>
          </w:p>
        </w:tc>
        <w:tc>
          <w:tcPr>
            <w:tcW w:w="2268" w:type="dxa"/>
            <w:vAlign w:val="center"/>
          </w:tcPr>
          <w:p w14:paraId="721C271F" w14:textId="77777777" w:rsidR="00541FA6" w:rsidRPr="00FF77AE" w:rsidRDefault="00541FA6" w:rsidP="00541FA6">
            <w:pPr>
              <w:spacing w:before="60"/>
              <w:jc w:val="center"/>
              <w:rPr>
                <w:rFonts w:ascii="Garamond" w:hAnsi="Garamond"/>
                <w:sz w:val="20"/>
                <w:szCs w:val="20"/>
              </w:rPr>
            </w:pPr>
            <w:r w:rsidRPr="00000FD3">
              <w:rPr>
                <w:rFonts w:ascii="Garamond" w:hAnsi="Garamond"/>
                <w:sz w:val="20"/>
                <w:szCs w:val="20"/>
              </w:rPr>
              <w:t>19,7%</w:t>
            </w:r>
          </w:p>
        </w:tc>
        <w:tc>
          <w:tcPr>
            <w:tcW w:w="2693" w:type="dxa"/>
            <w:vAlign w:val="center"/>
          </w:tcPr>
          <w:p w14:paraId="3D15B63D"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w:t>
            </w:r>
          </w:p>
        </w:tc>
      </w:tr>
      <w:tr w:rsidR="00541FA6" w:rsidRPr="00FF77AE" w14:paraId="625B9528" w14:textId="77777777" w:rsidTr="00541FA6">
        <w:trPr>
          <w:jc w:val="center"/>
        </w:trPr>
        <w:tc>
          <w:tcPr>
            <w:tcW w:w="1985" w:type="dxa"/>
          </w:tcPr>
          <w:p w14:paraId="7E642F71" w14:textId="77777777" w:rsidR="00541FA6" w:rsidRPr="00FF77AE" w:rsidRDefault="00541FA6" w:rsidP="00541FA6">
            <w:pPr>
              <w:spacing w:before="60"/>
              <w:rPr>
                <w:rFonts w:ascii="Garamond" w:hAnsi="Garamond"/>
                <w:sz w:val="20"/>
                <w:szCs w:val="20"/>
              </w:rPr>
            </w:pPr>
            <w:proofErr w:type="spellStart"/>
            <w:r w:rsidRPr="00FF77AE">
              <w:rPr>
                <w:rFonts w:ascii="Garamond" w:hAnsi="Garamond"/>
                <w:sz w:val="20"/>
                <w:szCs w:val="20"/>
              </w:rPr>
              <w:t>Em</w:t>
            </w:r>
            <w:proofErr w:type="spellEnd"/>
            <w:r w:rsidRPr="00FF77AE">
              <w:rPr>
                <w:rFonts w:ascii="Garamond" w:hAnsi="Garamond"/>
                <w:sz w:val="20"/>
                <w:szCs w:val="20"/>
              </w:rPr>
              <w:t xml:space="preserve"> conjunto </w:t>
            </w:r>
          </w:p>
        </w:tc>
        <w:tc>
          <w:tcPr>
            <w:tcW w:w="2268" w:type="dxa"/>
            <w:vAlign w:val="center"/>
          </w:tcPr>
          <w:p w14:paraId="647D08D8" w14:textId="77777777" w:rsidR="00541FA6" w:rsidRPr="00FF77AE" w:rsidRDefault="00541FA6" w:rsidP="00541FA6">
            <w:pPr>
              <w:spacing w:before="60"/>
              <w:jc w:val="center"/>
              <w:rPr>
                <w:rFonts w:ascii="Garamond" w:hAnsi="Garamond"/>
                <w:sz w:val="20"/>
                <w:szCs w:val="20"/>
              </w:rPr>
            </w:pPr>
            <w:r w:rsidRPr="00FF77AE">
              <w:rPr>
                <w:rFonts w:ascii="Garamond" w:hAnsi="Garamond"/>
                <w:sz w:val="20"/>
                <w:szCs w:val="20"/>
              </w:rPr>
              <w:t>1,6%</w:t>
            </w:r>
          </w:p>
        </w:tc>
        <w:tc>
          <w:tcPr>
            <w:tcW w:w="2693" w:type="dxa"/>
            <w:vAlign w:val="center"/>
          </w:tcPr>
          <w:p w14:paraId="2BC93DFB"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w:t>
            </w:r>
          </w:p>
        </w:tc>
      </w:tr>
      <w:tr w:rsidR="00541FA6" w:rsidRPr="00FF77AE" w14:paraId="1D2A6118" w14:textId="77777777" w:rsidTr="00541FA6">
        <w:trPr>
          <w:jc w:val="center"/>
        </w:trPr>
        <w:tc>
          <w:tcPr>
            <w:tcW w:w="1985" w:type="dxa"/>
            <w:tcBorders>
              <w:top w:val="single" w:sz="4" w:space="0" w:color="auto"/>
              <w:bottom w:val="single" w:sz="4" w:space="0" w:color="auto"/>
            </w:tcBorders>
            <w:shd w:val="clear" w:color="auto" w:fill="8EAADB" w:themeFill="accent1" w:themeFillTint="99"/>
          </w:tcPr>
          <w:p w14:paraId="6E760A9A" w14:textId="77777777" w:rsidR="00541FA6" w:rsidRPr="00FF77AE" w:rsidRDefault="00541FA6" w:rsidP="00541FA6">
            <w:pPr>
              <w:jc w:val="both"/>
              <w:rPr>
                <w:rFonts w:ascii="Garamond" w:hAnsi="Garamond"/>
                <w:sz w:val="20"/>
                <w:szCs w:val="20"/>
              </w:rPr>
            </w:pPr>
            <w:r w:rsidRPr="00FF77AE">
              <w:rPr>
                <w:rFonts w:ascii="Garamond" w:hAnsi="Garamond"/>
                <w:b/>
                <w:bCs/>
                <w:sz w:val="20"/>
                <w:szCs w:val="20"/>
              </w:rPr>
              <w:t>20</w:t>
            </w:r>
            <w:r>
              <w:rPr>
                <w:rFonts w:ascii="Garamond" w:hAnsi="Garamond"/>
                <w:b/>
                <w:bCs/>
                <w:sz w:val="20"/>
                <w:szCs w:val="20"/>
              </w:rPr>
              <w:t>18</w:t>
            </w:r>
          </w:p>
        </w:tc>
        <w:tc>
          <w:tcPr>
            <w:tcW w:w="2268" w:type="dxa"/>
            <w:tcBorders>
              <w:top w:val="single" w:sz="4" w:space="0" w:color="auto"/>
              <w:bottom w:val="single" w:sz="4" w:space="0" w:color="auto"/>
            </w:tcBorders>
            <w:shd w:val="clear" w:color="auto" w:fill="8EAADB" w:themeFill="accent1" w:themeFillTint="99"/>
            <w:vAlign w:val="center"/>
          </w:tcPr>
          <w:p w14:paraId="4181A570" w14:textId="77777777" w:rsidR="00541FA6" w:rsidRPr="00FF77AE" w:rsidRDefault="00541FA6" w:rsidP="00541FA6">
            <w:pPr>
              <w:jc w:val="center"/>
              <w:rPr>
                <w:rFonts w:ascii="Garamond" w:hAnsi="Garamond"/>
                <w:sz w:val="20"/>
                <w:szCs w:val="20"/>
              </w:rPr>
            </w:pPr>
          </w:p>
        </w:tc>
        <w:tc>
          <w:tcPr>
            <w:tcW w:w="2693" w:type="dxa"/>
            <w:tcBorders>
              <w:top w:val="single" w:sz="4" w:space="0" w:color="auto"/>
              <w:bottom w:val="single" w:sz="4" w:space="0" w:color="auto"/>
            </w:tcBorders>
            <w:shd w:val="clear" w:color="auto" w:fill="8EAADB" w:themeFill="accent1" w:themeFillTint="99"/>
            <w:vAlign w:val="center"/>
          </w:tcPr>
          <w:p w14:paraId="25B49E51" w14:textId="77777777" w:rsidR="00541FA6" w:rsidRPr="00FF77AE" w:rsidRDefault="00541FA6" w:rsidP="00541FA6">
            <w:pPr>
              <w:jc w:val="center"/>
              <w:rPr>
                <w:rFonts w:ascii="Garamond" w:hAnsi="Garamond"/>
                <w:sz w:val="20"/>
                <w:szCs w:val="20"/>
              </w:rPr>
            </w:pPr>
          </w:p>
        </w:tc>
      </w:tr>
      <w:tr w:rsidR="00541FA6" w:rsidRPr="00FF77AE" w14:paraId="28274F97" w14:textId="77777777" w:rsidTr="00541FA6">
        <w:trPr>
          <w:jc w:val="center"/>
        </w:trPr>
        <w:tc>
          <w:tcPr>
            <w:tcW w:w="1985" w:type="dxa"/>
            <w:tcBorders>
              <w:top w:val="single" w:sz="4" w:space="0" w:color="auto"/>
            </w:tcBorders>
          </w:tcPr>
          <w:p w14:paraId="7DDB9D1F" w14:textId="77777777" w:rsidR="00541FA6" w:rsidRPr="00FF77AE" w:rsidRDefault="00541FA6" w:rsidP="00541FA6">
            <w:pPr>
              <w:spacing w:before="60"/>
              <w:rPr>
                <w:rFonts w:ascii="Garamond" w:hAnsi="Garamond"/>
                <w:sz w:val="20"/>
                <w:szCs w:val="20"/>
              </w:rPr>
            </w:pPr>
            <w:r w:rsidRPr="00FF77AE">
              <w:rPr>
                <w:rFonts w:ascii="Garamond" w:hAnsi="Garamond"/>
                <w:sz w:val="20"/>
                <w:szCs w:val="20"/>
              </w:rPr>
              <w:t>Ela</w:t>
            </w:r>
            <w:r>
              <w:rPr>
                <w:rFonts w:ascii="Garamond" w:hAnsi="Garamond"/>
                <w:sz w:val="20"/>
                <w:szCs w:val="20"/>
              </w:rPr>
              <w:t xml:space="preserve"> </w:t>
            </w:r>
            <w:r w:rsidRPr="00FF77AE">
              <w:rPr>
                <w:rFonts w:ascii="Garamond" w:hAnsi="Garamond"/>
                <w:sz w:val="20"/>
                <w:szCs w:val="20"/>
              </w:rPr>
              <w:t>decide</w:t>
            </w:r>
          </w:p>
        </w:tc>
        <w:tc>
          <w:tcPr>
            <w:tcW w:w="2268" w:type="dxa"/>
            <w:tcBorders>
              <w:top w:val="single" w:sz="4" w:space="0" w:color="auto"/>
            </w:tcBorders>
            <w:vAlign w:val="center"/>
          </w:tcPr>
          <w:p w14:paraId="6D27B26F"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51,2%</w:t>
            </w:r>
          </w:p>
        </w:tc>
        <w:tc>
          <w:tcPr>
            <w:tcW w:w="2693" w:type="dxa"/>
            <w:tcBorders>
              <w:top w:val="single" w:sz="4" w:space="0" w:color="auto"/>
            </w:tcBorders>
            <w:vAlign w:val="center"/>
          </w:tcPr>
          <w:p w14:paraId="26F5360D"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20</w:t>
            </w:r>
            <w:r w:rsidRPr="00000FD3">
              <w:rPr>
                <w:rFonts w:ascii="Garamond" w:hAnsi="Garamond"/>
                <w:sz w:val="20"/>
                <w:szCs w:val="20"/>
              </w:rPr>
              <w:t>,</w:t>
            </w:r>
            <w:r>
              <w:rPr>
                <w:rFonts w:ascii="Garamond" w:hAnsi="Garamond"/>
                <w:sz w:val="20"/>
                <w:szCs w:val="20"/>
              </w:rPr>
              <w:t>7</w:t>
            </w:r>
            <w:r w:rsidRPr="00000FD3">
              <w:rPr>
                <w:rFonts w:ascii="Garamond" w:hAnsi="Garamond"/>
                <w:sz w:val="20"/>
                <w:szCs w:val="20"/>
              </w:rPr>
              <w:t>%</w:t>
            </w:r>
          </w:p>
        </w:tc>
      </w:tr>
      <w:tr w:rsidR="00541FA6" w:rsidRPr="00FF77AE" w14:paraId="0C33616D" w14:textId="77777777" w:rsidTr="00541FA6">
        <w:trPr>
          <w:jc w:val="center"/>
        </w:trPr>
        <w:tc>
          <w:tcPr>
            <w:tcW w:w="1985" w:type="dxa"/>
          </w:tcPr>
          <w:p w14:paraId="0725168C" w14:textId="77777777" w:rsidR="00541FA6" w:rsidRPr="00FF77AE" w:rsidRDefault="00541FA6" w:rsidP="00541FA6">
            <w:pPr>
              <w:spacing w:before="60"/>
              <w:rPr>
                <w:rFonts w:ascii="Garamond" w:hAnsi="Garamond"/>
                <w:sz w:val="20"/>
                <w:szCs w:val="20"/>
              </w:rPr>
            </w:pPr>
            <w:proofErr w:type="spellStart"/>
            <w:r>
              <w:rPr>
                <w:rFonts w:ascii="Garamond" w:hAnsi="Garamond"/>
                <w:sz w:val="20"/>
                <w:szCs w:val="20"/>
              </w:rPr>
              <w:t>Ele</w:t>
            </w:r>
            <w:proofErr w:type="spellEnd"/>
            <w:r>
              <w:rPr>
                <w:rFonts w:ascii="Garamond" w:hAnsi="Garamond"/>
                <w:sz w:val="20"/>
                <w:szCs w:val="20"/>
              </w:rPr>
              <w:t xml:space="preserve"> decide</w:t>
            </w:r>
            <w:r w:rsidRPr="00FF77AE">
              <w:rPr>
                <w:rFonts w:ascii="Garamond" w:hAnsi="Garamond"/>
                <w:sz w:val="20"/>
                <w:szCs w:val="20"/>
              </w:rPr>
              <w:t xml:space="preserve"> </w:t>
            </w:r>
          </w:p>
        </w:tc>
        <w:tc>
          <w:tcPr>
            <w:tcW w:w="2268" w:type="dxa"/>
            <w:vAlign w:val="center"/>
          </w:tcPr>
          <w:p w14:paraId="34DE9F4C"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6,8%</w:t>
            </w:r>
          </w:p>
        </w:tc>
        <w:tc>
          <w:tcPr>
            <w:tcW w:w="2693" w:type="dxa"/>
            <w:vAlign w:val="center"/>
          </w:tcPr>
          <w:p w14:paraId="5B92076A"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25,2</w:t>
            </w:r>
            <w:r w:rsidRPr="00FF77AE">
              <w:rPr>
                <w:rFonts w:ascii="Garamond" w:hAnsi="Garamond"/>
                <w:sz w:val="20"/>
                <w:szCs w:val="20"/>
              </w:rPr>
              <w:t>%</w:t>
            </w:r>
          </w:p>
        </w:tc>
      </w:tr>
      <w:tr w:rsidR="00541FA6" w:rsidRPr="00FF77AE" w14:paraId="2A2B21C5" w14:textId="77777777" w:rsidTr="00541FA6">
        <w:trPr>
          <w:jc w:val="center"/>
        </w:trPr>
        <w:tc>
          <w:tcPr>
            <w:tcW w:w="1985" w:type="dxa"/>
            <w:tcBorders>
              <w:bottom w:val="single" w:sz="4" w:space="0" w:color="auto"/>
            </w:tcBorders>
          </w:tcPr>
          <w:p w14:paraId="2A2D4600" w14:textId="77777777" w:rsidR="00541FA6" w:rsidRPr="00FF77AE" w:rsidRDefault="00541FA6" w:rsidP="00541FA6">
            <w:pPr>
              <w:spacing w:before="60"/>
              <w:rPr>
                <w:rFonts w:ascii="Garamond" w:hAnsi="Garamond"/>
                <w:sz w:val="20"/>
                <w:szCs w:val="20"/>
              </w:rPr>
            </w:pPr>
            <w:proofErr w:type="spellStart"/>
            <w:r w:rsidRPr="00FF77AE">
              <w:rPr>
                <w:rFonts w:ascii="Garamond" w:hAnsi="Garamond"/>
                <w:sz w:val="20"/>
                <w:szCs w:val="20"/>
              </w:rPr>
              <w:t>Em</w:t>
            </w:r>
            <w:proofErr w:type="spellEnd"/>
            <w:r w:rsidRPr="00FF77AE">
              <w:rPr>
                <w:rFonts w:ascii="Garamond" w:hAnsi="Garamond"/>
                <w:sz w:val="20"/>
                <w:szCs w:val="20"/>
              </w:rPr>
              <w:t xml:space="preserve"> conjunto</w:t>
            </w:r>
          </w:p>
        </w:tc>
        <w:tc>
          <w:tcPr>
            <w:tcW w:w="2268" w:type="dxa"/>
            <w:tcBorders>
              <w:bottom w:val="single" w:sz="4" w:space="0" w:color="auto"/>
            </w:tcBorders>
            <w:vAlign w:val="center"/>
          </w:tcPr>
          <w:p w14:paraId="25E338B5"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42%</w:t>
            </w:r>
          </w:p>
        </w:tc>
        <w:tc>
          <w:tcPr>
            <w:tcW w:w="2693" w:type="dxa"/>
            <w:tcBorders>
              <w:bottom w:val="single" w:sz="4" w:space="0" w:color="auto"/>
            </w:tcBorders>
            <w:vAlign w:val="center"/>
          </w:tcPr>
          <w:p w14:paraId="19032EE7" w14:textId="77777777" w:rsidR="00541FA6" w:rsidRPr="00FF77AE" w:rsidRDefault="00541FA6" w:rsidP="00541FA6">
            <w:pPr>
              <w:spacing w:before="60"/>
              <w:jc w:val="center"/>
              <w:rPr>
                <w:rFonts w:ascii="Garamond" w:hAnsi="Garamond"/>
                <w:sz w:val="20"/>
                <w:szCs w:val="20"/>
              </w:rPr>
            </w:pPr>
            <w:r>
              <w:rPr>
                <w:rFonts w:ascii="Garamond" w:hAnsi="Garamond"/>
                <w:sz w:val="20"/>
                <w:szCs w:val="20"/>
              </w:rPr>
              <w:t>53</w:t>
            </w:r>
            <w:r w:rsidRPr="00000FD3">
              <w:rPr>
                <w:rFonts w:ascii="Garamond" w:hAnsi="Garamond"/>
                <w:sz w:val="20"/>
                <w:szCs w:val="20"/>
              </w:rPr>
              <w:t>,7%</w:t>
            </w:r>
          </w:p>
        </w:tc>
      </w:tr>
    </w:tbl>
    <w:p w14:paraId="53BB51D7" w14:textId="77777777" w:rsidR="00541FA6" w:rsidRPr="00540E27" w:rsidRDefault="00541FA6" w:rsidP="00541FA6">
      <w:pPr>
        <w:pStyle w:val="PargrafodaLista"/>
        <w:ind w:left="360"/>
        <w:jc w:val="center"/>
        <w:rPr>
          <w:rFonts w:ascii="Garamond" w:hAnsi="Garamond"/>
          <w:lang w:val="pt-PT"/>
        </w:rPr>
      </w:pPr>
      <w:r w:rsidRPr="00540E27">
        <w:rPr>
          <w:rFonts w:ascii="Garamond" w:hAnsi="Garamond"/>
          <w:b/>
          <w:bCs/>
          <w:sz w:val="20"/>
          <w:szCs w:val="20"/>
          <w:lang w:val="pt-PT"/>
        </w:rPr>
        <w:t xml:space="preserve">Fonte: elaboração própria com base nos dados do </w:t>
      </w:r>
      <w:proofErr w:type="spellStart"/>
      <w:r w:rsidRPr="00540E27">
        <w:rPr>
          <w:rFonts w:ascii="Garamond" w:hAnsi="Garamond"/>
          <w:b/>
          <w:bCs/>
          <w:sz w:val="20"/>
          <w:szCs w:val="20"/>
          <w:lang w:val="pt-PT"/>
        </w:rPr>
        <w:t>IDSR</w:t>
      </w:r>
      <w:proofErr w:type="spellEnd"/>
      <w:r w:rsidRPr="00540E27">
        <w:rPr>
          <w:rFonts w:ascii="Garamond" w:hAnsi="Garamond"/>
          <w:b/>
          <w:bCs/>
          <w:sz w:val="20"/>
          <w:szCs w:val="20"/>
          <w:lang w:val="pt-PT"/>
        </w:rPr>
        <w:t xml:space="preserve"> III (2018)</w:t>
      </w:r>
      <w:r>
        <w:rPr>
          <w:rFonts w:ascii="Garamond" w:hAnsi="Garamond"/>
          <w:b/>
          <w:bCs/>
          <w:sz w:val="20"/>
          <w:szCs w:val="20"/>
          <w:lang w:val="pt-PT"/>
        </w:rPr>
        <w:t xml:space="preserve"> e </w:t>
      </w:r>
      <w:proofErr w:type="spellStart"/>
      <w:r>
        <w:rPr>
          <w:rFonts w:ascii="Garamond" w:hAnsi="Garamond"/>
          <w:b/>
          <w:bCs/>
          <w:sz w:val="20"/>
          <w:szCs w:val="20"/>
          <w:lang w:val="pt-PT"/>
        </w:rPr>
        <w:t>IDSR</w:t>
      </w:r>
      <w:proofErr w:type="spellEnd"/>
      <w:r>
        <w:rPr>
          <w:rFonts w:ascii="Garamond" w:hAnsi="Garamond"/>
          <w:b/>
          <w:bCs/>
          <w:sz w:val="20"/>
          <w:szCs w:val="20"/>
          <w:lang w:val="pt-PT"/>
        </w:rPr>
        <w:t xml:space="preserve"> II (2005)</w:t>
      </w:r>
    </w:p>
    <w:p w14:paraId="543F85B0" w14:textId="77777777" w:rsidR="00541FA6" w:rsidRPr="009844FE" w:rsidRDefault="00541FA6" w:rsidP="00541FA6">
      <w:pPr>
        <w:pStyle w:val="PargrafodaLista"/>
        <w:ind w:left="360"/>
        <w:jc w:val="both"/>
        <w:rPr>
          <w:rFonts w:ascii="Garamond" w:hAnsi="Garamond"/>
          <w:lang w:val="pt-PT"/>
        </w:rPr>
      </w:pPr>
    </w:p>
    <w:p w14:paraId="23F88FF3" w14:textId="77777777" w:rsidR="00541FA6" w:rsidRPr="009844FE" w:rsidRDefault="00541FA6" w:rsidP="00541FA6">
      <w:pPr>
        <w:jc w:val="both"/>
        <w:rPr>
          <w:rFonts w:ascii="Garamond" w:hAnsi="Garamond"/>
          <w:lang w:val="pt-PT"/>
        </w:rPr>
      </w:pPr>
      <w:r w:rsidRPr="009844FE">
        <w:rPr>
          <w:rFonts w:ascii="Garamond" w:hAnsi="Garamond"/>
          <w:lang w:val="pt-PT"/>
        </w:rPr>
        <w:t xml:space="preserve">Note-se que o </w:t>
      </w:r>
      <w:proofErr w:type="spellStart"/>
      <w:r w:rsidRPr="009844FE">
        <w:rPr>
          <w:rFonts w:ascii="Garamond" w:hAnsi="Garamond"/>
          <w:lang w:val="pt-PT"/>
        </w:rPr>
        <w:t>IDSR</w:t>
      </w:r>
      <w:proofErr w:type="spellEnd"/>
      <w:r w:rsidRPr="009844FE">
        <w:rPr>
          <w:rFonts w:ascii="Garamond" w:hAnsi="Garamond"/>
          <w:lang w:val="pt-PT"/>
        </w:rPr>
        <w:t xml:space="preserve"> contem vários outros indicadores de participação de mulheres e homens na tomada de decisão</w:t>
      </w:r>
      <w:r>
        <w:rPr>
          <w:rFonts w:ascii="Garamond" w:hAnsi="Garamond"/>
          <w:lang w:val="pt-PT"/>
        </w:rPr>
        <w:t xml:space="preserve"> e de empoderamento das mulheres, </w:t>
      </w:r>
      <w:r w:rsidRPr="009844FE">
        <w:rPr>
          <w:rFonts w:ascii="Garamond" w:hAnsi="Garamond"/>
          <w:lang w:val="pt-PT"/>
        </w:rPr>
        <w:t xml:space="preserve">que vêm evoluindo positivamente, em linha com o trabalho </w:t>
      </w:r>
      <w:r>
        <w:rPr>
          <w:rFonts w:ascii="Garamond" w:hAnsi="Garamond"/>
          <w:lang w:val="pt-PT"/>
        </w:rPr>
        <w:t>dos</w:t>
      </w:r>
      <w:r w:rsidRPr="009844FE">
        <w:rPr>
          <w:rFonts w:ascii="Garamond" w:hAnsi="Garamond"/>
          <w:lang w:val="pt-PT"/>
        </w:rPr>
        <w:t xml:space="preserve"> últimos anos sobre direitos das mulheres e relações de género. </w:t>
      </w:r>
    </w:p>
    <w:p w14:paraId="11B71D0B" w14:textId="6C01BB4C" w:rsidR="00541FA6" w:rsidRDefault="00541FA6" w:rsidP="002A62A2">
      <w:pPr>
        <w:pStyle w:val="PargrafodaLista"/>
        <w:numPr>
          <w:ilvl w:val="0"/>
          <w:numId w:val="84"/>
        </w:numPr>
        <w:spacing w:line="259" w:lineRule="auto"/>
        <w:jc w:val="both"/>
        <w:rPr>
          <w:rFonts w:ascii="Garamond" w:hAnsi="Garamond"/>
          <w:lang w:val="pt-PT"/>
        </w:rPr>
      </w:pPr>
      <w:r w:rsidRPr="009844FE">
        <w:rPr>
          <w:rFonts w:ascii="Garamond" w:hAnsi="Garamond"/>
          <w:lang w:val="pt-PT"/>
        </w:rPr>
        <w:t xml:space="preserve">Os dados do </w:t>
      </w:r>
      <w:proofErr w:type="spellStart"/>
      <w:r w:rsidRPr="009844FE">
        <w:rPr>
          <w:rFonts w:ascii="Garamond" w:hAnsi="Garamond"/>
          <w:lang w:val="pt-PT"/>
        </w:rPr>
        <w:t>IDSR</w:t>
      </w:r>
      <w:proofErr w:type="spellEnd"/>
      <w:r w:rsidRPr="009844FE">
        <w:rPr>
          <w:rFonts w:ascii="Garamond" w:hAnsi="Garamond"/>
          <w:lang w:val="pt-PT"/>
        </w:rPr>
        <w:t xml:space="preserve"> III deverão ser explorados de forma aprofundada e holística</w:t>
      </w:r>
      <w:r>
        <w:rPr>
          <w:rFonts w:ascii="Garamond" w:hAnsi="Garamond"/>
          <w:lang w:val="pt-PT"/>
        </w:rPr>
        <w:t xml:space="preserve">, </w:t>
      </w:r>
      <w:r w:rsidRPr="009844FE">
        <w:rPr>
          <w:rFonts w:ascii="Garamond" w:hAnsi="Garamond"/>
          <w:lang w:val="pt-PT"/>
        </w:rPr>
        <w:t xml:space="preserve">no sentido de identificar grupos específicos a trabalhar (zonas do país, faixas etárias, etc.) e questões a trabalhar nas </w:t>
      </w:r>
      <w:proofErr w:type="spellStart"/>
      <w:r w:rsidRPr="009844FE">
        <w:rPr>
          <w:rFonts w:ascii="Garamond" w:hAnsi="Garamond"/>
          <w:lang w:val="pt-PT"/>
        </w:rPr>
        <w:t>ações</w:t>
      </w:r>
      <w:proofErr w:type="spellEnd"/>
      <w:r w:rsidRPr="009844FE">
        <w:rPr>
          <w:rFonts w:ascii="Garamond" w:hAnsi="Garamond"/>
          <w:lang w:val="pt-PT"/>
        </w:rPr>
        <w:t xml:space="preserve"> educativas e de sensibilização previstas nos vários Eixos do </w:t>
      </w:r>
      <w:proofErr w:type="spellStart"/>
      <w:r w:rsidRPr="009844FE">
        <w:rPr>
          <w:rFonts w:ascii="Garamond" w:hAnsi="Garamond"/>
          <w:lang w:val="pt-PT"/>
        </w:rPr>
        <w:t>PNIG</w:t>
      </w:r>
      <w:proofErr w:type="spellEnd"/>
      <w:r w:rsidRPr="00540E27">
        <w:rPr>
          <w:rFonts w:ascii="Garamond" w:hAnsi="Garamond"/>
          <w:lang w:val="pt-PT"/>
        </w:rPr>
        <w:t xml:space="preserve"> </w:t>
      </w:r>
      <w:r w:rsidRPr="00D4124E">
        <w:rPr>
          <w:rFonts w:ascii="Garamond" w:hAnsi="Garamond"/>
          <w:lang w:val="pt-PT"/>
        </w:rPr>
        <w:t>(medida que fa</w:t>
      </w:r>
      <w:r>
        <w:rPr>
          <w:rFonts w:ascii="Garamond" w:hAnsi="Garamond"/>
          <w:lang w:val="pt-PT"/>
        </w:rPr>
        <w:t>z</w:t>
      </w:r>
      <w:r w:rsidRPr="00D4124E">
        <w:rPr>
          <w:rFonts w:ascii="Garamond" w:hAnsi="Garamond"/>
          <w:lang w:val="pt-PT"/>
        </w:rPr>
        <w:t xml:space="preserve"> parte do Eixo </w:t>
      </w:r>
      <w:r w:rsidRPr="00D4124E">
        <w:rPr>
          <w:rFonts w:ascii="Garamond" w:hAnsi="Garamond"/>
          <w:highlight w:val="yellow"/>
          <w:lang w:val="pt-PT"/>
        </w:rPr>
        <w:t>6</w:t>
      </w:r>
      <w:r w:rsidRPr="00D4124E">
        <w:rPr>
          <w:rFonts w:ascii="Garamond" w:hAnsi="Garamond"/>
          <w:lang w:val="pt-PT"/>
        </w:rPr>
        <w:t>)</w:t>
      </w:r>
      <w:r w:rsidR="00676C64">
        <w:rPr>
          <w:rFonts w:ascii="Garamond" w:hAnsi="Garamond"/>
          <w:lang w:val="pt-PT"/>
        </w:rPr>
        <w:t xml:space="preserve">, alimentando a Estratégia de CMC. </w:t>
      </w:r>
    </w:p>
    <w:p w14:paraId="500A077A" w14:textId="77777777" w:rsidR="00541FA6" w:rsidRPr="009844FE" w:rsidRDefault="00541FA6" w:rsidP="00541FA6">
      <w:pPr>
        <w:jc w:val="both"/>
        <w:rPr>
          <w:rFonts w:ascii="Garamond" w:hAnsi="Garamond"/>
          <w:sz w:val="20"/>
          <w:szCs w:val="20"/>
          <w:lang w:val="pt-PT"/>
        </w:rPr>
      </w:pPr>
    </w:p>
    <w:p w14:paraId="2BCDB8A0" w14:textId="77777777" w:rsidR="00541FA6" w:rsidRPr="00CE7F59" w:rsidRDefault="00541FA6" w:rsidP="00541FA6">
      <w:pPr>
        <w:jc w:val="both"/>
        <w:rPr>
          <w:rFonts w:ascii="Garamond" w:hAnsi="Garamond"/>
          <w:lang w:val="pt-PT"/>
        </w:rPr>
      </w:pPr>
      <w:r w:rsidRPr="00CE7F59">
        <w:rPr>
          <w:rFonts w:ascii="Garamond" w:hAnsi="Garamond"/>
          <w:lang w:val="pt-PT"/>
        </w:rPr>
        <w:t>Voltando ao controle nas relações conjugais, verifica-se uma relação entre o número de comportamentos de controle da mulher por parte do cônjuge e a violência conjugal:</w:t>
      </w:r>
    </w:p>
    <w:p w14:paraId="0E309BC8" w14:textId="77777777" w:rsidR="00541FA6" w:rsidRPr="00CE7F59" w:rsidRDefault="00541FA6" w:rsidP="002A62A2">
      <w:pPr>
        <w:pStyle w:val="PargrafodaLista"/>
        <w:numPr>
          <w:ilvl w:val="0"/>
          <w:numId w:val="86"/>
        </w:numPr>
        <w:spacing w:after="240" w:line="259" w:lineRule="auto"/>
        <w:jc w:val="both"/>
        <w:rPr>
          <w:rFonts w:ascii="Garamond" w:hAnsi="Garamond"/>
          <w:b/>
          <w:bCs/>
          <w:lang w:val="pt-PT"/>
        </w:rPr>
      </w:pPr>
      <w:r w:rsidRPr="00CE7F59">
        <w:rPr>
          <w:rFonts w:ascii="Garamond" w:hAnsi="Garamond"/>
          <w:lang w:val="pt-PT"/>
        </w:rPr>
        <w:t>Nos relacionamentos em que o</w:t>
      </w:r>
      <w:r>
        <w:rPr>
          <w:rFonts w:ascii="Garamond" w:hAnsi="Garamond"/>
          <w:lang w:val="pt-PT"/>
        </w:rPr>
        <w:t xml:space="preserve"> cônjuge</w:t>
      </w:r>
      <w:r w:rsidRPr="00CE7F59">
        <w:rPr>
          <w:rFonts w:ascii="Garamond" w:hAnsi="Garamond"/>
          <w:lang w:val="pt-PT"/>
        </w:rPr>
        <w:t xml:space="preserve"> exerce 3 ou 4 tipos de controle, aumenta a proporção de vítimas de violência conjugal (3 em cada 10 mulheres)</w:t>
      </w:r>
    </w:p>
    <w:p w14:paraId="79D51055" w14:textId="77777777" w:rsidR="00541FA6" w:rsidRDefault="00541FA6" w:rsidP="002A62A2">
      <w:pPr>
        <w:pStyle w:val="PargrafodaLista"/>
        <w:numPr>
          <w:ilvl w:val="0"/>
          <w:numId w:val="86"/>
        </w:numPr>
        <w:spacing w:after="240" w:line="259" w:lineRule="auto"/>
        <w:ind w:left="357" w:hanging="357"/>
        <w:contextualSpacing w:val="0"/>
        <w:jc w:val="both"/>
        <w:rPr>
          <w:rFonts w:ascii="Garamond" w:hAnsi="Garamond"/>
          <w:lang w:val="pt-PT"/>
        </w:rPr>
      </w:pPr>
      <w:r>
        <w:rPr>
          <w:rFonts w:ascii="Garamond" w:hAnsi="Garamond"/>
          <w:lang w:val="pt-PT"/>
        </w:rPr>
        <w:t>N</w:t>
      </w:r>
      <w:r w:rsidRPr="00CE7F59">
        <w:rPr>
          <w:rFonts w:ascii="Garamond" w:hAnsi="Garamond"/>
          <w:lang w:val="pt-PT"/>
        </w:rPr>
        <w:t xml:space="preserve">ão havendo comportamento de controle, acontece </w:t>
      </w:r>
      <w:r>
        <w:rPr>
          <w:rFonts w:ascii="Garamond" w:hAnsi="Garamond"/>
          <w:lang w:val="pt-PT"/>
        </w:rPr>
        <w:t xml:space="preserve">com </w:t>
      </w:r>
      <w:r w:rsidRPr="00CE7F59">
        <w:rPr>
          <w:rFonts w:ascii="Garamond" w:hAnsi="Garamond"/>
          <w:lang w:val="pt-PT"/>
        </w:rPr>
        <w:t xml:space="preserve">6 em cada 100 mulheres. </w:t>
      </w:r>
    </w:p>
    <w:p w14:paraId="7DE0946C" w14:textId="6A1B60EF" w:rsidR="00541FA6" w:rsidRPr="00532C6D" w:rsidRDefault="00541FA6" w:rsidP="00541FA6">
      <w:pPr>
        <w:pStyle w:val="Legenda"/>
        <w:spacing w:after="0"/>
        <w:jc w:val="center"/>
        <w:rPr>
          <w:rFonts w:ascii="Garamond" w:hAnsi="Garamond"/>
          <w:b/>
          <w:bCs/>
          <w:color w:val="auto"/>
          <w:sz w:val="20"/>
          <w:szCs w:val="20"/>
          <w:lang w:val="pt-PT"/>
        </w:rPr>
      </w:pPr>
      <w:bookmarkStart w:id="59" w:name="_Toc32856875"/>
      <w:r w:rsidRPr="00532C6D">
        <w:rPr>
          <w:rFonts w:ascii="Garamond" w:hAnsi="Garamond"/>
          <w:b/>
          <w:bCs/>
          <w:color w:val="auto"/>
          <w:sz w:val="20"/>
          <w:szCs w:val="20"/>
          <w:lang w:val="pt-PT"/>
        </w:rPr>
        <w:t xml:space="preserve">Gráfico </w:t>
      </w:r>
      <w:r w:rsidRPr="00532C6D">
        <w:rPr>
          <w:rFonts w:ascii="Garamond" w:hAnsi="Garamond"/>
          <w:b/>
          <w:bCs/>
          <w:color w:val="auto"/>
          <w:sz w:val="20"/>
          <w:szCs w:val="20"/>
          <w:lang w:val="pt-PT"/>
        </w:rPr>
        <w:fldChar w:fldCharType="begin"/>
      </w:r>
      <w:r w:rsidRPr="00532C6D">
        <w:rPr>
          <w:rFonts w:ascii="Garamond" w:hAnsi="Garamond"/>
          <w:b/>
          <w:bCs/>
          <w:color w:val="auto"/>
          <w:sz w:val="20"/>
          <w:szCs w:val="20"/>
          <w:lang w:val="pt-PT"/>
        </w:rPr>
        <w:instrText xml:space="preserve"> SEQ Grafico \* ARABIC </w:instrText>
      </w:r>
      <w:r w:rsidRPr="00532C6D">
        <w:rPr>
          <w:rFonts w:ascii="Garamond" w:hAnsi="Garamond"/>
          <w:b/>
          <w:bCs/>
          <w:color w:val="auto"/>
          <w:sz w:val="20"/>
          <w:szCs w:val="20"/>
          <w:lang w:val="pt-PT"/>
        </w:rPr>
        <w:fldChar w:fldCharType="separate"/>
      </w:r>
      <w:r w:rsidR="009F122A">
        <w:rPr>
          <w:rFonts w:ascii="Garamond" w:hAnsi="Garamond"/>
          <w:b/>
          <w:bCs/>
          <w:noProof/>
          <w:color w:val="auto"/>
          <w:sz w:val="20"/>
          <w:szCs w:val="20"/>
          <w:lang w:val="pt-PT"/>
        </w:rPr>
        <w:t>21</w:t>
      </w:r>
      <w:r w:rsidRPr="00532C6D">
        <w:rPr>
          <w:rFonts w:ascii="Garamond" w:hAnsi="Garamond"/>
          <w:b/>
          <w:bCs/>
          <w:color w:val="auto"/>
          <w:sz w:val="20"/>
          <w:szCs w:val="20"/>
          <w:lang w:val="pt-PT"/>
        </w:rPr>
        <w:fldChar w:fldCharType="end"/>
      </w:r>
      <w:r w:rsidRPr="00532C6D">
        <w:rPr>
          <w:rFonts w:ascii="Garamond" w:hAnsi="Garamond"/>
          <w:b/>
          <w:bCs/>
          <w:color w:val="auto"/>
          <w:sz w:val="20"/>
          <w:szCs w:val="20"/>
          <w:lang w:val="pt-PT"/>
        </w:rPr>
        <w:t xml:space="preserve"> - % de mulheres que sofreram algum tipo de violência conjugal (emocional, física ou sexual) de acordo com o nº de comportamentos de controle exercidos </w:t>
      </w:r>
      <w:proofErr w:type="spellStart"/>
      <w:r w:rsidRPr="00532C6D">
        <w:rPr>
          <w:rFonts w:ascii="Garamond" w:hAnsi="Garamond"/>
          <w:b/>
          <w:bCs/>
          <w:color w:val="auto"/>
          <w:sz w:val="20"/>
          <w:szCs w:val="20"/>
          <w:lang w:val="pt-PT"/>
        </w:rPr>
        <w:t>pelo</w:t>
      </w:r>
      <w:proofErr w:type="spellEnd"/>
      <w:r w:rsidRPr="00532C6D">
        <w:rPr>
          <w:rFonts w:ascii="Garamond" w:hAnsi="Garamond"/>
          <w:b/>
          <w:bCs/>
          <w:color w:val="auto"/>
          <w:sz w:val="20"/>
          <w:szCs w:val="20"/>
          <w:lang w:val="pt-PT"/>
        </w:rPr>
        <w:t xml:space="preserve"> marido/companheiro</w:t>
      </w:r>
      <w:r w:rsidRPr="00532C6D">
        <w:rPr>
          <w:rStyle w:val="Refdenotaderodap"/>
          <w:rFonts w:ascii="Garamond" w:hAnsi="Garamond"/>
          <w:b/>
          <w:bCs/>
          <w:color w:val="auto"/>
        </w:rPr>
        <w:footnoteReference w:id="60"/>
      </w:r>
      <w:bookmarkEnd w:id="59"/>
    </w:p>
    <w:p w14:paraId="2BAAE3B4" w14:textId="77777777" w:rsidR="00541FA6" w:rsidRDefault="00541FA6" w:rsidP="00541FA6">
      <w:pPr>
        <w:pStyle w:val="PargrafodaLista"/>
        <w:ind w:left="357"/>
        <w:jc w:val="both"/>
        <w:rPr>
          <w:rFonts w:ascii="Garamond" w:hAnsi="Garamond"/>
          <w:lang w:val="pt-PT"/>
        </w:rPr>
      </w:pPr>
      <w:r>
        <w:rPr>
          <w:noProof/>
        </w:rPr>
        <w:drawing>
          <wp:inline distT="0" distB="0" distL="0" distR="0" wp14:anchorId="4FC20B13" wp14:editId="622FB03E">
            <wp:extent cx="5048250" cy="888643"/>
            <wp:effectExtent l="0" t="0" r="0" b="6985"/>
            <wp:docPr id="58" name="Gráfico 58">
              <a:extLst xmlns:a="http://schemas.openxmlformats.org/drawingml/2006/main">
                <a:ext uri="{FF2B5EF4-FFF2-40B4-BE49-F238E27FC236}">
                  <a16:creationId xmlns:a16="http://schemas.microsoft.com/office/drawing/2014/main" id="{FAD902A2-AB7C-46B7-9516-3BA46198F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5EE3C97" w14:textId="77777777" w:rsidR="00541FA6" w:rsidRPr="00F42E24" w:rsidRDefault="00541FA6" w:rsidP="00541FA6">
      <w:pPr>
        <w:spacing w:after="240"/>
        <w:jc w:val="center"/>
        <w:rPr>
          <w:rFonts w:ascii="Garamond" w:hAnsi="Garamond"/>
          <w:lang w:val="pt-PT"/>
        </w:rPr>
      </w:pPr>
      <w:r w:rsidRPr="00F42E24">
        <w:rPr>
          <w:rFonts w:ascii="Garamond" w:hAnsi="Garamond"/>
          <w:b/>
          <w:bCs/>
          <w:sz w:val="20"/>
          <w:szCs w:val="20"/>
          <w:lang w:val="pt-PT"/>
        </w:rPr>
        <w:t xml:space="preserve">Fonte: elaboração própria com base nos dados do </w:t>
      </w:r>
      <w:proofErr w:type="spellStart"/>
      <w:r w:rsidRPr="00F42E24">
        <w:rPr>
          <w:rFonts w:ascii="Garamond" w:hAnsi="Garamond"/>
          <w:b/>
          <w:bCs/>
          <w:sz w:val="20"/>
          <w:szCs w:val="20"/>
          <w:lang w:val="pt-PT"/>
        </w:rPr>
        <w:t>IDSR</w:t>
      </w:r>
      <w:proofErr w:type="spellEnd"/>
      <w:r w:rsidRPr="00F42E24">
        <w:rPr>
          <w:rFonts w:ascii="Garamond" w:hAnsi="Garamond"/>
          <w:b/>
          <w:bCs/>
          <w:sz w:val="20"/>
          <w:szCs w:val="20"/>
          <w:lang w:val="pt-PT"/>
        </w:rPr>
        <w:t xml:space="preserve"> III (2018) </w:t>
      </w:r>
    </w:p>
    <w:p w14:paraId="2F9762A5" w14:textId="77777777" w:rsidR="00541FA6" w:rsidRPr="007A3A2B" w:rsidRDefault="00541FA6" w:rsidP="00541FA6">
      <w:pPr>
        <w:jc w:val="both"/>
        <w:rPr>
          <w:rFonts w:ascii="Garamond" w:hAnsi="Garamond"/>
          <w:lang w:val="pt-PT"/>
        </w:rPr>
      </w:pPr>
      <w:r w:rsidRPr="000427F8">
        <w:rPr>
          <w:rFonts w:ascii="Garamond" w:hAnsi="Garamond"/>
          <w:lang w:val="pt-PT"/>
        </w:rPr>
        <w:t xml:space="preserve">Os dados do </w:t>
      </w:r>
      <w:proofErr w:type="spellStart"/>
      <w:r w:rsidRPr="000427F8">
        <w:rPr>
          <w:rFonts w:ascii="Garamond" w:hAnsi="Garamond"/>
          <w:lang w:val="pt-PT"/>
        </w:rPr>
        <w:t>IDSR</w:t>
      </w:r>
      <w:proofErr w:type="spellEnd"/>
      <w:r w:rsidRPr="000427F8">
        <w:rPr>
          <w:rFonts w:ascii="Garamond" w:hAnsi="Garamond"/>
          <w:lang w:val="pt-PT"/>
        </w:rPr>
        <w:t xml:space="preserve"> III, acima apresentados, evidenciam uma evolução positiva </w:t>
      </w:r>
      <w:r>
        <w:rPr>
          <w:rFonts w:ascii="Garamond" w:hAnsi="Garamond"/>
          <w:lang w:val="pt-PT"/>
        </w:rPr>
        <w:t xml:space="preserve">em termo de </w:t>
      </w:r>
      <w:r w:rsidRPr="000427F8">
        <w:rPr>
          <w:rFonts w:ascii="Garamond" w:hAnsi="Garamond"/>
          <w:b/>
          <w:bCs/>
          <w:lang w:val="pt-PT"/>
        </w:rPr>
        <w:t xml:space="preserve">não aceitabilidade da </w:t>
      </w:r>
      <w:proofErr w:type="spellStart"/>
      <w:r w:rsidRPr="000427F8">
        <w:rPr>
          <w:rFonts w:ascii="Garamond" w:hAnsi="Garamond"/>
          <w:b/>
          <w:bCs/>
          <w:lang w:val="pt-PT"/>
        </w:rPr>
        <w:t>VBG</w:t>
      </w:r>
      <w:proofErr w:type="spellEnd"/>
      <w:r w:rsidRPr="000427F8">
        <w:rPr>
          <w:rFonts w:ascii="Garamond" w:hAnsi="Garamond"/>
          <w:lang w:val="pt-PT"/>
        </w:rPr>
        <w:t xml:space="preserve"> na sociedade, </w:t>
      </w:r>
      <w:r>
        <w:rPr>
          <w:rFonts w:ascii="Garamond" w:hAnsi="Garamond"/>
          <w:lang w:val="pt-PT"/>
        </w:rPr>
        <w:t xml:space="preserve">com fortes reflexos na violência contra as mulheres em geral, mas menor </w:t>
      </w:r>
      <w:r w:rsidRPr="000427F8">
        <w:rPr>
          <w:rFonts w:ascii="Garamond" w:hAnsi="Garamond"/>
          <w:lang w:val="pt-PT"/>
        </w:rPr>
        <w:t xml:space="preserve">mudança </w:t>
      </w:r>
      <w:r>
        <w:rPr>
          <w:rFonts w:ascii="Garamond" w:hAnsi="Garamond"/>
          <w:lang w:val="pt-PT"/>
        </w:rPr>
        <w:t xml:space="preserve">comportamental </w:t>
      </w:r>
      <w:r w:rsidRPr="000427F8">
        <w:rPr>
          <w:rFonts w:ascii="Garamond" w:hAnsi="Garamond"/>
          <w:lang w:val="pt-PT"/>
        </w:rPr>
        <w:t>no contexto das relações conjugais</w:t>
      </w:r>
      <w:r>
        <w:rPr>
          <w:rFonts w:ascii="Garamond" w:hAnsi="Garamond"/>
          <w:lang w:val="pt-PT"/>
        </w:rPr>
        <w:t xml:space="preserve"> (apesar da diminuição promissora na faixa etária dos 20-29 anos).</w:t>
      </w:r>
      <w:r w:rsidRPr="000427F8">
        <w:rPr>
          <w:rFonts w:ascii="Garamond" w:hAnsi="Garamond"/>
          <w:lang w:val="pt-PT"/>
        </w:rPr>
        <w:t xml:space="preserve"> Apesar dos saberes, consciência e raciocínio sobre as relações de género, o </w:t>
      </w:r>
      <w:r w:rsidRPr="007A3A2B">
        <w:rPr>
          <w:rFonts w:ascii="Garamond" w:hAnsi="Garamond"/>
          <w:lang w:val="pt-PT"/>
        </w:rPr>
        <w:t>comportamento</w:t>
      </w:r>
      <w:r>
        <w:rPr>
          <w:rFonts w:ascii="Garamond" w:hAnsi="Garamond"/>
          <w:lang w:val="pt-PT"/>
        </w:rPr>
        <w:t xml:space="preserve"> no contexto das relações íntimas homem/mulher</w:t>
      </w:r>
      <w:r w:rsidRPr="007A3A2B">
        <w:rPr>
          <w:rFonts w:ascii="Garamond" w:hAnsi="Garamond"/>
          <w:lang w:val="pt-PT"/>
        </w:rPr>
        <w:t xml:space="preserve"> </w:t>
      </w:r>
      <w:r>
        <w:rPr>
          <w:rFonts w:ascii="Garamond" w:hAnsi="Garamond"/>
          <w:lang w:val="pt-PT"/>
        </w:rPr>
        <w:t>continua assente numa</w:t>
      </w:r>
      <w:r w:rsidRPr="007A3A2B">
        <w:rPr>
          <w:rFonts w:ascii="Garamond" w:hAnsi="Garamond"/>
          <w:lang w:val="pt-PT"/>
        </w:rPr>
        <w:t xml:space="preserve"> cultura machista enraizada</w:t>
      </w:r>
      <w:r>
        <w:rPr>
          <w:rFonts w:ascii="Garamond" w:hAnsi="Garamond"/>
          <w:lang w:val="pt-PT"/>
        </w:rPr>
        <w:t xml:space="preserve"> e, quando se foca a autonomia das mulheres, alguns homens parecem se sentir postos em causa</w:t>
      </w:r>
      <w:r w:rsidRPr="007A3A2B">
        <w:rPr>
          <w:rFonts w:ascii="Garamond" w:hAnsi="Garamond"/>
          <w:lang w:val="pt-PT"/>
        </w:rPr>
        <w:t xml:space="preserve">. </w:t>
      </w:r>
    </w:p>
    <w:p w14:paraId="5DB01C19" w14:textId="77777777" w:rsidR="00541FA6" w:rsidRDefault="00541FA6" w:rsidP="002A62A2">
      <w:pPr>
        <w:pStyle w:val="PargrafodaLista"/>
        <w:numPr>
          <w:ilvl w:val="0"/>
          <w:numId w:val="70"/>
        </w:numPr>
        <w:ind w:left="714" w:hanging="357"/>
        <w:jc w:val="both"/>
        <w:rPr>
          <w:rFonts w:ascii="Garamond" w:hAnsi="Garamond"/>
          <w:lang w:val="pt-PT"/>
        </w:rPr>
      </w:pPr>
      <w:r w:rsidRPr="00705EA1">
        <w:rPr>
          <w:rFonts w:ascii="Garamond" w:hAnsi="Garamond"/>
          <w:lang w:val="pt-PT"/>
        </w:rPr>
        <w:t xml:space="preserve">A </w:t>
      </w:r>
      <w:r>
        <w:rPr>
          <w:rFonts w:ascii="Garamond" w:hAnsi="Garamond"/>
          <w:lang w:val="pt-PT"/>
        </w:rPr>
        <w:t xml:space="preserve">diminuição da </w:t>
      </w:r>
      <w:r w:rsidRPr="00705EA1">
        <w:rPr>
          <w:rFonts w:ascii="Garamond" w:hAnsi="Garamond"/>
          <w:lang w:val="pt-PT"/>
        </w:rPr>
        <w:t>violência con</w:t>
      </w:r>
      <w:r>
        <w:rPr>
          <w:rFonts w:ascii="Garamond" w:hAnsi="Garamond"/>
          <w:lang w:val="pt-PT"/>
        </w:rPr>
        <w:t>jugal exige</w:t>
      </w:r>
      <w:r w:rsidRPr="00705EA1">
        <w:rPr>
          <w:rFonts w:ascii="Garamond" w:hAnsi="Garamond"/>
          <w:lang w:val="pt-PT"/>
        </w:rPr>
        <w:t xml:space="preserve"> um trabalho</w:t>
      </w:r>
      <w:r>
        <w:rPr>
          <w:rFonts w:ascii="Garamond" w:hAnsi="Garamond"/>
          <w:lang w:val="pt-PT"/>
        </w:rPr>
        <w:t xml:space="preserve"> mais focado e</w:t>
      </w:r>
      <w:r w:rsidRPr="00705EA1">
        <w:rPr>
          <w:rFonts w:ascii="Garamond" w:hAnsi="Garamond"/>
          <w:lang w:val="pt-PT"/>
        </w:rPr>
        <w:t xml:space="preserve"> de fundo sobre as atitudes patriarcais e estereótipos discriminatórios</w:t>
      </w:r>
      <w:r>
        <w:rPr>
          <w:rFonts w:ascii="Garamond" w:hAnsi="Garamond"/>
          <w:lang w:val="pt-PT"/>
        </w:rPr>
        <w:t xml:space="preserve"> no âmbito da vida familiar, casamento, divórcio/separação</w:t>
      </w:r>
      <w:r w:rsidRPr="00705EA1">
        <w:rPr>
          <w:rFonts w:ascii="Garamond" w:hAnsi="Garamond"/>
          <w:lang w:val="pt-PT"/>
        </w:rPr>
        <w:t>.</w:t>
      </w:r>
    </w:p>
    <w:p w14:paraId="4832C1D9" w14:textId="2D77D50B" w:rsidR="00541FA6" w:rsidRPr="00381854" w:rsidRDefault="00541FA6" w:rsidP="002A62A2">
      <w:pPr>
        <w:pStyle w:val="PargrafodaLista"/>
        <w:numPr>
          <w:ilvl w:val="0"/>
          <w:numId w:val="70"/>
        </w:numPr>
        <w:jc w:val="both"/>
        <w:rPr>
          <w:rFonts w:ascii="Garamond" w:hAnsi="Garamond"/>
          <w:bCs/>
          <w:lang w:val="pt-PT"/>
        </w:rPr>
      </w:pPr>
      <w:r w:rsidRPr="00381854">
        <w:rPr>
          <w:rFonts w:ascii="Garamond" w:hAnsi="Garamond"/>
          <w:lang w:val="pt-PT"/>
        </w:rPr>
        <w:t xml:space="preserve">Fica </w:t>
      </w:r>
      <w:r w:rsidR="00E05EB0">
        <w:rPr>
          <w:rFonts w:ascii="Garamond" w:hAnsi="Garamond"/>
          <w:lang w:val="pt-PT"/>
        </w:rPr>
        <w:t>ainda c</w:t>
      </w:r>
      <w:r w:rsidRPr="00381854">
        <w:rPr>
          <w:rFonts w:ascii="Garamond" w:hAnsi="Garamond"/>
          <w:lang w:val="pt-PT"/>
        </w:rPr>
        <w:t>laro que</w:t>
      </w:r>
      <w:r w:rsidR="00E05EB0">
        <w:rPr>
          <w:rFonts w:ascii="Garamond" w:hAnsi="Garamond"/>
          <w:lang w:val="pt-PT"/>
        </w:rPr>
        <w:t>,</w:t>
      </w:r>
      <w:r w:rsidRPr="00381854">
        <w:rPr>
          <w:rFonts w:ascii="Garamond" w:hAnsi="Garamond"/>
          <w:lang w:val="pt-PT"/>
        </w:rPr>
        <w:t xml:space="preserve"> com os dados do</w:t>
      </w:r>
      <w:r w:rsidRPr="00381854">
        <w:rPr>
          <w:rFonts w:ascii="Garamond" w:hAnsi="Garamond"/>
          <w:bCs/>
          <w:lang w:val="pt-PT"/>
        </w:rPr>
        <w:t xml:space="preserve"> </w:t>
      </w:r>
      <w:proofErr w:type="spellStart"/>
      <w:r w:rsidRPr="00381854">
        <w:rPr>
          <w:rFonts w:ascii="Garamond" w:hAnsi="Garamond"/>
          <w:bCs/>
          <w:lang w:val="pt-PT"/>
        </w:rPr>
        <w:t>IDSR</w:t>
      </w:r>
      <w:proofErr w:type="spellEnd"/>
      <w:r w:rsidRPr="00381854">
        <w:rPr>
          <w:rFonts w:ascii="Garamond" w:hAnsi="Garamond"/>
          <w:bCs/>
          <w:lang w:val="pt-PT"/>
        </w:rPr>
        <w:t xml:space="preserve"> III, entre outros, </w:t>
      </w:r>
      <w:r w:rsidR="00E05EB0">
        <w:rPr>
          <w:rFonts w:ascii="Garamond" w:hAnsi="Garamond"/>
          <w:bCs/>
          <w:lang w:val="pt-PT"/>
        </w:rPr>
        <w:t xml:space="preserve">se pode elaborar </w:t>
      </w:r>
      <w:r w:rsidRPr="00381854">
        <w:rPr>
          <w:rFonts w:ascii="Garamond" w:hAnsi="Garamond"/>
          <w:bCs/>
          <w:lang w:val="pt-PT"/>
        </w:rPr>
        <w:t xml:space="preserve">uma Estratégia de Comunicação para eliminação dos Estereótipos de Género, focada em grupos alvo específicos, adequada às ilhas, faixas etárias, meio rural ou urbano, homens e mulheres, jovens e não jovens. As abordagens devem ser baseadas na mudança social e </w:t>
      </w:r>
      <w:r>
        <w:rPr>
          <w:rFonts w:ascii="Garamond" w:hAnsi="Garamond"/>
          <w:bCs/>
          <w:lang w:val="pt-PT"/>
        </w:rPr>
        <w:t xml:space="preserve">comunicação para a mudança de </w:t>
      </w:r>
      <w:r w:rsidRPr="00381854">
        <w:rPr>
          <w:rFonts w:ascii="Garamond" w:hAnsi="Garamond"/>
          <w:bCs/>
          <w:lang w:val="pt-PT"/>
        </w:rPr>
        <w:t>comportamento</w:t>
      </w:r>
      <w:r>
        <w:rPr>
          <w:rFonts w:ascii="Garamond" w:hAnsi="Garamond"/>
          <w:bCs/>
          <w:lang w:val="pt-PT"/>
        </w:rPr>
        <w:t xml:space="preserve"> (CMC)</w:t>
      </w:r>
      <w:r w:rsidRPr="00381854">
        <w:rPr>
          <w:rFonts w:ascii="Garamond" w:hAnsi="Garamond"/>
          <w:bCs/>
          <w:lang w:val="pt-PT"/>
        </w:rPr>
        <w:t xml:space="preserve">, </w:t>
      </w:r>
      <w:r w:rsidR="00E05EB0">
        <w:rPr>
          <w:rFonts w:ascii="Garamond" w:hAnsi="Garamond"/>
          <w:bCs/>
          <w:lang w:val="pt-PT"/>
        </w:rPr>
        <w:t xml:space="preserve">já que os </w:t>
      </w:r>
      <w:r>
        <w:rPr>
          <w:rFonts w:ascii="Garamond" w:hAnsi="Garamond"/>
          <w:bCs/>
          <w:lang w:val="pt-PT"/>
        </w:rPr>
        <w:t xml:space="preserve">programas de comunicação institucional não surtem </w:t>
      </w:r>
      <w:r w:rsidR="00E05EB0">
        <w:rPr>
          <w:rFonts w:ascii="Garamond" w:hAnsi="Garamond"/>
          <w:bCs/>
          <w:lang w:val="pt-PT"/>
        </w:rPr>
        <w:t>esse</w:t>
      </w:r>
      <w:r>
        <w:rPr>
          <w:rFonts w:ascii="Garamond" w:hAnsi="Garamond"/>
          <w:bCs/>
          <w:lang w:val="pt-PT"/>
        </w:rPr>
        <w:t xml:space="preserve"> efeito, desperdiçando oportunidades e meios.</w:t>
      </w:r>
    </w:p>
    <w:p w14:paraId="5E4388B5" w14:textId="77777777" w:rsidR="00541FA6" w:rsidRDefault="00541FA6" w:rsidP="002A62A2">
      <w:pPr>
        <w:pStyle w:val="PargrafodaLista"/>
        <w:numPr>
          <w:ilvl w:val="0"/>
          <w:numId w:val="70"/>
        </w:numPr>
        <w:jc w:val="both"/>
        <w:rPr>
          <w:rFonts w:ascii="Garamond" w:hAnsi="Garamond"/>
          <w:lang w:val="pt-PT"/>
        </w:rPr>
      </w:pPr>
      <w:r>
        <w:rPr>
          <w:rFonts w:ascii="Garamond" w:hAnsi="Garamond"/>
          <w:lang w:val="pt-PT"/>
        </w:rPr>
        <w:t xml:space="preserve">Esta estratégia de CMC deve ter uma componente sólida </w:t>
      </w:r>
      <w:r w:rsidRPr="007A3A2B">
        <w:rPr>
          <w:rFonts w:ascii="Garamond" w:hAnsi="Garamond"/>
          <w:lang w:val="pt-PT"/>
        </w:rPr>
        <w:t xml:space="preserve">de </w:t>
      </w:r>
      <w:r>
        <w:rPr>
          <w:rFonts w:ascii="Garamond" w:hAnsi="Garamond"/>
          <w:lang w:val="pt-PT"/>
        </w:rPr>
        <w:t xml:space="preserve">trabalho </w:t>
      </w:r>
      <w:r w:rsidRPr="007A3A2B">
        <w:rPr>
          <w:rFonts w:ascii="Garamond" w:hAnsi="Garamond"/>
          <w:lang w:val="pt-PT"/>
        </w:rPr>
        <w:t xml:space="preserve">prevenção da </w:t>
      </w:r>
      <w:proofErr w:type="spellStart"/>
      <w:r w:rsidRPr="007A3A2B">
        <w:rPr>
          <w:rFonts w:ascii="Garamond" w:hAnsi="Garamond"/>
          <w:lang w:val="pt-PT"/>
        </w:rPr>
        <w:t>VBG</w:t>
      </w:r>
      <w:proofErr w:type="spellEnd"/>
      <w:r>
        <w:rPr>
          <w:rFonts w:ascii="Garamond" w:hAnsi="Garamond"/>
          <w:lang w:val="pt-PT"/>
        </w:rPr>
        <w:t xml:space="preserve"> com </w:t>
      </w:r>
      <w:r w:rsidRPr="007A3A2B">
        <w:rPr>
          <w:rFonts w:ascii="Garamond" w:hAnsi="Garamond"/>
          <w:lang w:val="pt-PT"/>
        </w:rPr>
        <w:t>meninos e homens</w:t>
      </w:r>
      <w:r>
        <w:rPr>
          <w:rFonts w:ascii="Garamond" w:hAnsi="Garamond"/>
          <w:lang w:val="pt-PT"/>
        </w:rPr>
        <w:t xml:space="preserve"> é fundamental, já que aumentou a proporção de homens que exercem comportamentos de controle nas relações conjugais: um maior empoderamento das mulheres, e o próprio discurso de género com enfoque predominantemente nas mulheres, pode ser vivido como uma ameaça, quando a base da noção de masculinidade em Cabo Verde assenta numa </w:t>
      </w:r>
      <w:r w:rsidRPr="00BE46E6">
        <w:rPr>
          <w:rFonts w:ascii="Garamond" w:hAnsi="Garamond"/>
          <w:lang w:val="pt-PT"/>
        </w:rPr>
        <w:t>cultura</w:t>
      </w:r>
      <w:r>
        <w:rPr>
          <w:rFonts w:ascii="Garamond" w:hAnsi="Garamond"/>
          <w:lang w:val="pt-PT"/>
        </w:rPr>
        <w:t xml:space="preserve"> fortemente</w:t>
      </w:r>
      <w:r w:rsidRPr="00BE46E6">
        <w:rPr>
          <w:rFonts w:ascii="Garamond" w:hAnsi="Garamond"/>
          <w:lang w:val="pt-PT"/>
        </w:rPr>
        <w:t xml:space="preserve"> machista</w:t>
      </w:r>
      <w:r>
        <w:rPr>
          <w:rFonts w:ascii="Garamond" w:hAnsi="Garamond"/>
          <w:lang w:val="pt-PT"/>
        </w:rPr>
        <w:t xml:space="preserve"> (homem enquanto autoridade no casal e na família)</w:t>
      </w:r>
    </w:p>
    <w:p w14:paraId="5FE070A7" w14:textId="77777777" w:rsidR="00541FA6" w:rsidRDefault="00541FA6" w:rsidP="002A62A2">
      <w:pPr>
        <w:pStyle w:val="PargrafodaLista"/>
        <w:numPr>
          <w:ilvl w:val="0"/>
          <w:numId w:val="70"/>
        </w:numPr>
        <w:jc w:val="both"/>
        <w:rPr>
          <w:rFonts w:ascii="Garamond" w:hAnsi="Garamond"/>
          <w:lang w:val="pt-PT"/>
        </w:rPr>
      </w:pPr>
      <w:r>
        <w:rPr>
          <w:rFonts w:ascii="Garamond" w:hAnsi="Garamond"/>
          <w:lang w:val="pt-PT"/>
        </w:rPr>
        <w:t xml:space="preserve">É também fundamental intensificar o trabalho de </w:t>
      </w:r>
      <w:r w:rsidRPr="007A3A2B">
        <w:rPr>
          <w:rFonts w:ascii="Garamond" w:hAnsi="Garamond"/>
          <w:lang w:val="pt-PT"/>
        </w:rPr>
        <w:t>reabilitação dos autores</w:t>
      </w:r>
      <w:r>
        <w:rPr>
          <w:rFonts w:ascii="Garamond" w:hAnsi="Garamond"/>
          <w:lang w:val="pt-PT"/>
        </w:rPr>
        <w:t xml:space="preserve"> de violência</w:t>
      </w:r>
      <w:r w:rsidRPr="007A3A2B">
        <w:rPr>
          <w:rFonts w:ascii="Garamond" w:hAnsi="Garamond"/>
          <w:lang w:val="pt-PT"/>
        </w:rPr>
        <w:t xml:space="preserve">, no sentido de prevenir a reincidência e quebrar o ciclo de </w:t>
      </w:r>
      <w:proofErr w:type="spellStart"/>
      <w:r w:rsidRPr="007A3A2B">
        <w:rPr>
          <w:rFonts w:ascii="Garamond" w:hAnsi="Garamond"/>
          <w:lang w:val="pt-PT"/>
        </w:rPr>
        <w:t>VBG</w:t>
      </w:r>
      <w:proofErr w:type="spellEnd"/>
      <w:r w:rsidRPr="007A3A2B">
        <w:rPr>
          <w:rFonts w:ascii="Garamond" w:hAnsi="Garamond"/>
          <w:lang w:val="pt-PT"/>
        </w:rPr>
        <w:t xml:space="preserve"> na família e comunidades. A questão da reabilitação será abordada mais à frente. </w:t>
      </w:r>
    </w:p>
    <w:p w14:paraId="404E9BE5" w14:textId="77777777" w:rsidR="00541FA6" w:rsidRPr="007C52D6" w:rsidRDefault="00541FA6" w:rsidP="002A62A2">
      <w:pPr>
        <w:pStyle w:val="PargrafodaLista"/>
        <w:numPr>
          <w:ilvl w:val="0"/>
          <w:numId w:val="70"/>
        </w:numPr>
        <w:jc w:val="both"/>
        <w:rPr>
          <w:rFonts w:ascii="Garamond" w:hAnsi="Garamond"/>
          <w:lang w:val="pt-PT"/>
        </w:rPr>
      </w:pPr>
      <w:r w:rsidRPr="00D969B9">
        <w:rPr>
          <w:rFonts w:ascii="Garamond" w:hAnsi="Garamond"/>
          <w:lang w:val="pt-PT"/>
        </w:rPr>
        <w:t xml:space="preserve">Em relação ao trabalho com meninos e homens, deverão ser capitalizadas as experiências já desenvolvidas com sucesso no país, nomeadamente com a Rede Laço Branco, de homens engajados com a igualdade de género e contra a </w:t>
      </w:r>
      <w:proofErr w:type="spellStart"/>
      <w:r w:rsidRPr="00D969B9">
        <w:rPr>
          <w:rFonts w:ascii="Garamond" w:hAnsi="Garamond"/>
          <w:lang w:val="pt-PT"/>
        </w:rPr>
        <w:t>VBG</w:t>
      </w:r>
      <w:proofErr w:type="spellEnd"/>
      <w:r w:rsidRPr="00D969B9">
        <w:rPr>
          <w:rFonts w:ascii="Garamond" w:hAnsi="Garamond"/>
          <w:lang w:val="pt-PT"/>
        </w:rPr>
        <w:t xml:space="preserve">. Deverão ser apoiados </w:t>
      </w:r>
      <w:proofErr w:type="spellStart"/>
      <w:r w:rsidRPr="00D969B9">
        <w:rPr>
          <w:rFonts w:ascii="Garamond" w:hAnsi="Garamond"/>
          <w:lang w:val="pt-PT"/>
        </w:rPr>
        <w:t>projetos</w:t>
      </w:r>
      <w:proofErr w:type="spellEnd"/>
      <w:r w:rsidRPr="00D969B9">
        <w:rPr>
          <w:rFonts w:ascii="Garamond" w:hAnsi="Garamond"/>
          <w:lang w:val="pt-PT"/>
        </w:rPr>
        <w:t xml:space="preserve"> de mobilização de homens. Deve ainda ser desenhada uma metodologia para a implementação de </w:t>
      </w:r>
      <w:r w:rsidRPr="00D969B9">
        <w:rPr>
          <w:rFonts w:ascii="Garamond" w:hAnsi="Garamond"/>
          <w:i/>
          <w:iCs/>
          <w:lang w:val="pt-PT"/>
        </w:rPr>
        <w:t>Grupos de Homens</w:t>
      </w:r>
      <w:r w:rsidRPr="00D969B9">
        <w:rPr>
          <w:rFonts w:ascii="Garamond" w:hAnsi="Garamond"/>
          <w:lang w:val="pt-PT"/>
        </w:rPr>
        <w:t>, de natureza reflexiva, centrados n</w:t>
      </w:r>
      <w:r w:rsidRPr="00D969B9">
        <w:rPr>
          <w:rFonts w:ascii="Garamond" w:hAnsi="Garamond"/>
          <w:bCs/>
          <w:lang w:val="pt-PT"/>
        </w:rPr>
        <w:t xml:space="preserve">o exercício da masculinidade, cultura de não violência e cuidado do homem. No sentido de poder ter grupos em todos os municípios do país, com prioridade para os que têm índices mais elevados de </w:t>
      </w:r>
      <w:proofErr w:type="spellStart"/>
      <w:r w:rsidRPr="00D969B9">
        <w:rPr>
          <w:rFonts w:ascii="Garamond" w:hAnsi="Garamond"/>
          <w:bCs/>
          <w:lang w:val="pt-PT"/>
        </w:rPr>
        <w:t>VBG</w:t>
      </w:r>
      <w:proofErr w:type="spellEnd"/>
      <w:r w:rsidRPr="00D969B9">
        <w:rPr>
          <w:rFonts w:ascii="Garamond" w:hAnsi="Garamond"/>
          <w:bCs/>
          <w:lang w:val="pt-PT"/>
        </w:rPr>
        <w:t>, deverá se</w:t>
      </w:r>
      <w:r>
        <w:rPr>
          <w:rFonts w:ascii="Garamond" w:hAnsi="Garamond"/>
          <w:bCs/>
          <w:lang w:val="pt-PT"/>
        </w:rPr>
        <w:t>r</w:t>
      </w:r>
      <w:r w:rsidRPr="00D969B9">
        <w:rPr>
          <w:rFonts w:ascii="Garamond" w:hAnsi="Garamond"/>
          <w:bCs/>
          <w:lang w:val="pt-PT"/>
        </w:rPr>
        <w:t xml:space="preserve"> garanti</w:t>
      </w:r>
      <w:r>
        <w:rPr>
          <w:rFonts w:ascii="Garamond" w:hAnsi="Garamond"/>
          <w:bCs/>
          <w:lang w:val="pt-PT"/>
        </w:rPr>
        <w:t>da</w:t>
      </w:r>
      <w:r w:rsidRPr="00D969B9">
        <w:rPr>
          <w:rFonts w:ascii="Garamond" w:hAnsi="Garamond"/>
          <w:bCs/>
          <w:lang w:val="pt-PT"/>
        </w:rPr>
        <w:t xml:space="preserve"> a formação de uma bolsa de animadores de grupos reflexivos para homens e desenhar instrumentos de apoio ao desenvolvimento dos grupos a nível local, em parceria com organizações da sociedade civil.</w:t>
      </w:r>
    </w:p>
    <w:p w14:paraId="22BF893E" w14:textId="77777777" w:rsidR="00541FA6" w:rsidRPr="00381854" w:rsidRDefault="00541FA6" w:rsidP="002A62A2">
      <w:pPr>
        <w:pStyle w:val="PargrafodaLista"/>
        <w:numPr>
          <w:ilvl w:val="0"/>
          <w:numId w:val="70"/>
        </w:numPr>
        <w:jc w:val="both"/>
        <w:rPr>
          <w:rFonts w:ascii="Garamond" w:hAnsi="Garamond"/>
          <w:lang w:val="pt-PT"/>
        </w:rPr>
      </w:pPr>
      <w:r w:rsidRPr="00E155D7">
        <w:rPr>
          <w:rFonts w:ascii="Garamond" w:hAnsi="Garamond"/>
          <w:bCs/>
          <w:lang w:val="pt-PT"/>
        </w:rPr>
        <w:t>Continuar e intensificar o trabalho de empoderamento das mulheres, em particular mulheres rurais, mulheres sem ou com baixo nível de instrução e jovens meninas para a não aceitabilidade e naturalização da violência física praticada contra mulheres.</w:t>
      </w:r>
    </w:p>
    <w:p w14:paraId="2900DC54" w14:textId="77777777" w:rsidR="00541FA6" w:rsidRPr="00D969B9" w:rsidRDefault="00541FA6" w:rsidP="002A62A2">
      <w:pPr>
        <w:pStyle w:val="PargrafodaLista"/>
        <w:numPr>
          <w:ilvl w:val="0"/>
          <w:numId w:val="70"/>
        </w:numPr>
        <w:jc w:val="both"/>
        <w:rPr>
          <w:rFonts w:ascii="Garamond" w:hAnsi="Garamond"/>
          <w:lang w:val="pt-PT"/>
        </w:rPr>
      </w:pPr>
      <w:r w:rsidRPr="00D969B9">
        <w:rPr>
          <w:rFonts w:ascii="Garamond" w:hAnsi="Garamond"/>
          <w:bCs/>
          <w:lang w:val="pt-PT"/>
        </w:rPr>
        <w:t xml:space="preserve">Por outro lado, o papel da comunicação social é incontornável: as boas práticas em Cabo Verde incluem a elaboração de um </w:t>
      </w:r>
      <w:r w:rsidRPr="00D969B9">
        <w:rPr>
          <w:rFonts w:ascii="Garamond" w:hAnsi="Garamond"/>
          <w:bCs/>
          <w:i/>
          <w:iCs/>
          <w:lang w:val="pt-PT"/>
        </w:rPr>
        <w:t xml:space="preserve">Manual de Boas Práticas Jornalísticas no Combate à </w:t>
      </w:r>
      <w:proofErr w:type="spellStart"/>
      <w:r w:rsidRPr="00D969B9">
        <w:rPr>
          <w:rFonts w:ascii="Garamond" w:hAnsi="Garamond"/>
          <w:bCs/>
          <w:i/>
          <w:iCs/>
          <w:lang w:val="pt-PT"/>
        </w:rPr>
        <w:t>VBG</w:t>
      </w:r>
      <w:proofErr w:type="spellEnd"/>
      <w:r w:rsidRPr="00D969B9">
        <w:rPr>
          <w:rFonts w:ascii="Garamond" w:hAnsi="Garamond"/>
          <w:bCs/>
          <w:lang w:val="pt-PT"/>
        </w:rPr>
        <w:t xml:space="preserve">, tendo sido formados jornalistas para a sua implementação. Contudo, tendo em conta que quem toma decisões sobre notícias/programação são o(a)s responsáveis editoriais e chefias, existe necessidade de retomar e alargar a formação, considerando inclusivamente uma abordagem mais abrangente de desenvolvimento de uma Estratégia de Género para a Comunicação Social (medida contemplada Eixo 6 – </w:t>
      </w:r>
      <w:proofErr w:type="spellStart"/>
      <w:r w:rsidRPr="00D969B9">
        <w:rPr>
          <w:rFonts w:ascii="Garamond" w:hAnsi="Garamond"/>
          <w:bCs/>
          <w:lang w:val="pt-PT"/>
        </w:rPr>
        <w:t>Transversalização</w:t>
      </w:r>
      <w:proofErr w:type="spellEnd"/>
      <w:r w:rsidRPr="00D969B9">
        <w:rPr>
          <w:rFonts w:ascii="Garamond" w:hAnsi="Garamond"/>
          <w:bCs/>
          <w:lang w:val="pt-PT"/>
        </w:rPr>
        <w:t>)</w:t>
      </w:r>
    </w:p>
    <w:p w14:paraId="21113CF6" w14:textId="77777777" w:rsidR="00541FA6" w:rsidRPr="00D969B9" w:rsidRDefault="00541FA6" w:rsidP="002A62A2">
      <w:pPr>
        <w:pStyle w:val="PargrafodaLista"/>
        <w:numPr>
          <w:ilvl w:val="0"/>
          <w:numId w:val="70"/>
        </w:numPr>
        <w:jc w:val="both"/>
        <w:rPr>
          <w:rFonts w:ascii="Garamond" w:hAnsi="Garamond"/>
          <w:lang w:val="pt-PT"/>
        </w:rPr>
      </w:pPr>
      <w:r w:rsidRPr="00D969B9">
        <w:rPr>
          <w:rFonts w:ascii="Garamond" w:hAnsi="Garamond"/>
          <w:bCs/>
          <w:lang w:val="pt-PT"/>
        </w:rPr>
        <w:t xml:space="preserve">As rádios comunitárias podem ser parceiras importantes, bem como a Rádio Educativa, </w:t>
      </w:r>
      <w:proofErr w:type="spellStart"/>
      <w:r w:rsidRPr="00D969B9">
        <w:rPr>
          <w:rFonts w:ascii="Garamond" w:hAnsi="Garamond"/>
          <w:bCs/>
          <w:lang w:val="pt-PT"/>
        </w:rPr>
        <w:t>pelo</w:t>
      </w:r>
      <w:proofErr w:type="spellEnd"/>
      <w:r w:rsidRPr="00D969B9">
        <w:rPr>
          <w:rFonts w:ascii="Garamond" w:hAnsi="Garamond"/>
          <w:bCs/>
          <w:lang w:val="pt-PT"/>
        </w:rPr>
        <w:t xml:space="preserve"> que será importante preparar materiais que apoiam o desenvolvimento de uma agenda/programas sobre a igualdade de género e </w:t>
      </w:r>
      <w:proofErr w:type="spellStart"/>
      <w:r w:rsidRPr="00D969B9">
        <w:rPr>
          <w:rFonts w:ascii="Garamond" w:hAnsi="Garamond"/>
          <w:bCs/>
          <w:lang w:val="pt-PT"/>
        </w:rPr>
        <w:t>VBG</w:t>
      </w:r>
      <w:proofErr w:type="spellEnd"/>
      <w:r w:rsidRPr="00D969B9">
        <w:rPr>
          <w:rFonts w:ascii="Garamond" w:hAnsi="Garamond"/>
          <w:bCs/>
          <w:lang w:val="pt-PT"/>
        </w:rPr>
        <w:t xml:space="preserve"> (ex. conteúdos, caderno de trabalhos, orientação de debates, etc.), formando os respectivos jovens/técnico(a)s (os homens em particular devem ser convidados a participar de Grupos de Homens). Materiais que também podem ser colocados à disposição de outras rádios interessadas  </w:t>
      </w:r>
    </w:p>
    <w:p w14:paraId="2D5C76EB" w14:textId="77777777" w:rsidR="00541FA6" w:rsidRPr="00DF02FF" w:rsidRDefault="00541FA6" w:rsidP="002A62A2">
      <w:pPr>
        <w:pStyle w:val="PargrafodaLista"/>
        <w:numPr>
          <w:ilvl w:val="0"/>
          <w:numId w:val="70"/>
        </w:numPr>
        <w:jc w:val="both"/>
        <w:rPr>
          <w:rFonts w:ascii="Garamond" w:hAnsi="Garamond"/>
          <w:lang w:val="pt-PT"/>
        </w:rPr>
      </w:pPr>
      <w:r w:rsidRPr="00D969B9">
        <w:rPr>
          <w:rFonts w:ascii="Garamond" w:hAnsi="Garamond"/>
          <w:bCs/>
          <w:lang w:val="pt-PT"/>
        </w:rPr>
        <w:t xml:space="preserve">Deve ser considerada a criação e atribuição de um prémio nacional de jornalismo sobre a temática de género e </w:t>
      </w:r>
      <w:proofErr w:type="spellStart"/>
      <w:r w:rsidRPr="00D969B9">
        <w:rPr>
          <w:rFonts w:ascii="Garamond" w:hAnsi="Garamond"/>
          <w:bCs/>
          <w:lang w:val="pt-PT"/>
        </w:rPr>
        <w:t>VBG</w:t>
      </w:r>
      <w:proofErr w:type="spellEnd"/>
      <w:r w:rsidRPr="00D969B9">
        <w:rPr>
          <w:rFonts w:ascii="Garamond" w:hAnsi="Garamond"/>
          <w:bCs/>
          <w:lang w:val="pt-PT"/>
        </w:rPr>
        <w:t xml:space="preserve">, conforme previsto na Regulamentação da Lei </w:t>
      </w:r>
      <w:proofErr w:type="spellStart"/>
      <w:r w:rsidRPr="00D969B9">
        <w:rPr>
          <w:rFonts w:ascii="Garamond" w:hAnsi="Garamond"/>
          <w:bCs/>
          <w:lang w:val="pt-PT"/>
        </w:rPr>
        <w:t>VBG</w:t>
      </w:r>
      <w:proofErr w:type="spellEnd"/>
      <w:r w:rsidRPr="00D969B9">
        <w:rPr>
          <w:rFonts w:ascii="Garamond" w:hAnsi="Garamond"/>
          <w:bCs/>
          <w:lang w:val="pt-PT"/>
        </w:rPr>
        <w:t xml:space="preserve">, </w:t>
      </w:r>
      <w:r>
        <w:rPr>
          <w:rFonts w:ascii="Garamond" w:hAnsi="Garamond"/>
          <w:bCs/>
          <w:lang w:val="pt-PT"/>
        </w:rPr>
        <w:t xml:space="preserve">para promover </w:t>
      </w:r>
      <w:r w:rsidRPr="00D969B9">
        <w:rPr>
          <w:rFonts w:ascii="Garamond" w:hAnsi="Garamond"/>
          <w:bCs/>
          <w:lang w:val="pt-PT"/>
        </w:rPr>
        <w:t>os exemplos positivos e boas práticas</w:t>
      </w:r>
      <w:r>
        <w:rPr>
          <w:rFonts w:ascii="Garamond" w:hAnsi="Garamond"/>
          <w:bCs/>
          <w:lang w:val="pt-PT"/>
        </w:rPr>
        <w:t xml:space="preserve"> na </w:t>
      </w:r>
      <w:r w:rsidRPr="00D969B9">
        <w:rPr>
          <w:rFonts w:ascii="Garamond" w:hAnsi="Garamond"/>
          <w:bCs/>
          <w:lang w:val="pt-PT"/>
        </w:rPr>
        <w:t>comunicação social.</w:t>
      </w:r>
    </w:p>
    <w:p w14:paraId="08C4DC6C" w14:textId="77777777" w:rsidR="00541FA6" w:rsidRDefault="00541FA6" w:rsidP="00541FA6">
      <w:pPr>
        <w:jc w:val="both"/>
        <w:rPr>
          <w:rFonts w:ascii="Garamond" w:hAnsi="Garamond"/>
          <w:lang w:val="pt-PT"/>
        </w:rPr>
      </w:pPr>
    </w:p>
    <w:p w14:paraId="0348D263" w14:textId="77777777" w:rsidR="00541FA6" w:rsidRPr="00AC31B5" w:rsidRDefault="00541FA6" w:rsidP="00541FA6">
      <w:pPr>
        <w:jc w:val="both"/>
        <w:rPr>
          <w:rFonts w:ascii="Garamond" w:hAnsi="Garamond"/>
          <w:lang w:val="pt-PT"/>
        </w:rPr>
      </w:pPr>
      <w:r w:rsidRPr="00AC31B5">
        <w:rPr>
          <w:rFonts w:ascii="Garamond" w:hAnsi="Garamond"/>
          <w:lang w:val="pt-PT"/>
        </w:rPr>
        <w:t xml:space="preserve">Por outro lado, o </w:t>
      </w:r>
      <w:proofErr w:type="spellStart"/>
      <w:r w:rsidRPr="00AC31B5">
        <w:rPr>
          <w:rFonts w:ascii="Garamond" w:hAnsi="Garamond"/>
          <w:lang w:val="pt-PT"/>
        </w:rPr>
        <w:t>IDSR</w:t>
      </w:r>
      <w:proofErr w:type="spellEnd"/>
      <w:r w:rsidRPr="00AC31B5">
        <w:rPr>
          <w:rFonts w:ascii="Garamond" w:hAnsi="Garamond"/>
          <w:lang w:val="pt-PT"/>
        </w:rPr>
        <w:t xml:space="preserve"> III (2018) quantificou a prevalência da violência sexual contra as mulheres (em qualquer circunstância</w:t>
      </w:r>
      <w:r>
        <w:rPr>
          <w:rFonts w:ascii="Garamond" w:hAnsi="Garamond"/>
          <w:lang w:val="pt-PT"/>
        </w:rPr>
        <w:t xml:space="preserve">, e não apenas enquanto </w:t>
      </w:r>
      <w:r w:rsidRPr="00AC31B5">
        <w:rPr>
          <w:rFonts w:ascii="Garamond" w:hAnsi="Garamond"/>
          <w:lang w:val="pt-PT"/>
        </w:rPr>
        <w:t xml:space="preserve">violência conjugal): </w:t>
      </w:r>
    </w:p>
    <w:p w14:paraId="1BBBC774" w14:textId="77777777" w:rsidR="00541FA6" w:rsidRDefault="00541FA6" w:rsidP="002A62A2">
      <w:pPr>
        <w:pStyle w:val="PargrafodaLista"/>
        <w:numPr>
          <w:ilvl w:val="0"/>
          <w:numId w:val="75"/>
        </w:numPr>
        <w:spacing w:after="240" w:line="259" w:lineRule="auto"/>
        <w:jc w:val="both"/>
        <w:rPr>
          <w:rFonts w:ascii="Garamond" w:hAnsi="Garamond"/>
          <w:lang w:val="pt-PT"/>
        </w:rPr>
      </w:pPr>
      <w:r w:rsidRPr="00AC31B5">
        <w:rPr>
          <w:rFonts w:ascii="Garamond" w:hAnsi="Garamond"/>
          <w:lang w:val="pt-PT"/>
        </w:rPr>
        <w:t>5,8% das inquiridas referem ter sofrido violência sexual (em qualquer momento da sua vida) e 3,4% nos últimos 12 meses.</w:t>
      </w:r>
    </w:p>
    <w:p w14:paraId="0DDF7C6C" w14:textId="77777777" w:rsidR="00541FA6" w:rsidRPr="00AC31B5" w:rsidRDefault="00541FA6" w:rsidP="002A62A2">
      <w:pPr>
        <w:pStyle w:val="PargrafodaLista"/>
        <w:numPr>
          <w:ilvl w:val="0"/>
          <w:numId w:val="75"/>
        </w:numPr>
        <w:spacing w:after="240" w:line="259" w:lineRule="auto"/>
        <w:jc w:val="both"/>
        <w:rPr>
          <w:rFonts w:ascii="Garamond" w:hAnsi="Garamond"/>
          <w:lang w:val="pt-PT"/>
        </w:rPr>
      </w:pPr>
      <w:r>
        <w:rPr>
          <w:rFonts w:ascii="Garamond" w:hAnsi="Garamond"/>
          <w:lang w:val="pt-PT"/>
        </w:rPr>
        <w:t xml:space="preserve">O Sal apresenta as taxas mais elevadas de violência sexual nos últimos 12 meses (6,1%). </w:t>
      </w:r>
    </w:p>
    <w:p w14:paraId="51B4E618" w14:textId="77777777" w:rsidR="00541FA6" w:rsidRPr="007C52D6" w:rsidRDefault="00541FA6" w:rsidP="002A62A2">
      <w:pPr>
        <w:pStyle w:val="PargrafodaLista"/>
        <w:numPr>
          <w:ilvl w:val="0"/>
          <w:numId w:val="75"/>
        </w:numPr>
        <w:spacing w:after="240" w:line="259" w:lineRule="auto"/>
        <w:jc w:val="both"/>
        <w:rPr>
          <w:rFonts w:ascii="Garamond" w:hAnsi="Garamond"/>
          <w:lang w:val="pt-PT"/>
        </w:rPr>
      </w:pPr>
      <w:r w:rsidRPr="00AC31B5">
        <w:rPr>
          <w:rFonts w:ascii="Garamond" w:hAnsi="Garamond"/>
          <w:lang w:val="pt-PT"/>
        </w:rPr>
        <w:t xml:space="preserve">É preocupante a procura de ajuda </w:t>
      </w:r>
      <w:r>
        <w:rPr>
          <w:rFonts w:ascii="Garamond" w:hAnsi="Garamond"/>
          <w:lang w:val="pt-PT"/>
        </w:rPr>
        <w:t>ser</w:t>
      </w:r>
      <w:r w:rsidRPr="00AC31B5">
        <w:rPr>
          <w:rFonts w:ascii="Garamond" w:hAnsi="Garamond"/>
          <w:lang w:val="pt-PT"/>
        </w:rPr>
        <w:t xml:space="preserve"> consideravelmente mais baixa quanto existe </w:t>
      </w:r>
      <w:r>
        <w:rPr>
          <w:rFonts w:ascii="Garamond" w:hAnsi="Garamond"/>
          <w:lang w:val="pt-PT"/>
        </w:rPr>
        <w:t xml:space="preserve">violência sexual versus </w:t>
      </w:r>
      <w:r w:rsidRPr="00AC31B5">
        <w:rPr>
          <w:rFonts w:ascii="Garamond" w:hAnsi="Garamond"/>
          <w:lang w:val="pt-PT"/>
        </w:rPr>
        <w:t xml:space="preserve">física (ou ambas): menos de 2 em cada 10 mulheres procuram ajuda face à violência sexual (16,6%), o que acontece com 44,7% das que sofreram violência física e 54,1% das que sofreram violência física e sexual. </w:t>
      </w:r>
    </w:p>
    <w:p w14:paraId="23EBFCAA" w14:textId="77777777" w:rsidR="00541FA6" w:rsidRDefault="00541FA6" w:rsidP="00541FA6">
      <w:pPr>
        <w:jc w:val="both"/>
        <w:rPr>
          <w:rFonts w:ascii="Garamond" w:hAnsi="Garamond"/>
          <w:lang w:val="pt-PT"/>
        </w:rPr>
      </w:pPr>
      <w:r>
        <w:rPr>
          <w:rFonts w:ascii="Garamond" w:hAnsi="Garamond"/>
          <w:lang w:val="pt-PT"/>
        </w:rPr>
        <w:t>Assim, será fundamental:</w:t>
      </w:r>
    </w:p>
    <w:p w14:paraId="2F48C659" w14:textId="77777777" w:rsidR="00541FA6" w:rsidRDefault="00541FA6" w:rsidP="002A62A2">
      <w:pPr>
        <w:pStyle w:val="PargrafodaLista"/>
        <w:numPr>
          <w:ilvl w:val="0"/>
          <w:numId w:val="90"/>
        </w:numPr>
        <w:spacing w:after="240"/>
        <w:jc w:val="both"/>
        <w:rPr>
          <w:rFonts w:ascii="Garamond" w:hAnsi="Garamond"/>
          <w:lang w:val="pt-PT"/>
        </w:rPr>
      </w:pPr>
      <w:r>
        <w:rPr>
          <w:rFonts w:ascii="Garamond" w:hAnsi="Garamond"/>
          <w:lang w:val="pt-PT"/>
        </w:rPr>
        <w:t xml:space="preserve">Melhorar e divulgar </w:t>
      </w:r>
      <w:r w:rsidRPr="00D5491C">
        <w:rPr>
          <w:rFonts w:ascii="Garamond" w:hAnsi="Garamond"/>
          <w:lang w:val="pt-PT"/>
        </w:rPr>
        <w:t>respostas de apoio</w:t>
      </w:r>
      <w:r>
        <w:rPr>
          <w:rFonts w:ascii="Garamond" w:hAnsi="Garamond"/>
          <w:lang w:val="pt-PT"/>
        </w:rPr>
        <w:t xml:space="preserve">, tendo em conta que </w:t>
      </w:r>
      <w:r w:rsidRPr="00D5491C">
        <w:rPr>
          <w:rFonts w:ascii="Garamond" w:hAnsi="Garamond"/>
          <w:lang w:val="pt-PT"/>
        </w:rPr>
        <w:t xml:space="preserve">o atendimento a vítimas de violência sexual exige abordagens específicas e nem todos o(a)s técnico(a)s que precisam de competências neste domínio tiveram oportunidade de as desenvolver, </w:t>
      </w:r>
      <w:proofErr w:type="spellStart"/>
      <w:r w:rsidRPr="00D5491C">
        <w:rPr>
          <w:rFonts w:ascii="Garamond" w:hAnsi="Garamond"/>
          <w:lang w:val="pt-PT"/>
        </w:rPr>
        <w:t>pelo</w:t>
      </w:r>
      <w:proofErr w:type="spellEnd"/>
      <w:r w:rsidRPr="00D5491C">
        <w:rPr>
          <w:rFonts w:ascii="Garamond" w:hAnsi="Garamond"/>
          <w:lang w:val="pt-PT"/>
        </w:rPr>
        <w:t xml:space="preserve"> que deve haver reforço com módulos de formação nesta área particular, de acordo com um levantamento das necessidades, que inclua as necessidades de supervisão e de </w:t>
      </w:r>
      <w:proofErr w:type="spellStart"/>
      <w:r w:rsidRPr="00D5491C">
        <w:rPr>
          <w:rFonts w:ascii="Garamond" w:hAnsi="Garamond"/>
          <w:lang w:val="pt-PT"/>
        </w:rPr>
        <w:t>atualização</w:t>
      </w:r>
      <w:proofErr w:type="spellEnd"/>
      <w:r w:rsidRPr="00D5491C">
        <w:rPr>
          <w:rFonts w:ascii="Garamond" w:hAnsi="Garamond"/>
          <w:lang w:val="pt-PT"/>
        </w:rPr>
        <w:t xml:space="preserve"> do(a)s técnico(a)s.</w:t>
      </w:r>
    </w:p>
    <w:p w14:paraId="15EE0DD7" w14:textId="77777777" w:rsidR="00541FA6" w:rsidRPr="002508D3" w:rsidRDefault="00541FA6" w:rsidP="002A62A2">
      <w:pPr>
        <w:pStyle w:val="PargrafodaLista"/>
        <w:numPr>
          <w:ilvl w:val="0"/>
          <w:numId w:val="90"/>
        </w:numPr>
        <w:spacing w:after="240" w:line="259" w:lineRule="auto"/>
        <w:jc w:val="both"/>
        <w:rPr>
          <w:rFonts w:ascii="Garamond" w:hAnsi="Garamond"/>
          <w:lang w:val="pt-PT"/>
        </w:rPr>
      </w:pPr>
      <w:bookmarkStart w:id="60" w:name="_Hlk31489262"/>
      <w:r w:rsidRPr="002508D3">
        <w:rPr>
          <w:rFonts w:ascii="Garamond" w:hAnsi="Garamond"/>
          <w:lang w:val="pt-PT"/>
        </w:rPr>
        <w:t xml:space="preserve">Compreender as especificidades da violência sexual em determinados contextos, para formulação de estratégias de combate adaptadas às realidades e contextos locais.   </w:t>
      </w:r>
    </w:p>
    <w:bookmarkEnd w:id="60"/>
    <w:p w14:paraId="6895ABD9" w14:textId="77777777" w:rsidR="00541FA6" w:rsidRDefault="00541FA6" w:rsidP="00541FA6">
      <w:pPr>
        <w:jc w:val="both"/>
        <w:rPr>
          <w:rFonts w:ascii="Garamond" w:hAnsi="Garamond"/>
          <w:lang w:val="pt-PT"/>
        </w:rPr>
      </w:pPr>
      <w:r>
        <w:rPr>
          <w:rFonts w:ascii="Garamond" w:hAnsi="Garamond"/>
          <w:lang w:val="pt-PT"/>
        </w:rPr>
        <w:t xml:space="preserve">Para além dos dados do </w:t>
      </w:r>
      <w:proofErr w:type="spellStart"/>
      <w:r>
        <w:rPr>
          <w:rFonts w:ascii="Garamond" w:hAnsi="Garamond"/>
          <w:lang w:val="pt-PT"/>
        </w:rPr>
        <w:t>IDSR</w:t>
      </w:r>
      <w:proofErr w:type="spellEnd"/>
      <w:r>
        <w:rPr>
          <w:rFonts w:ascii="Garamond" w:hAnsi="Garamond"/>
          <w:lang w:val="pt-PT"/>
        </w:rPr>
        <w:t xml:space="preserve"> III, estão disponíveis informações sobre a </w:t>
      </w:r>
      <w:proofErr w:type="spellStart"/>
      <w:r>
        <w:rPr>
          <w:rFonts w:ascii="Garamond" w:hAnsi="Garamond"/>
          <w:lang w:val="pt-PT"/>
        </w:rPr>
        <w:t>VBG</w:t>
      </w:r>
      <w:proofErr w:type="spellEnd"/>
      <w:r>
        <w:rPr>
          <w:rFonts w:ascii="Garamond" w:hAnsi="Garamond"/>
          <w:lang w:val="pt-PT"/>
        </w:rPr>
        <w:t xml:space="preserve"> a partir </w:t>
      </w:r>
      <w:r w:rsidRPr="001C50C8">
        <w:rPr>
          <w:rFonts w:ascii="Garamond" w:hAnsi="Garamond"/>
          <w:lang w:val="pt-PT"/>
        </w:rPr>
        <w:t xml:space="preserve">(i) </w:t>
      </w:r>
      <w:r>
        <w:rPr>
          <w:rFonts w:ascii="Garamond" w:hAnsi="Garamond"/>
          <w:lang w:val="pt-PT"/>
        </w:rPr>
        <w:t xml:space="preserve">das </w:t>
      </w:r>
      <w:r w:rsidRPr="001C50C8">
        <w:rPr>
          <w:rFonts w:ascii="Garamond" w:hAnsi="Garamond"/>
          <w:lang w:val="pt-PT"/>
        </w:rPr>
        <w:t xml:space="preserve">denúncias recebidas </w:t>
      </w:r>
      <w:proofErr w:type="spellStart"/>
      <w:r w:rsidRPr="001C50C8">
        <w:rPr>
          <w:rFonts w:ascii="Garamond" w:hAnsi="Garamond"/>
          <w:lang w:val="pt-PT"/>
        </w:rPr>
        <w:t>pela</w:t>
      </w:r>
      <w:proofErr w:type="spellEnd"/>
      <w:r w:rsidRPr="001C50C8">
        <w:rPr>
          <w:rFonts w:ascii="Garamond" w:hAnsi="Garamond"/>
          <w:lang w:val="pt-PT"/>
        </w:rPr>
        <w:t xml:space="preserve"> Polícia Nacional, (ii) </w:t>
      </w:r>
      <w:r>
        <w:rPr>
          <w:rFonts w:ascii="Garamond" w:hAnsi="Garamond"/>
          <w:lang w:val="pt-PT"/>
        </w:rPr>
        <w:t>d</w:t>
      </w:r>
      <w:r w:rsidRPr="001C50C8">
        <w:rPr>
          <w:rFonts w:ascii="Garamond" w:hAnsi="Garamond"/>
          <w:lang w:val="pt-PT"/>
        </w:rPr>
        <w:t xml:space="preserve">o número de processos que deram entrada nas Procuradorias do país e seu andamento, (iii) </w:t>
      </w:r>
      <w:r>
        <w:rPr>
          <w:rFonts w:ascii="Garamond" w:hAnsi="Garamond"/>
          <w:lang w:val="pt-PT"/>
        </w:rPr>
        <w:t>d</w:t>
      </w:r>
      <w:r w:rsidRPr="001C50C8">
        <w:rPr>
          <w:rFonts w:ascii="Garamond" w:hAnsi="Garamond"/>
          <w:lang w:val="pt-PT"/>
        </w:rPr>
        <w:t xml:space="preserve">o número de reclusos acusados ou condenados por </w:t>
      </w:r>
      <w:proofErr w:type="spellStart"/>
      <w:r w:rsidRPr="001C50C8">
        <w:rPr>
          <w:rFonts w:ascii="Garamond" w:hAnsi="Garamond"/>
          <w:lang w:val="pt-PT"/>
        </w:rPr>
        <w:t>VBG</w:t>
      </w:r>
      <w:proofErr w:type="spellEnd"/>
      <w:r w:rsidRPr="001C50C8">
        <w:rPr>
          <w:rFonts w:ascii="Garamond" w:hAnsi="Garamond"/>
          <w:lang w:val="pt-PT"/>
        </w:rPr>
        <w:t xml:space="preserve"> e crimes sexuais, (iv) </w:t>
      </w:r>
      <w:r>
        <w:rPr>
          <w:rFonts w:ascii="Garamond" w:hAnsi="Garamond"/>
          <w:lang w:val="pt-PT"/>
        </w:rPr>
        <w:t>d</w:t>
      </w:r>
      <w:r w:rsidRPr="001C50C8">
        <w:rPr>
          <w:rFonts w:ascii="Garamond" w:hAnsi="Garamond"/>
          <w:lang w:val="pt-PT"/>
        </w:rPr>
        <w:t xml:space="preserve">o número de vítimas mortais de mulheres por </w:t>
      </w:r>
      <w:proofErr w:type="spellStart"/>
      <w:r w:rsidRPr="001C50C8">
        <w:rPr>
          <w:rFonts w:ascii="Garamond" w:hAnsi="Garamond"/>
          <w:lang w:val="pt-PT"/>
        </w:rPr>
        <w:t>VBG</w:t>
      </w:r>
      <w:proofErr w:type="spellEnd"/>
      <w:r w:rsidRPr="001C50C8">
        <w:rPr>
          <w:rFonts w:ascii="Garamond" w:hAnsi="Garamond"/>
          <w:lang w:val="pt-PT"/>
        </w:rPr>
        <w:t xml:space="preserve"> (</w:t>
      </w:r>
      <w:bookmarkStart w:id="61" w:name="_Hlk31446000"/>
      <w:proofErr w:type="spellStart"/>
      <w:r w:rsidRPr="001C50C8">
        <w:rPr>
          <w:rFonts w:ascii="Garamond" w:hAnsi="Garamond"/>
          <w:lang w:val="pt-PT"/>
        </w:rPr>
        <w:t>femicídio</w:t>
      </w:r>
      <w:bookmarkEnd w:id="61"/>
      <w:proofErr w:type="spellEnd"/>
      <w:r w:rsidRPr="001C50C8">
        <w:rPr>
          <w:rFonts w:ascii="Garamond" w:hAnsi="Garamond"/>
          <w:lang w:val="pt-PT"/>
        </w:rPr>
        <w:t xml:space="preserve">), e (v) </w:t>
      </w:r>
      <w:r>
        <w:rPr>
          <w:rFonts w:ascii="Garamond" w:hAnsi="Garamond"/>
          <w:lang w:val="pt-PT"/>
        </w:rPr>
        <w:t>da</w:t>
      </w:r>
      <w:r w:rsidRPr="001C50C8">
        <w:rPr>
          <w:rFonts w:ascii="Garamond" w:hAnsi="Garamond"/>
          <w:lang w:val="pt-PT"/>
        </w:rPr>
        <w:t xml:space="preserve"> violência que </w:t>
      </w:r>
      <w:proofErr w:type="spellStart"/>
      <w:r w:rsidRPr="001C50C8">
        <w:rPr>
          <w:rFonts w:ascii="Garamond" w:hAnsi="Garamond"/>
          <w:lang w:val="pt-PT"/>
        </w:rPr>
        <w:t>afeta</w:t>
      </w:r>
      <w:proofErr w:type="spellEnd"/>
      <w:r w:rsidRPr="001C50C8">
        <w:rPr>
          <w:rFonts w:ascii="Garamond" w:hAnsi="Garamond"/>
          <w:lang w:val="pt-PT"/>
        </w:rPr>
        <w:t xml:space="preserve"> as mulheres com deficiência. </w:t>
      </w:r>
    </w:p>
    <w:p w14:paraId="50EE8D41" w14:textId="77777777" w:rsidR="00541FA6" w:rsidRDefault="00541FA6" w:rsidP="00541FA6">
      <w:pPr>
        <w:jc w:val="both"/>
        <w:rPr>
          <w:rFonts w:ascii="Garamond" w:hAnsi="Garamond"/>
          <w:lang w:val="pt-PT"/>
        </w:rPr>
      </w:pPr>
    </w:p>
    <w:p w14:paraId="6AADE641" w14:textId="77777777" w:rsidR="00541FA6" w:rsidRDefault="00541FA6" w:rsidP="002A62A2">
      <w:pPr>
        <w:pStyle w:val="PargrafodaLista"/>
        <w:numPr>
          <w:ilvl w:val="0"/>
          <w:numId w:val="68"/>
        </w:numPr>
        <w:ind w:left="454" w:hanging="454"/>
        <w:jc w:val="both"/>
        <w:rPr>
          <w:rFonts w:ascii="Garamond" w:hAnsi="Garamond"/>
          <w:b/>
          <w:bCs/>
          <w:lang w:val="pt-PT"/>
        </w:rPr>
      </w:pPr>
      <w:r w:rsidRPr="001C50C8">
        <w:rPr>
          <w:rFonts w:ascii="Garamond" w:hAnsi="Garamond"/>
          <w:b/>
          <w:bCs/>
          <w:lang w:val="pt-PT"/>
        </w:rPr>
        <w:t xml:space="preserve">Denúncias de </w:t>
      </w:r>
      <w:proofErr w:type="spellStart"/>
      <w:r w:rsidRPr="001C50C8">
        <w:rPr>
          <w:rFonts w:ascii="Garamond" w:hAnsi="Garamond"/>
          <w:b/>
          <w:bCs/>
          <w:lang w:val="pt-PT"/>
        </w:rPr>
        <w:t>VBG</w:t>
      </w:r>
      <w:proofErr w:type="spellEnd"/>
      <w:r w:rsidRPr="001C50C8">
        <w:rPr>
          <w:rFonts w:ascii="Garamond" w:hAnsi="Garamond"/>
          <w:b/>
          <w:bCs/>
          <w:lang w:val="pt-PT"/>
        </w:rPr>
        <w:t xml:space="preserve"> à Polícia Nacional</w:t>
      </w:r>
    </w:p>
    <w:p w14:paraId="2C673E2E" w14:textId="77777777" w:rsidR="00541FA6" w:rsidRDefault="00541FA6" w:rsidP="00541FA6">
      <w:pPr>
        <w:pStyle w:val="Legenda"/>
        <w:spacing w:after="0"/>
        <w:jc w:val="center"/>
        <w:rPr>
          <w:rFonts w:ascii="Garamond" w:hAnsi="Garamond"/>
          <w:b/>
          <w:i w:val="0"/>
          <w:iCs w:val="0"/>
          <w:color w:val="auto"/>
          <w:sz w:val="20"/>
          <w:szCs w:val="20"/>
          <w:lang w:val="pt-PT"/>
        </w:rPr>
      </w:pPr>
    </w:p>
    <w:p w14:paraId="223AB18C" w14:textId="77777777" w:rsidR="00676C64" w:rsidRDefault="00676C64" w:rsidP="00541FA6">
      <w:pPr>
        <w:pStyle w:val="Legenda"/>
        <w:spacing w:after="0"/>
        <w:jc w:val="center"/>
        <w:rPr>
          <w:rFonts w:ascii="Garamond" w:hAnsi="Garamond"/>
          <w:b/>
          <w:i w:val="0"/>
          <w:iCs w:val="0"/>
          <w:color w:val="auto"/>
          <w:sz w:val="20"/>
          <w:szCs w:val="20"/>
          <w:lang w:val="pt-PT"/>
        </w:rPr>
      </w:pPr>
    </w:p>
    <w:p w14:paraId="0FC93A23" w14:textId="3B1F8916" w:rsidR="00541FA6" w:rsidRPr="007A7AD6" w:rsidRDefault="00541FA6" w:rsidP="00541FA6">
      <w:pPr>
        <w:pStyle w:val="Legenda"/>
        <w:spacing w:after="0"/>
        <w:jc w:val="center"/>
        <w:rPr>
          <w:rFonts w:ascii="Garamond" w:hAnsi="Garamond"/>
          <w:b/>
          <w:i w:val="0"/>
          <w:iCs w:val="0"/>
          <w:color w:val="auto"/>
          <w:sz w:val="20"/>
          <w:szCs w:val="20"/>
          <w:lang w:val="pt-PT"/>
        </w:rPr>
      </w:pPr>
      <w:bookmarkStart w:id="62" w:name="_Toc32856876"/>
      <w:r w:rsidRPr="00BE46E6">
        <w:rPr>
          <w:rFonts w:ascii="Garamond" w:hAnsi="Garamond"/>
          <w:b/>
          <w:i w:val="0"/>
          <w:iCs w:val="0"/>
          <w:color w:val="auto"/>
          <w:sz w:val="20"/>
          <w:szCs w:val="20"/>
          <w:lang w:val="pt-PT"/>
        </w:rPr>
        <w:t xml:space="preserve">Gráfico </w:t>
      </w:r>
      <w:r w:rsidRPr="007A7AD6">
        <w:rPr>
          <w:rFonts w:ascii="Garamond" w:hAnsi="Garamond"/>
          <w:b/>
          <w:i w:val="0"/>
          <w:iCs w:val="0"/>
          <w:color w:val="auto"/>
          <w:sz w:val="20"/>
          <w:szCs w:val="20"/>
          <w:lang w:val="pt-PT"/>
        </w:rPr>
        <w:fldChar w:fldCharType="begin"/>
      </w:r>
      <w:r w:rsidRPr="007A7AD6">
        <w:rPr>
          <w:rFonts w:ascii="Garamond" w:hAnsi="Garamond"/>
          <w:b/>
          <w:i w:val="0"/>
          <w:iCs w:val="0"/>
          <w:color w:val="auto"/>
          <w:sz w:val="20"/>
          <w:szCs w:val="20"/>
          <w:lang w:val="pt-PT"/>
        </w:rPr>
        <w:instrText xml:space="preserve"> SEQ Grafico \* ARABIC </w:instrText>
      </w:r>
      <w:r w:rsidRPr="007A7AD6">
        <w:rPr>
          <w:rFonts w:ascii="Garamond" w:hAnsi="Garamond"/>
          <w:b/>
          <w:i w:val="0"/>
          <w:iCs w:val="0"/>
          <w:color w:val="auto"/>
          <w:sz w:val="20"/>
          <w:szCs w:val="20"/>
          <w:lang w:val="pt-PT"/>
        </w:rPr>
        <w:fldChar w:fldCharType="separate"/>
      </w:r>
      <w:r w:rsidR="009F122A">
        <w:rPr>
          <w:rFonts w:ascii="Garamond" w:hAnsi="Garamond"/>
          <w:b/>
          <w:i w:val="0"/>
          <w:iCs w:val="0"/>
          <w:noProof/>
          <w:color w:val="auto"/>
          <w:sz w:val="20"/>
          <w:szCs w:val="20"/>
          <w:lang w:val="pt-PT"/>
        </w:rPr>
        <w:t>22</w:t>
      </w:r>
      <w:r w:rsidRPr="007A7AD6">
        <w:rPr>
          <w:rFonts w:ascii="Garamond" w:hAnsi="Garamond"/>
          <w:b/>
          <w:i w:val="0"/>
          <w:iCs w:val="0"/>
          <w:color w:val="auto"/>
          <w:sz w:val="20"/>
          <w:szCs w:val="20"/>
          <w:lang w:val="pt-PT"/>
        </w:rPr>
        <w:fldChar w:fldCharType="end"/>
      </w:r>
      <w:r w:rsidRPr="00BE46E6">
        <w:rPr>
          <w:rFonts w:ascii="Garamond" w:hAnsi="Garamond"/>
          <w:b/>
          <w:i w:val="0"/>
          <w:iCs w:val="0"/>
          <w:color w:val="auto"/>
          <w:sz w:val="20"/>
          <w:szCs w:val="20"/>
          <w:lang w:val="pt-PT"/>
        </w:rPr>
        <w:t xml:space="preserve"> - Nº de denúncias de </w:t>
      </w:r>
      <w:proofErr w:type="spellStart"/>
      <w:r w:rsidRPr="00BE46E6">
        <w:rPr>
          <w:rFonts w:ascii="Garamond" w:hAnsi="Garamond"/>
          <w:b/>
          <w:i w:val="0"/>
          <w:iCs w:val="0"/>
          <w:color w:val="auto"/>
          <w:sz w:val="20"/>
          <w:szCs w:val="20"/>
          <w:lang w:val="pt-PT"/>
        </w:rPr>
        <w:t>VBG</w:t>
      </w:r>
      <w:proofErr w:type="spellEnd"/>
      <w:r w:rsidRPr="00BE46E6">
        <w:rPr>
          <w:rFonts w:ascii="Garamond" w:hAnsi="Garamond"/>
          <w:b/>
          <w:i w:val="0"/>
          <w:iCs w:val="0"/>
          <w:color w:val="auto"/>
          <w:sz w:val="20"/>
          <w:szCs w:val="20"/>
          <w:lang w:val="pt-PT"/>
        </w:rPr>
        <w:t xml:space="preserve"> recebidas </w:t>
      </w:r>
      <w:proofErr w:type="spellStart"/>
      <w:r w:rsidRPr="00BE46E6">
        <w:rPr>
          <w:rFonts w:ascii="Garamond" w:hAnsi="Garamond"/>
          <w:b/>
          <w:i w:val="0"/>
          <w:iCs w:val="0"/>
          <w:color w:val="auto"/>
          <w:sz w:val="20"/>
          <w:szCs w:val="20"/>
          <w:lang w:val="pt-PT"/>
        </w:rPr>
        <w:t>pela</w:t>
      </w:r>
      <w:proofErr w:type="spellEnd"/>
      <w:r w:rsidRPr="00BE46E6">
        <w:rPr>
          <w:rFonts w:ascii="Garamond" w:hAnsi="Garamond"/>
          <w:b/>
          <w:i w:val="0"/>
          <w:iCs w:val="0"/>
          <w:color w:val="auto"/>
          <w:sz w:val="20"/>
          <w:szCs w:val="20"/>
          <w:lang w:val="pt-PT"/>
        </w:rPr>
        <w:t xml:space="preserve"> Polícia Nacional (2010</w:t>
      </w:r>
      <w:r w:rsidRPr="00705EA1">
        <w:rPr>
          <w:rStyle w:val="Refdenotaderodap"/>
          <w:rFonts w:ascii="Garamond" w:hAnsi="Garamond"/>
          <w:b/>
          <w:i w:val="0"/>
          <w:iCs w:val="0"/>
          <w:color w:val="auto"/>
        </w:rPr>
        <w:footnoteReference w:id="61"/>
      </w:r>
      <w:r w:rsidRPr="00BE46E6">
        <w:rPr>
          <w:rFonts w:ascii="Garamond" w:hAnsi="Garamond"/>
          <w:b/>
          <w:i w:val="0"/>
          <w:iCs w:val="0"/>
          <w:color w:val="auto"/>
          <w:sz w:val="20"/>
          <w:szCs w:val="20"/>
          <w:lang w:val="pt-PT"/>
        </w:rPr>
        <w:t xml:space="preserve"> a 2018)</w:t>
      </w:r>
      <w:bookmarkEnd w:id="62"/>
    </w:p>
    <w:p w14:paraId="35C818DF" w14:textId="77777777" w:rsidR="00541FA6" w:rsidRDefault="00541FA6" w:rsidP="00541FA6">
      <w:pPr>
        <w:jc w:val="both"/>
        <w:rPr>
          <w:rFonts w:ascii="Garamond" w:hAnsi="Garamond"/>
          <w:b/>
          <w:bCs/>
          <w:sz w:val="28"/>
          <w:szCs w:val="28"/>
        </w:rPr>
      </w:pPr>
      <w:r>
        <w:rPr>
          <w:noProof/>
        </w:rPr>
        <w:drawing>
          <wp:inline distT="0" distB="0" distL="0" distR="0" wp14:anchorId="5A891A48" wp14:editId="58C21B3D">
            <wp:extent cx="5267460" cy="1700011"/>
            <wp:effectExtent l="0" t="0" r="0" b="0"/>
            <wp:docPr id="59" name="Gráfico 59">
              <a:extLst xmlns:a="http://schemas.openxmlformats.org/drawingml/2006/main">
                <a:ext uri="{FF2B5EF4-FFF2-40B4-BE49-F238E27FC236}">
                  <a16:creationId xmlns:a16="http://schemas.microsoft.com/office/drawing/2014/main" id="{EE1E9E40-2C2C-4EB0-9326-101EF7DFF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86EF9C7" w14:textId="77777777" w:rsidR="00541FA6" w:rsidRPr="007A7AD6" w:rsidRDefault="00541FA6" w:rsidP="00541FA6">
      <w:pPr>
        <w:jc w:val="center"/>
        <w:rPr>
          <w:rFonts w:ascii="Times New Roman" w:hAnsi="Times New Roman"/>
          <w:b/>
          <w:sz w:val="20"/>
          <w:szCs w:val="20"/>
          <w:lang w:val="pt-PT"/>
        </w:rPr>
      </w:pPr>
      <w:r w:rsidRPr="007A7AD6">
        <w:rPr>
          <w:rFonts w:ascii="Times New Roman" w:hAnsi="Times New Roman"/>
          <w:b/>
          <w:sz w:val="20"/>
          <w:szCs w:val="20"/>
          <w:lang w:val="pt-PT"/>
        </w:rPr>
        <w:t xml:space="preserve">Fonte: </w:t>
      </w:r>
      <w:r>
        <w:rPr>
          <w:rFonts w:ascii="Times New Roman" w:hAnsi="Times New Roman"/>
          <w:b/>
          <w:sz w:val="20"/>
          <w:szCs w:val="20"/>
          <w:lang w:val="pt-PT"/>
        </w:rPr>
        <w:t>elaboração própria a partir dos dados da Polícia Nacional (2010-2018)</w:t>
      </w:r>
    </w:p>
    <w:p w14:paraId="34712E2C" w14:textId="77777777" w:rsidR="00541FA6" w:rsidRDefault="00541FA6" w:rsidP="00541FA6">
      <w:pPr>
        <w:jc w:val="both"/>
        <w:rPr>
          <w:rFonts w:ascii="Garamond" w:hAnsi="Garamond"/>
          <w:lang w:val="pt-PT"/>
        </w:rPr>
      </w:pPr>
    </w:p>
    <w:p w14:paraId="75051085" w14:textId="77777777" w:rsidR="00541FA6" w:rsidRPr="00BE46E6" w:rsidRDefault="00541FA6" w:rsidP="00541FA6">
      <w:pPr>
        <w:jc w:val="both"/>
        <w:rPr>
          <w:rFonts w:ascii="Garamond" w:hAnsi="Garamond"/>
          <w:lang w:val="pt-PT"/>
        </w:rPr>
      </w:pPr>
      <w:r>
        <w:rPr>
          <w:rFonts w:ascii="Garamond" w:hAnsi="Garamond"/>
          <w:lang w:val="pt-PT"/>
        </w:rPr>
        <w:t xml:space="preserve">Verifica-se </w:t>
      </w:r>
      <w:r w:rsidRPr="00BE46E6">
        <w:rPr>
          <w:rFonts w:ascii="Garamond" w:hAnsi="Garamond"/>
          <w:lang w:val="pt-PT"/>
        </w:rPr>
        <w:t xml:space="preserve">uma diminuição recente significativa no número de casos de </w:t>
      </w:r>
      <w:proofErr w:type="spellStart"/>
      <w:r w:rsidRPr="00BE46E6">
        <w:rPr>
          <w:rFonts w:ascii="Garamond" w:hAnsi="Garamond"/>
          <w:lang w:val="pt-PT"/>
        </w:rPr>
        <w:t>VBG</w:t>
      </w:r>
      <w:proofErr w:type="spellEnd"/>
      <w:r w:rsidRPr="00BE46E6">
        <w:rPr>
          <w:rFonts w:ascii="Garamond" w:hAnsi="Garamond"/>
          <w:lang w:val="pt-PT"/>
        </w:rPr>
        <w:t xml:space="preserve"> sinalizados à Polícia Nacional (em 2017 e, de forma mais marcada, em 2018), sobretudo na Praia. Há que referir que o número de ocorrências registadas em geral </w:t>
      </w:r>
      <w:proofErr w:type="spellStart"/>
      <w:r w:rsidRPr="00BE46E6">
        <w:rPr>
          <w:rFonts w:ascii="Garamond" w:hAnsi="Garamond"/>
          <w:lang w:val="pt-PT"/>
        </w:rPr>
        <w:t>pela</w:t>
      </w:r>
      <w:proofErr w:type="spellEnd"/>
      <w:r w:rsidRPr="00BE46E6">
        <w:rPr>
          <w:rFonts w:ascii="Garamond" w:hAnsi="Garamond"/>
          <w:lang w:val="pt-PT"/>
        </w:rPr>
        <w:t xml:space="preserve"> PN diminuiu em 32,6% no triénio 2016-2018: menos 7.664 ocorrências em comparação com os dados de 2015, sobretudo no caso de crimes contra pessoas, tais como a ofensa corporal, ameaça, </w:t>
      </w:r>
      <w:proofErr w:type="spellStart"/>
      <w:r w:rsidRPr="00BE46E6">
        <w:rPr>
          <w:rFonts w:ascii="Garamond" w:hAnsi="Garamond"/>
          <w:lang w:val="pt-PT"/>
        </w:rPr>
        <w:t>VBG</w:t>
      </w:r>
      <w:proofErr w:type="spellEnd"/>
      <w:r w:rsidRPr="00BE46E6">
        <w:rPr>
          <w:rFonts w:ascii="Garamond" w:hAnsi="Garamond"/>
          <w:lang w:val="pt-PT"/>
        </w:rPr>
        <w:t xml:space="preserve">, injúria, agressão sexual, abuso sexual de menores, maus </w:t>
      </w:r>
      <w:proofErr w:type="spellStart"/>
      <w:r w:rsidRPr="00BE46E6">
        <w:rPr>
          <w:rFonts w:ascii="Garamond" w:hAnsi="Garamond"/>
          <w:lang w:val="pt-PT"/>
        </w:rPr>
        <w:t>tratos</w:t>
      </w:r>
      <w:proofErr w:type="spellEnd"/>
      <w:r w:rsidRPr="00BE46E6">
        <w:rPr>
          <w:rFonts w:ascii="Garamond" w:hAnsi="Garamond"/>
          <w:lang w:val="pt-PT"/>
        </w:rPr>
        <w:t xml:space="preserve"> de menores, homicídios. </w:t>
      </w:r>
    </w:p>
    <w:p w14:paraId="5E57A38B" w14:textId="77777777" w:rsidR="00541FA6" w:rsidRPr="001C50C8" w:rsidRDefault="00541FA6" w:rsidP="002A62A2">
      <w:pPr>
        <w:pStyle w:val="PargrafodaLista"/>
        <w:numPr>
          <w:ilvl w:val="0"/>
          <w:numId w:val="69"/>
        </w:numPr>
        <w:spacing w:after="240"/>
        <w:jc w:val="both"/>
        <w:rPr>
          <w:rFonts w:ascii="Garamond" w:hAnsi="Garamond"/>
          <w:lang w:val="pt-PT"/>
        </w:rPr>
      </w:pPr>
      <w:r>
        <w:rPr>
          <w:rFonts w:ascii="Garamond" w:hAnsi="Garamond"/>
          <w:lang w:val="pt-PT"/>
        </w:rPr>
        <w:t>Apesar da diminuição significativa da violência contra as mulheres, a violência conjugal teve uma menor diminuição: sobretudo para algumas faixas etárias e em ilhas/domínios específicos, entre os quais Santiago Sul, que inclui a Praia. Além disso, pouco mais de metade das vítimas procuram ajuda e, destas, 50% recorre à Polícia (um resultado positivo, mas que pode ainda melhorar)</w:t>
      </w:r>
      <w:r w:rsidRPr="001C50C8">
        <w:rPr>
          <w:rFonts w:ascii="Garamond" w:hAnsi="Garamond"/>
          <w:lang w:val="pt-PT"/>
        </w:rPr>
        <w:t>.</w:t>
      </w:r>
    </w:p>
    <w:p w14:paraId="6329F49E" w14:textId="77777777" w:rsidR="00541FA6" w:rsidRPr="001C50C8" w:rsidRDefault="00541FA6" w:rsidP="002A62A2">
      <w:pPr>
        <w:pStyle w:val="PargrafodaLista"/>
        <w:numPr>
          <w:ilvl w:val="0"/>
          <w:numId w:val="69"/>
        </w:numPr>
        <w:spacing w:after="240"/>
        <w:jc w:val="both"/>
        <w:rPr>
          <w:rFonts w:ascii="Garamond" w:hAnsi="Garamond"/>
          <w:lang w:val="pt-PT"/>
        </w:rPr>
      </w:pPr>
      <w:r w:rsidRPr="001C50C8">
        <w:rPr>
          <w:rFonts w:ascii="Garamond" w:hAnsi="Garamond"/>
          <w:lang w:val="pt-PT"/>
        </w:rPr>
        <w:t xml:space="preserve">Apesar da diminuição nas denúncias de </w:t>
      </w:r>
      <w:proofErr w:type="spellStart"/>
      <w:r w:rsidRPr="001C50C8">
        <w:rPr>
          <w:rFonts w:ascii="Garamond" w:hAnsi="Garamond"/>
          <w:lang w:val="pt-PT"/>
        </w:rPr>
        <w:t>VBG</w:t>
      </w:r>
      <w:proofErr w:type="spellEnd"/>
      <w:r w:rsidRPr="001C50C8">
        <w:rPr>
          <w:rFonts w:ascii="Garamond" w:hAnsi="Garamond"/>
          <w:lang w:val="pt-PT"/>
        </w:rPr>
        <w:t xml:space="preserve">, o seu número continua elevado: em 2018 representa 20,9% do total dos crimes contra pessoas, ou seja, mais de 1 em cada 5 crimes contra pessoas é uma ocorrência de </w:t>
      </w:r>
      <w:proofErr w:type="spellStart"/>
      <w:r w:rsidRPr="001C50C8">
        <w:rPr>
          <w:rFonts w:ascii="Garamond" w:hAnsi="Garamond"/>
          <w:lang w:val="pt-PT"/>
        </w:rPr>
        <w:t>VBG</w:t>
      </w:r>
      <w:proofErr w:type="spellEnd"/>
      <w:r w:rsidRPr="001C50C8">
        <w:rPr>
          <w:rFonts w:ascii="Garamond" w:hAnsi="Garamond"/>
          <w:lang w:val="pt-PT"/>
        </w:rPr>
        <w:t>, sendo fundamental continuar a reforçar as estratégias de prevenção. A esse respeito, importante notar que o Programa Nacional de Segurança Interna e Cidadania (</w:t>
      </w:r>
      <w:proofErr w:type="spellStart"/>
      <w:r w:rsidRPr="001C50C8">
        <w:rPr>
          <w:rFonts w:ascii="Garamond" w:hAnsi="Garamond"/>
          <w:lang w:val="pt-PT"/>
        </w:rPr>
        <w:t>PNSIC</w:t>
      </w:r>
      <w:proofErr w:type="spellEnd"/>
      <w:r w:rsidRPr="001C50C8">
        <w:rPr>
          <w:rFonts w:ascii="Garamond" w:hAnsi="Garamond"/>
          <w:lang w:val="pt-PT"/>
        </w:rPr>
        <w:t>)</w:t>
      </w:r>
      <w:r w:rsidRPr="001C50C8">
        <w:rPr>
          <w:rStyle w:val="Refdenotaderodap"/>
          <w:rFonts w:ascii="Garamond" w:hAnsi="Garamond"/>
          <w:lang w:val="pt-PT"/>
        </w:rPr>
        <w:footnoteReference w:id="62"/>
      </w:r>
      <w:r w:rsidRPr="001C50C8">
        <w:rPr>
          <w:rFonts w:ascii="Garamond" w:hAnsi="Garamond"/>
          <w:lang w:val="pt-PT"/>
        </w:rPr>
        <w:t xml:space="preserve"> trabalha com uma perspectiva ampla e integrada que articula Segurança, Desenvolvimento e Cidadania, com base no cidadão e nas realidades específicas em que estes se inserem, gerando assim oportunidades para a  promoção da Segurança Cidadã numa perspectiva de género, como no caso da reabilitação e requalificação dos contextos socio-urbanos (reforço da iluminação pública, reabilitação e revitalização de espaços públicos, etc.), programas de inovação social e cidadania urbana, reforço da educação para cidadania, intensificação do combate </w:t>
      </w:r>
      <w:proofErr w:type="spellStart"/>
      <w:r w:rsidRPr="001C50C8">
        <w:rPr>
          <w:rFonts w:ascii="Garamond" w:hAnsi="Garamond"/>
          <w:lang w:val="pt-PT"/>
        </w:rPr>
        <w:t>ativo</w:t>
      </w:r>
      <w:proofErr w:type="spellEnd"/>
      <w:r w:rsidRPr="001C50C8">
        <w:rPr>
          <w:rFonts w:ascii="Garamond" w:hAnsi="Garamond"/>
          <w:lang w:val="pt-PT"/>
        </w:rPr>
        <w:t xml:space="preserve"> ao consumo de substâncias psicoactivas, combate à </w:t>
      </w:r>
      <w:proofErr w:type="spellStart"/>
      <w:r w:rsidRPr="001C50C8">
        <w:rPr>
          <w:rFonts w:ascii="Garamond" w:hAnsi="Garamond"/>
          <w:lang w:val="pt-PT"/>
        </w:rPr>
        <w:t>VBG</w:t>
      </w:r>
      <w:proofErr w:type="spellEnd"/>
      <w:r w:rsidRPr="001C50C8">
        <w:rPr>
          <w:rFonts w:ascii="Garamond" w:hAnsi="Garamond"/>
          <w:lang w:val="pt-PT"/>
        </w:rPr>
        <w:t xml:space="preserve"> e ao abuso sexual, entre outros.</w:t>
      </w:r>
    </w:p>
    <w:p w14:paraId="5B9A4B88" w14:textId="197B4B2C" w:rsidR="00541FA6" w:rsidRDefault="00541FA6" w:rsidP="00541FA6">
      <w:pPr>
        <w:pStyle w:val="PargrafodaLista"/>
        <w:spacing w:after="240"/>
        <w:jc w:val="both"/>
        <w:rPr>
          <w:rFonts w:ascii="Garamond" w:hAnsi="Garamond"/>
          <w:lang w:val="pt-PT"/>
        </w:rPr>
      </w:pPr>
    </w:p>
    <w:p w14:paraId="29FF9481" w14:textId="4CF0D135" w:rsidR="00676C64" w:rsidRDefault="00676C64" w:rsidP="00541FA6">
      <w:pPr>
        <w:pStyle w:val="PargrafodaLista"/>
        <w:spacing w:after="240"/>
        <w:jc w:val="both"/>
        <w:rPr>
          <w:rFonts w:ascii="Garamond" w:hAnsi="Garamond"/>
          <w:lang w:val="pt-PT"/>
        </w:rPr>
      </w:pPr>
    </w:p>
    <w:p w14:paraId="4D96CEDF" w14:textId="2D8B1B14" w:rsidR="00676C64" w:rsidRDefault="00676C64" w:rsidP="00541FA6">
      <w:pPr>
        <w:pStyle w:val="PargrafodaLista"/>
        <w:spacing w:after="240"/>
        <w:jc w:val="both"/>
        <w:rPr>
          <w:rFonts w:ascii="Garamond" w:hAnsi="Garamond"/>
          <w:lang w:val="pt-PT"/>
        </w:rPr>
      </w:pPr>
    </w:p>
    <w:p w14:paraId="4C9A8E7B" w14:textId="6058D1B5" w:rsidR="00676C64" w:rsidRDefault="00676C64" w:rsidP="00541FA6">
      <w:pPr>
        <w:pStyle w:val="PargrafodaLista"/>
        <w:spacing w:after="240"/>
        <w:jc w:val="both"/>
        <w:rPr>
          <w:rFonts w:ascii="Garamond" w:hAnsi="Garamond"/>
          <w:lang w:val="pt-PT"/>
        </w:rPr>
      </w:pPr>
    </w:p>
    <w:p w14:paraId="4A720277" w14:textId="77777777" w:rsidR="00676C64" w:rsidRDefault="00676C64" w:rsidP="00541FA6">
      <w:pPr>
        <w:pStyle w:val="PargrafodaLista"/>
        <w:spacing w:after="240"/>
        <w:jc w:val="both"/>
        <w:rPr>
          <w:rFonts w:ascii="Garamond" w:hAnsi="Garamond"/>
          <w:lang w:val="pt-PT"/>
        </w:rPr>
      </w:pPr>
    </w:p>
    <w:p w14:paraId="49507D18" w14:textId="77777777" w:rsidR="00541FA6" w:rsidRDefault="00541FA6" w:rsidP="002A62A2">
      <w:pPr>
        <w:pStyle w:val="PargrafodaLista"/>
        <w:numPr>
          <w:ilvl w:val="0"/>
          <w:numId w:val="68"/>
        </w:numPr>
        <w:spacing w:after="120"/>
        <w:ind w:left="454" w:hanging="454"/>
        <w:contextualSpacing w:val="0"/>
        <w:jc w:val="both"/>
        <w:rPr>
          <w:rFonts w:ascii="Garamond" w:hAnsi="Garamond"/>
          <w:b/>
          <w:bCs/>
          <w:lang w:val="pt-PT"/>
        </w:rPr>
      </w:pPr>
      <w:r w:rsidRPr="001C50C8">
        <w:rPr>
          <w:rFonts w:ascii="Garamond" w:hAnsi="Garamond"/>
          <w:b/>
          <w:bCs/>
          <w:lang w:val="pt-PT"/>
        </w:rPr>
        <w:t xml:space="preserve">Processos </w:t>
      </w:r>
      <w:proofErr w:type="spellStart"/>
      <w:r w:rsidRPr="001C50C8">
        <w:rPr>
          <w:rFonts w:ascii="Garamond" w:hAnsi="Garamond"/>
          <w:b/>
          <w:bCs/>
          <w:lang w:val="pt-PT"/>
        </w:rPr>
        <w:t>VBG</w:t>
      </w:r>
      <w:proofErr w:type="spellEnd"/>
      <w:r w:rsidRPr="001C50C8">
        <w:rPr>
          <w:rFonts w:ascii="Garamond" w:hAnsi="Garamond"/>
          <w:b/>
          <w:bCs/>
          <w:lang w:val="pt-PT"/>
        </w:rPr>
        <w:t>, crimes sexuais e seu andamento nas Procuradorias</w:t>
      </w:r>
    </w:p>
    <w:p w14:paraId="2FDBCFA5" w14:textId="451121C1" w:rsidR="00541FA6" w:rsidRPr="002E03D9" w:rsidRDefault="00541FA6" w:rsidP="00541FA6">
      <w:pPr>
        <w:pStyle w:val="Legenda"/>
        <w:spacing w:after="0"/>
        <w:rPr>
          <w:rFonts w:ascii="Garamond" w:hAnsi="Garamond"/>
          <w:b/>
          <w:i w:val="0"/>
          <w:iCs w:val="0"/>
          <w:color w:val="auto"/>
          <w:sz w:val="20"/>
          <w:szCs w:val="20"/>
          <w:lang w:val="pt-PT"/>
        </w:rPr>
      </w:pPr>
      <w:bookmarkStart w:id="63" w:name="_Toc32856925"/>
      <w:r w:rsidRPr="002E03D9">
        <w:rPr>
          <w:rFonts w:ascii="Garamond" w:hAnsi="Garamond"/>
          <w:b/>
          <w:i w:val="0"/>
          <w:iCs w:val="0"/>
          <w:color w:val="auto"/>
          <w:sz w:val="20"/>
          <w:szCs w:val="20"/>
          <w:lang w:val="pt-PT"/>
        </w:rPr>
        <w:t xml:space="preserve">Tabela </w:t>
      </w:r>
      <w:r w:rsidRPr="002E03D9">
        <w:rPr>
          <w:rFonts w:ascii="Garamond" w:hAnsi="Garamond"/>
          <w:b/>
          <w:i w:val="0"/>
          <w:iCs w:val="0"/>
          <w:color w:val="auto"/>
          <w:sz w:val="20"/>
          <w:szCs w:val="20"/>
          <w:lang w:val="pt-PT"/>
        </w:rPr>
        <w:fldChar w:fldCharType="begin"/>
      </w:r>
      <w:r w:rsidRPr="002E03D9">
        <w:rPr>
          <w:rFonts w:ascii="Garamond" w:hAnsi="Garamond"/>
          <w:b/>
          <w:i w:val="0"/>
          <w:iCs w:val="0"/>
          <w:color w:val="auto"/>
          <w:sz w:val="20"/>
          <w:szCs w:val="20"/>
          <w:lang w:val="pt-PT"/>
        </w:rPr>
        <w:instrText xml:space="preserve"> SEQ Tabela \* ARABIC </w:instrText>
      </w:r>
      <w:r w:rsidRPr="002E03D9">
        <w:rPr>
          <w:rFonts w:ascii="Garamond" w:hAnsi="Garamond"/>
          <w:b/>
          <w:i w:val="0"/>
          <w:iCs w:val="0"/>
          <w:color w:val="auto"/>
          <w:sz w:val="20"/>
          <w:szCs w:val="20"/>
          <w:lang w:val="pt-PT"/>
        </w:rPr>
        <w:fldChar w:fldCharType="separate"/>
      </w:r>
      <w:r w:rsidR="004723E2">
        <w:rPr>
          <w:rFonts w:ascii="Garamond" w:hAnsi="Garamond"/>
          <w:b/>
          <w:i w:val="0"/>
          <w:iCs w:val="0"/>
          <w:noProof/>
          <w:color w:val="auto"/>
          <w:sz w:val="20"/>
          <w:szCs w:val="20"/>
          <w:lang w:val="pt-PT"/>
        </w:rPr>
        <w:t>3</w:t>
      </w:r>
      <w:r w:rsidRPr="002E03D9">
        <w:rPr>
          <w:rFonts w:ascii="Garamond" w:hAnsi="Garamond"/>
          <w:b/>
          <w:i w:val="0"/>
          <w:iCs w:val="0"/>
          <w:color w:val="auto"/>
          <w:sz w:val="20"/>
          <w:szCs w:val="20"/>
          <w:lang w:val="pt-PT"/>
        </w:rPr>
        <w:fldChar w:fldCharType="end"/>
      </w:r>
      <w:r w:rsidRPr="002E03D9">
        <w:rPr>
          <w:rFonts w:ascii="Garamond" w:hAnsi="Garamond"/>
          <w:b/>
          <w:i w:val="0"/>
          <w:iCs w:val="0"/>
          <w:color w:val="auto"/>
          <w:sz w:val="20"/>
          <w:szCs w:val="20"/>
          <w:lang w:val="pt-PT"/>
        </w:rPr>
        <w:t xml:space="preserve"> – Tramitação dos processos por </w:t>
      </w:r>
      <w:proofErr w:type="spellStart"/>
      <w:r w:rsidRPr="002E03D9">
        <w:rPr>
          <w:rFonts w:ascii="Garamond" w:hAnsi="Garamond"/>
          <w:b/>
          <w:i w:val="0"/>
          <w:iCs w:val="0"/>
          <w:color w:val="auto"/>
          <w:sz w:val="20"/>
          <w:szCs w:val="20"/>
          <w:lang w:val="pt-PT"/>
        </w:rPr>
        <w:t>VBG</w:t>
      </w:r>
      <w:proofErr w:type="spellEnd"/>
      <w:r w:rsidRPr="002E03D9">
        <w:rPr>
          <w:rFonts w:ascii="Garamond" w:hAnsi="Garamond"/>
          <w:b/>
          <w:i w:val="0"/>
          <w:iCs w:val="0"/>
          <w:color w:val="auto"/>
          <w:sz w:val="20"/>
          <w:szCs w:val="20"/>
          <w:lang w:val="pt-PT"/>
        </w:rPr>
        <w:t xml:space="preserve"> no sistema judicial (anos judiciais 2011 a 2017/18)</w:t>
      </w:r>
      <w:r w:rsidRPr="002E03D9">
        <w:rPr>
          <w:rStyle w:val="Refdenotaderodap"/>
          <w:rFonts w:ascii="Garamond" w:hAnsi="Garamond"/>
          <w:b/>
          <w:i w:val="0"/>
          <w:iCs w:val="0"/>
          <w:color w:val="auto"/>
        </w:rPr>
        <w:footnoteReference w:id="63"/>
      </w:r>
      <w:bookmarkEnd w:id="63"/>
    </w:p>
    <w:tbl>
      <w:tblPr>
        <w:tblStyle w:val="TabelacomGrelha"/>
        <w:tblW w:w="9923" w:type="dxa"/>
        <w:jc w:val="center"/>
        <w:tblLayout w:type="fixed"/>
        <w:tblLook w:val="04A0" w:firstRow="1" w:lastRow="0" w:firstColumn="1" w:lastColumn="0" w:noHBand="0" w:noVBand="1"/>
      </w:tblPr>
      <w:tblGrid>
        <w:gridCol w:w="4252"/>
        <w:gridCol w:w="709"/>
        <w:gridCol w:w="709"/>
        <w:gridCol w:w="709"/>
        <w:gridCol w:w="709"/>
        <w:gridCol w:w="708"/>
        <w:gridCol w:w="709"/>
        <w:gridCol w:w="709"/>
        <w:gridCol w:w="709"/>
      </w:tblGrid>
      <w:tr w:rsidR="00541FA6" w:rsidRPr="001C50C8" w14:paraId="27776D28" w14:textId="77777777" w:rsidTr="00541FA6">
        <w:trPr>
          <w:jc w:val="center"/>
        </w:trPr>
        <w:tc>
          <w:tcPr>
            <w:tcW w:w="4252" w:type="dxa"/>
            <w:vMerge w:val="restart"/>
            <w:vAlign w:val="center"/>
          </w:tcPr>
          <w:p w14:paraId="1EB9C330" w14:textId="77777777" w:rsidR="00541FA6" w:rsidRPr="001C50C8" w:rsidRDefault="00541FA6" w:rsidP="00541FA6">
            <w:pPr>
              <w:pStyle w:val="PargrafodaLista"/>
              <w:ind w:left="0"/>
              <w:contextualSpacing w:val="0"/>
              <w:jc w:val="both"/>
              <w:rPr>
                <w:rFonts w:ascii="Garamond" w:hAnsi="Garamond"/>
                <w:sz w:val="20"/>
                <w:szCs w:val="20"/>
                <w:lang w:val="pt-PT"/>
              </w:rPr>
            </w:pPr>
          </w:p>
        </w:tc>
        <w:tc>
          <w:tcPr>
            <w:tcW w:w="5671" w:type="dxa"/>
            <w:gridSpan w:val="8"/>
            <w:shd w:val="clear" w:color="auto" w:fill="E7E6E6" w:themeFill="background2"/>
          </w:tcPr>
          <w:p w14:paraId="5781BE89" w14:textId="77777777" w:rsidR="00541FA6" w:rsidRPr="001C50C8" w:rsidRDefault="00541FA6" w:rsidP="00541FA6">
            <w:pPr>
              <w:pStyle w:val="PargrafodaLista"/>
              <w:ind w:left="0"/>
              <w:contextualSpacing w:val="0"/>
              <w:jc w:val="center"/>
              <w:rPr>
                <w:rFonts w:ascii="Garamond" w:hAnsi="Garamond"/>
                <w:b/>
                <w:sz w:val="20"/>
                <w:szCs w:val="20"/>
              </w:rPr>
            </w:pPr>
            <w:proofErr w:type="spellStart"/>
            <w:r w:rsidRPr="001C50C8">
              <w:rPr>
                <w:rFonts w:ascii="Garamond" w:hAnsi="Garamond"/>
                <w:b/>
                <w:sz w:val="20"/>
                <w:szCs w:val="20"/>
              </w:rPr>
              <w:t>Ano</w:t>
            </w:r>
            <w:proofErr w:type="spellEnd"/>
            <w:r w:rsidRPr="001C50C8">
              <w:rPr>
                <w:rFonts w:ascii="Garamond" w:hAnsi="Garamond"/>
                <w:b/>
                <w:sz w:val="20"/>
                <w:szCs w:val="20"/>
              </w:rPr>
              <w:t xml:space="preserve"> judicial</w:t>
            </w:r>
          </w:p>
        </w:tc>
      </w:tr>
      <w:tr w:rsidR="00541FA6" w:rsidRPr="001C50C8" w14:paraId="41707839" w14:textId="77777777" w:rsidTr="00541FA6">
        <w:trPr>
          <w:jc w:val="center"/>
        </w:trPr>
        <w:tc>
          <w:tcPr>
            <w:tcW w:w="4252" w:type="dxa"/>
            <w:vMerge/>
            <w:vAlign w:val="center"/>
          </w:tcPr>
          <w:p w14:paraId="2BA353C6" w14:textId="77777777" w:rsidR="00541FA6" w:rsidRPr="001C50C8" w:rsidRDefault="00541FA6" w:rsidP="00541FA6">
            <w:pPr>
              <w:pStyle w:val="PargrafodaLista"/>
              <w:ind w:left="0"/>
              <w:contextualSpacing w:val="0"/>
              <w:jc w:val="both"/>
              <w:rPr>
                <w:rFonts w:ascii="Garamond" w:hAnsi="Garamond"/>
                <w:sz w:val="20"/>
                <w:szCs w:val="20"/>
              </w:rPr>
            </w:pPr>
          </w:p>
        </w:tc>
        <w:tc>
          <w:tcPr>
            <w:tcW w:w="709" w:type="dxa"/>
            <w:shd w:val="clear" w:color="auto" w:fill="D9D9D9" w:themeFill="background1" w:themeFillShade="D9"/>
            <w:vAlign w:val="center"/>
          </w:tcPr>
          <w:p w14:paraId="33D1AE45"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2010/2011</w:t>
            </w:r>
          </w:p>
        </w:tc>
        <w:tc>
          <w:tcPr>
            <w:tcW w:w="709" w:type="dxa"/>
            <w:shd w:val="clear" w:color="auto" w:fill="D9D9D9" w:themeFill="background1" w:themeFillShade="D9"/>
            <w:vAlign w:val="center"/>
          </w:tcPr>
          <w:p w14:paraId="0E1750A8"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2011/2012</w:t>
            </w:r>
          </w:p>
        </w:tc>
        <w:tc>
          <w:tcPr>
            <w:tcW w:w="709" w:type="dxa"/>
            <w:shd w:val="clear" w:color="auto" w:fill="D9D9D9" w:themeFill="background1" w:themeFillShade="D9"/>
            <w:vAlign w:val="center"/>
          </w:tcPr>
          <w:p w14:paraId="2F7DEA5D"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2012/2013</w:t>
            </w:r>
          </w:p>
        </w:tc>
        <w:tc>
          <w:tcPr>
            <w:tcW w:w="709" w:type="dxa"/>
            <w:shd w:val="clear" w:color="auto" w:fill="D9D9D9" w:themeFill="background1" w:themeFillShade="D9"/>
            <w:vAlign w:val="center"/>
          </w:tcPr>
          <w:p w14:paraId="0C94C782"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2013/2014</w:t>
            </w:r>
          </w:p>
        </w:tc>
        <w:tc>
          <w:tcPr>
            <w:tcW w:w="708" w:type="dxa"/>
            <w:shd w:val="clear" w:color="auto" w:fill="D9D9D9" w:themeFill="background1" w:themeFillShade="D9"/>
            <w:vAlign w:val="center"/>
          </w:tcPr>
          <w:p w14:paraId="42B671E9"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2014/2015</w:t>
            </w:r>
          </w:p>
        </w:tc>
        <w:tc>
          <w:tcPr>
            <w:tcW w:w="709" w:type="dxa"/>
            <w:shd w:val="clear" w:color="auto" w:fill="D9D9D9" w:themeFill="background1" w:themeFillShade="D9"/>
            <w:vAlign w:val="center"/>
          </w:tcPr>
          <w:p w14:paraId="6C3CCD83"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2015/2016</w:t>
            </w:r>
          </w:p>
        </w:tc>
        <w:tc>
          <w:tcPr>
            <w:tcW w:w="709" w:type="dxa"/>
            <w:shd w:val="clear" w:color="auto" w:fill="D9D9D9" w:themeFill="background1" w:themeFillShade="D9"/>
            <w:vAlign w:val="center"/>
          </w:tcPr>
          <w:p w14:paraId="73A4FA92"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2016/2017</w:t>
            </w:r>
          </w:p>
        </w:tc>
        <w:tc>
          <w:tcPr>
            <w:tcW w:w="709" w:type="dxa"/>
            <w:shd w:val="clear" w:color="auto" w:fill="D9D9D9" w:themeFill="background1" w:themeFillShade="D9"/>
            <w:vAlign w:val="center"/>
          </w:tcPr>
          <w:p w14:paraId="1B2DA71B" w14:textId="77777777" w:rsidR="00541FA6" w:rsidRPr="001C50C8" w:rsidRDefault="00541FA6" w:rsidP="00541FA6">
            <w:pPr>
              <w:pStyle w:val="PargrafodaLista"/>
              <w:ind w:left="0"/>
              <w:contextualSpacing w:val="0"/>
              <w:jc w:val="center"/>
              <w:rPr>
                <w:rFonts w:ascii="Garamond" w:hAnsi="Garamond"/>
                <w:b/>
                <w:sz w:val="20"/>
                <w:szCs w:val="20"/>
              </w:rPr>
            </w:pPr>
            <w:r w:rsidRPr="001C50C8">
              <w:rPr>
                <w:rFonts w:ascii="Garamond" w:hAnsi="Garamond"/>
                <w:b/>
                <w:sz w:val="20"/>
                <w:szCs w:val="20"/>
              </w:rPr>
              <w:t>2017/2018</w:t>
            </w:r>
          </w:p>
        </w:tc>
      </w:tr>
      <w:tr w:rsidR="00541FA6" w:rsidRPr="001C50C8" w14:paraId="2E48D8EC" w14:textId="77777777" w:rsidTr="00541FA6">
        <w:trPr>
          <w:jc w:val="center"/>
        </w:trPr>
        <w:tc>
          <w:tcPr>
            <w:tcW w:w="4252" w:type="dxa"/>
            <w:vAlign w:val="center"/>
          </w:tcPr>
          <w:p w14:paraId="12C0EC24" w14:textId="77777777" w:rsidR="00541FA6" w:rsidRPr="001C50C8" w:rsidRDefault="00541FA6" w:rsidP="00541FA6">
            <w:pPr>
              <w:pStyle w:val="PargrafodaLista"/>
              <w:spacing w:before="60" w:after="60"/>
              <w:ind w:left="0"/>
              <w:contextualSpacing w:val="0"/>
              <w:rPr>
                <w:rFonts w:ascii="Garamond" w:hAnsi="Garamond"/>
                <w:sz w:val="20"/>
                <w:szCs w:val="20"/>
                <w:lang w:val="pt-PT"/>
              </w:rPr>
            </w:pPr>
            <w:r w:rsidRPr="001C50C8">
              <w:rPr>
                <w:rFonts w:ascii="Garamond" w:hAnsi="Garamond"/>
                <w:sz w:val="20"/>
                <w:szCs w:val="20"/>
                <w:lang w:val="pt-PT"/>
              </w:rPr>
              <w:t xml:space="preserve">Nº de processos </w:t>
            </w:r>
            <w:proofErr w:type="spellStart"/>
            <w:r w:rsidRPr="001C50C8">
              <w:rPr>
                <w:rFonts w:ascii="Garamond" w:hAnsi="Garamond"/>
                <w:sz w:val="20"/>
                <w:szCs w:val="20"/>
                <w:lang w:val="pt-PT"/>
              </w:rPr>
              <w:t>VBG</w:t>
            </w:r>
            <w:proofErr w:type="spellEnd"/>
            <w:r w:rsidRPr="001C50C8">
              <w:rPr>
                <w:rFonts w:ascii="Garamond" w:hAnsi="Garamond"/>
                <w:sz w:val="20"/>
                <w:szCs w:val="20"/>
                <w:lang w:val="pt-PT"/>
              </w:rPr>
              <w:t xml:space="preserve"> entrados nas Procuradorias</w:t>
            </w:r>
          </w:p>
        </w:tc>
        <w:tc>
          <w:tcPr>
            <w:tcW w:w="709" w:type="dxa"/>
          </w:tcPr>
          <w:p w14:paraId="0E2FD4DB"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2.607</w:t>
            </w:r>
          </w:p>
        </w:tc>
        <w:tc>
          <w:tcPr>
            <w:tcW w:w="709" w:type="dxa"/>
            <w:vAlign w:val="center"/>
          </w:tcPr>
          <w:p w14:paraId="5C059CBD"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3.237</w:t>
            </w:r>
          </w:p>
        </w:tc>
        <w:tc>
          <w:tcPr>
            <w:tcW w:w="709" w:type="dxa"/>
            <w:vAlign w:val="center"/>
          </w:tcPr>
          <w:p w14:paraId="5E5AEDED"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3.491</w:t>
            </w:r>
          </w:p>
        </w:tc>
        <w:tc>
          <w:tcPr>
            <w:tcW w:w="709" w:type="dxa"/>
            <w:vAlign w:val="center"/>
          </w:tcPr>
          <w:p w14:paraId="6166932F"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3.499</w:t>
            </w:r>
          </w:p>
        </w:tc>
        <w:tc>
          <w:tcPr>
            <w:tcW w:w="708" w:type="dxa"/>
            <w:vAlign w:val="center"/>
          </w:tcPr>
          <w:p w14:paraId="3729561B"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3.187</w:t>
            </w:r>
          </w:p>
        </w:tc>
        <w:tc>
          <w:tcPr>
            <w:tcW w:w="709" w:type="dxa"/>
            <w:vAlign w:val="center"/>
          </w:tcPr>
          <w:p w14:paraId="47D91017"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sz w:val="20"/>
                <w:szCs w:val="20"/>
              </w:rPr>
              <w:t>2.901</w:t>
            </w:r>
          </w:p>
        </w:tc>
        <w:tc>
          <w:tcPr>
            <w:tcW w:w="709" w:type="dxa"/>
            <w:vAlign w:val="center"/>
          </w:tcPr>
          <w:p w14:paraId="6D4B2ABA"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2.592</w:t>
            </w:r>
          </w:p>
        </w:tc>
        <w:tc>
          <w:tcPr>
            <w:tcW w:w="709" w:type="dxa"/>
            <w:vAlign w:val="center"/>
          </w:tcPr>
          <w:p w14:paraId="77B322BE"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2.080</w:t>
            </w:r>
          </w:p>
        </w:tc>
      </w:tr>
      <w:tr w:rsidR="00541FA6" w:rsidRPr="001C50C8" w14:paraId="5EFD3126" w14:textId="77777777" w:rsidTr="00541FA6">
        <w:trPr>
          <w:jc w:val="center"/>
        </w:trPr>
        <w:tc>
          <w:tcPr>
            <w:tcW w:w="4252" w:type="dxa"/>
            <w:vAlign w:val="center"/>
          </w:tcPr>
          <w:p w14:paraId="3BB69FFD" w14:textId="77777777" w:rsidR="00541FA6" w:rsidRPr="001C50C8" w:rsidRDefault="00541FA6" w:rsidP="00541FA6">
            <w:pPr>
              <w:spacing w:before="60" w:after="60"/>
              <w:rPr>
                <w:rFonts w:ascii="Garamond" w:hAnsi="Garamond"/>
                <w:sz w:val="20"/>
                <w:szCs w:val="20"/>
                <w:lang w:val="pt-PT"/>
              </w:rPr>
            </w:pPr>
            <w:r w:rsidRPr="001C50C8">
              <w:rPr>
                <w:rFonts w:ascii="Garamond" w:hAnsi="Garamond"/>
                <w:sz w:val="20"/>
                <w:szCs w:val="20"/>
                <w:lang w:val="pt-PT"/>
              </w:rPr>
              <w:t>Nº de casos transitados do ano judicial anterior</w:t>
            </w:r>
          </w:p>
        </w:tc>
        <w:tc>
          <w:tcPr>
            <w:tcW w:w="709" w:type="dxa"/>
          </w:tcPr>
          <w:p w14:paraId="682486F9"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w:t>
            </w:r>
          </w:p>
        </w:tc>
        <w:tc>
          <w:tcPr>
            <w:tcW w:w="709" w:type="dxa"/>
            <w:vAlign w:val="center"/>
          </w:tcPr>
          <w:p w14:paraId="5C5AE508"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1.671</w:t>
            </w:r>
          </w:p>
        </w:tc>
        <w:tc>
          <w:tcPr>
            <w:tcW w:w="709" w:type="dxa"/>
            <w:vAlign w:val="center"/>
          </w:tcPr>
          <w:p w14:paraId="2611574C"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3.064</w:t>
            </w:r>
          </w:p>
        </w:tc>
        <w:tc>
          <w:tcPr>
            <w:tcW w:w="709" w:type="dxa"/>
            <w:vAlign w:val="center"/>
          </w:tcPr>
          <w:p w14:paraId="024ECDF6"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5.322</w:t>
            </w:r>
          </w:p>
        </w:tc>
        <w:tc>
          <w:tcPr>
            <w:tcW w:w="708" w:type="dxa"/>
            <w:vAlign w:val="center"/>
          </w:tcPr>
          <w:p w14:paraId="2440178F"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6.761</w:t>
            </w:r>
          </w:p>
        </w:tc>
        <w:tc>
          <w:tcPr>
            <w:tcW w:w="709" w:type="dxa"/>
            <w:vAlign w:val="center"/>
          </w:tcPr>
          <w:p w14:paraId="49D47D7A"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7.615</w:t>
            </w:r>
          </w:p>
        </w:tc>
        <w:tc>
          <w:tcPr>
            <w:tcW w:w="709" w:type="dxa"/>
            <w:vAlign w:val="center"/>
          </w:tcPr>
          <w:p w14:paraId="77DE8875"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sz w:val="20"/>
                <w:szCs w:val="20"/>
              </w:rPr>
              <w:t>8.409</w:t>
            </w:r>
          </w:p>
        </w:tc>
        <w:tc>
          <w:tcPr>
            <w:tcW w:w="709" w:type="dxa"/>
            <w:vAlign w:val="center"/>
          </w:tcPr>
          <w:p w14:paraId="2F25FA39"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sz w:val="20"/>
                <w:szCs w:val="20"/>
              </w:rPr>
              <w:t>7.121</w:t>
            </w:r>
          </w:p>
        </w:tc>
      </w:tr>
      <w:tr w:rsidR="00541FA6" w:rsidRPr="001C50C8" w14:paraId="1DF485D2" w14:textId="77777777" w:rsidTr="00541FA6">
        <w:trPr>
          <w:jc w:val="center"/>
        </w:trPr>
        <w:tc>
          <w:tcPr>
            <w:tcW w:w="4252" w:type="dxa"/>
            <w:shd w:val="clear" w:color="auto" w:fill="D9D9D9" w:themeFill="background1" w:themeFillShade="D9"/>
            <w:vAlign w:val="center"/>
          </w:tcPr>
          <w:p w14:paraId="325373D8" w14:textId="77777777" w:rsidR="00541FA6" w:rsidRPr="001C50C8" w:rsidRDefault="00541FA6" w:rsidP="00541FA6">
            <w:pPr>
              <w:pStyle w:val="PargrafodaLista"/>
              <w:spacing w:before="60" w:after="60"/>
              <w:ind w:left="0"/>
              <w:contextualSpacing w:val="0"/>
              <w:jc w:val="right"/>
              <w:rPr>
                <w:rFonts w:ascii="Garamond" w:hAnsi="Garamond"/>
                <w:b/>
                <w:sz w:val="20"/>
                <w:szCs w:val="20"/>
                <w:lang w:val="pt-PT"/>
              </w:rPr>
            </w:pPr>
            <w:r w:rsidRPr="001C50C8">
              <w:rPr>
                <w:rFonts w:ascii="Garamond" w:hAnsi="Garamond"/>
                <w:b/>
                <w:sz w:val="20"/>
                <w:szCs w:val="20"/>
                <w:lang w:val="pt-PT"/>
              </w:rPr>
              <w:t>Nº total de casos resolvidos</w:t>
            </w:r>
          </w:p>
        </w:tc>
        <w:tc>
          <w:tcPr>
            <w:tcW w:w="709" w:type="dxa"/>
            <w:shd w:val="clear" w:color="auto" w:fill="D9D9D9" w:themeFill="background1" w:themeFillShade="D9"/>
          </w:tcPr>
          <w:p w14:paraId="468FF4AB"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936</w:t>
            </w:r>
          </w:p>
        </w:tc>
        <w:tc>
          <w:tcPr>
            <w:tcW w:w="709" w:type="dxa"/>
            <w:shd w:val="clear" w:color="auto" w:fill="D9D9D9" w:themeFill="background1" w:themeFillShade="D9"/>
            <w:vAlign w:val="center"/>
          </w:tcPr>
          <w:p w14:paraId="1BAA1DBD"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1.138</w:t>
            </w:r>
          </w:p>
        </w:tc>
        <w:tc>
          <w:tcPr>
            <w:tcW w:w="709" w:type="dxa"/>
            <w:shd w:val="clear" w:color="auto" w:fill="D9D9D9" w:themeFill="background1" w:themeFillShade="D9"/>
            <w:vAlign w:val="center"/>
          </w:tcPr>
          <w:p w14:paraId="6843986D"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1.404</w:t>
            </w:r>
          </w:p>
        </w:tc>
        <w:tc>
          <w:tcPr>
            <w:tcW w:w="709" w:type="dxa"/>
            <w:shd w:val="clear" w:color="auto" w:fill="D9D9D9" w:themeFill="background1" w:themeFillShade="D9"/>
            <w:vAlign w:val="center"/>
          </w:tcPr>
          <w:p w14:paraId="043B735B"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1.631</w:t>
            </w:r>
          </w:p>
        </w:tc>
        <w:tc>
          <w:tcPr>
            <w:tcW w:w="708" w:type="dxa"/>
            <w:shd w:val="clear" w:color="auto" w:fill="D9D9D9" w:themeFill="background1" w:themeFillShade="D9"/>
            <w:vAlign w:val="center"/>
          </w:tcPr>
          <w:p w14:paraId="77C510CB"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2.567</w:t>
            </w:r>
          </w:p>
        </w:tc>
        <w:tc>
          <w:tcPr>
            <w:tcW w:w="709" w:type="dxa"/>
            <w:shd w:val="clear" w:color="auto" w:fill="D9D9D9" w:themeFill="background1" w:themeFillShade="D9"/>
            <w:vAlign w:val="center"/>
          </w:tcPr>
          <w:p w14:paraId="5E22386D"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2.122</w:t>
            </w:r>
          </w:p>
        </w:tc>
        <w:tc>
          <w:tcPr>
            <w:tcW w:w="709" w:type="dxa"/>
            <w:shd w:val="clear" w:color="auto" w:fill="D9D9D9" w:themeFill="background1" w:themeFillShade="D9"/>
            <w:vAlign w:val="center"/>
          </w:tcPr>
          <w:p w14:paraId="61DB9107"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3.880</w:t>
            </w:r>
          </w:p>
        </w:tc>
        <w:tc>
          <w:tcPr>
            <w:tcW w:w="709" w:type="dxa"/>
            <w:shd w:val="clear" w:color="auto" w:fill="D9D9D9" w:themeFill="background1" w:themeFillShade="D9"/>
            <w:vAlign w:val="center"/>
          </w:tcPr>
          <w:p w14:paraId="3F5794CE" w14:textId="77777777" w:rsidR="00541FA6" w:rsidRPr="001C50C8" w:rsidRDefault="00541FA6" w:rsidP="00541FA6">
            <w:pPr>
              <w:pStyle w:val="PargrafodaLista"/>
              <w:spacing w:before="60" w:after="60"/>
              <w:ind w:left="0"/>
              <w:contextualSpacing w:val="0"/>
              <w:jc w:val="center"/>
              <w:rPr>
                <w:rFonts w:ascii="Garamond" w:hAnsi="Garamond"/>
                <w:b/>
                <w:sz w:val="20"/>
                <w:szCs w:val="20"/>
              </w:rPr>
            </w:pPr>
            <w:r w:rsidRPr="001C50C8">
              <w:rPr>
                <w:rFonts w:ascii="Garamond" w:hAnsi="Garamond"/>
                <w:b/>
                <w:sz w:val="20"/>
                <w:szCs w:val="20"/>
              </w:rPr>
              <w:t>3.971</w:t>
            </w:r>
          </w:p>
        </w:tc>
      </w:tr>
      <w:tr w:rsidR="00541FA6" w:rsidRPr="001C50C8" w14:paraId="18730F8C" w14:textId="77777777" w:rsidTr="00541FA6">
        <w:trPr>
          <w:jc w:val="center"/>
        </w:trPr>
        <w:tc>
          <w:tcPr>
            <w:tcW w:w="4252" w:type="dxa"/>
            <w:shd w:val="clear" w:color="auto" w:fill="F2F2F2" w:themeFill="background1" w:themeFillShade="F2"/>
            <w:vAlign w:val="center"/>
          </w:tcPr>
          <w:p w14:paraId="48BE7ABE" w14:textId="77777777" w:rsidR="00541FA6" w:rsidRPr="001C50C8" w:rsidRDefault="00541FA6" w:rsidP="00541FA6">
            <w:pPr>
              <w:spacing w:before="60" w:after="60"/>
              <w:jc w:val="right"/>
              <w:rPr>
                <w:rFonts w:ascii="Garamond" w:hAnsi="Garamond"/>
                <w:sz w:val="20"/>
                <w:szCs w:val="20"/>
              </w:rPr>
            </w:pPr>
            <w:r w:rsidRPr="001C50C8">
              <w:rPr>
                <w:rFonts w:ascii="Garamond" w:hAnsi="Garamond"/>
                <w:sz w:val="20"/>
                <w:szCs w:val="20"/>
              </w:rPr>
              <w:t xml:space="preserve">Nº de </w:t>
            </w:r>
            <w:proofErr w:type="spellStart"/>
            <w:r w:rsidRPr="001C50C8">
              <w:rPr>
                <w:rFonts w:ascii="Garamond" w:hAnsi="Garamond"/>
                <w:sz w:val="20"/>
                <w:szCs w:val="20"/>
              </w:rPr>
              <w:t>casos</w:t>
            </w:r>
            <w:proofErr w:type="spellEnd"/>
            <w:r w:rsidRPr="001C50C8">
              <w:rPr>
                <w:rFonts w:ascii="Garamond" w:hAnsi="Garamond"/>
                <w:sz w:val="20"/>
                <w:szCs w:val="20"/>
              </w:rPr>
              <w:t xml:space="preserve"> </w:t>
            </w:r>
            <w:proofErr w:type="spellStart"/>
            <w:r w:rsidRPr="001C50C8">
              <w:rPr>
                <w:rFonts w:ascii="Garamond" w:hAnsi="Garamond"/>
                <w:sz w:val="20"/>
                <w:szCs w:val="20"/>
              </w:rPr>
              <w:t>acusados</w:t>
            </w:r>
            <w:proofErr w:type="spellEnd"/>
          </w:p>
        </w:tc>
        <w:tc>
          <w:tcPr>
            <w:tcW w:w="709" w:type="dxa"/>
            <w:shd w:val="clear" w:color="auto" w:fill="F2F2F2" w:themeFill="background1" w:themeFillShade="F2"/>
          </w:tcPr>
          <w:p w14:paraId="4E77A05E" w14:textId="77777777" w:rsidR="00541FA6" w:rsidRPr="001C50C8" w:rsidRDefault="00541FA6" w:rsidP="00541FA6">
            <w:pPr>
              <w:pStyle w:val="PargrafodaLista"/>
              <w:spacing w:before="60" w:after="60"/>
              <w:ind w:left="0"/>
              <w:contextualSpacing w:val="0"/>
              <w:jc w:val="both"/>
              <w:rPr>
                <w:rFonts w:ascii="Garamond" w:hAnsi="Garamond"/>
                <w:sz w:val="20"/>
                <w:szCs w:val="20"/>
              </w:rPr>
            </w:pPr>
          </w:p>
        </w:tc>
        <w:tc>
          <w:tcPr>
            <w:tcW w:w="709" w:type="dxa"/>
            <w:shd w:val="clear" w:color="auto" w:fill="F2F2F2" w:themeFill="background1" w:themeFillShade="F2"/>
            <w:vAlign w:val="center"/>
          </w:tcPr>
          <w:p w14:paraId="5E500BB7" w14:textId="77777777" w:rsidR="00541FA6" w:rsidRPr="001C50C8" w:rsidRDefault="00541FA6" w:rsidP="00541FA6">
            <w:pPr>
              <w:pStyle w:val="PargrafodaLista"/>
              <w:spacing w:before="60" w:after="60"/>
              <w:ind w:left="0"/>
              <w:contextualSpacing w:val="0"/>
              <w:jc w:val="both"/>
              <w:rPr>
                <w:rFonts w:ascii="Garamond" w:hAnsi="Garamond"/>
                <w:sz w:val="20"/>
                <w:szCs w:val="20"/>
              </w:rPr>
            </w:pPr>
          </w:p>
        </w:tc>
        <w:tc>
          <w:tcPr>
            <w:tcW w:w="709" w:type="dxa"/>
            <w:shd w:val="clear" w:color="auto" w:fill="F2F2F2" w:themeFill="background1" w:themeFillShade="F2"/>
            <w:vAlign w:val="center"/>
          </w:tcPr>
          <w:p w14:paraId="3FDE55F4" w14:textId="77777777" w:rsidR="00541FA6" w:rsidRPr="001C50C8" w:rsidRDefault="00541FA6" w:rsidP="00541FA6">
            <w:pPr>
              <w:pStyle w:val="PargrafodaLista"/>
              <w:spacing w:before="60" w:after="60"/>
              <w:ind w:left="0"/>
              <w:contextualSpacing w:val="0"/>
              <w:jc w:val="center"/>
              <w:rPr>
                <w:rFonts w:ascii="Garamond" w:hAnsi="Garamond"/>
                <w:sz w:val="20"/>
                <w:szCs w:val="20"/>
              </w:rPr>
            </w:pPr>
          </w:p>
        </w:tc>
        <w:tc>
          <w:tcPr>
            <w:tcW w:w="709" w:type="dxa"/>
            <w:shd w:val="clear" w:color="auto" w:fill="F2F2F2" w:themeFill="background1" w:themeFillShade="F2"/>
            <w:vAlign w:val="center"/>
          </w:tcPr>
          <w:p w14:paraId="4F944FC0"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1.047</w:t>
            </w:r>
          </w:p>
        </w:tc>
        <w:tc>
          <w:tcPr>
            <w:tcW w:w="708" w:type="dxa"/>
            <w:shd w:val="clear" w:color="auto" w:fill="F2F2F2" w:themeFill="background1" w:themeFillShade="F2"/>
            <w:vAlign w:val="center"/>
          </w:tcPr>
          <w:p w14:paraId="07C457FD"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1.304</w:t>
            </w:r>
          </w:p>
        </w:tc>
        <w:tc>
          <w:tcPr>
            <w:tcW w:w="709" w:type="dxa"/>
            <w:shd w:val="clear" w:color="auto" w:fill="F2F2F2" w:themeFill="background1" w:themeFillShade="F2"/>
            <w:vAlign w:val="center"/>
          </w:tcPr>
          <w:p w14:paraId="12703338"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939</w:t>
            </w:r>
          </w:p>
        </w:tc>
        <w:tc>
          <w:tcPr>
            <w:tcW w:w="709" w:type="dxa"/>
            <w:shd w:val="clear" w:color="auto" w:fill="F2F2F2" w:themeFill="background1" w:themeFillShade="F2"/>
            <w:vAlign w:val="center"/>
          </w:tcPr>
          <w:p w14:paraId="7569A88F"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862</w:t>
            </w:r>
          </w:p>
        </w:tc>
        <w:tc>
          <w:tcPr>
            <w:tcW w:w="709" w:type="dxa"/>
            <w:shd w:val="clear" w:color="auto" w:fill="F2F2F2" w:themeFill="background1" w:themeFillShade="F2"/>
            <w:vAlign w:val="center"/>
          </w:tcPr>
          <w:p w14:paraId="71745F25"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584</w:t>
            </w:r>
          </w:p>
        </w:tc>
      </w:tr>
      <w:tr w:rsidR="00541FA6" w:rsidRPr="001C50C8" w14:paraId="39F6E410" w14:textId="77777777" w:rsidTr="00541FA6">
        <w:trPr>
          <w:jc w:val="center"/>
        </w:trPr>
        <w:tc>
          <w:tcPr>
            <w:tcW w:w="4252" w:type="dxa"/>
            <w:shd w:val="clear" w:color="auto" w:fill="F2F2F2" w:themeFill="background1" w:themeFillShade="F2"/>
            <w:vAlign w:val="center"/>
          </w:tcPr>
          <w:p w14:paraId="11282024" w14:textId="77777777" w:rsidR="00541FA6" w:rsidRPr="001C50C8" w:rsidRDefault="00541FA6" w:rsidP="00541FA6">
            <w:pPr>
              <w:spacing w:before="60" w:after="60"/>
              <w:jc w:val="right"/>
              <w:rPr>
                <w:rFonts w:ascii="Garamond" w:hAnsi="Garamond"/>
                <w:sz w:val="20"/>
                <w:szCs w:val="20"/>
              </w:rPr>
            </w:pPr>
            <w:r w:rsidRPr="001C50C8">
              <w:rPr>
                <w:rFonts w:ascii="Garamond" w:hAnsi="Garamond"/>
                <w:sz w:val="20"/>
                <w:szCs w:val="20"/>
              </w:rPr>
              <w:t xml:space="preserve">Nº de </w:t>
            </w:r>
            <w:proofErr w:type="spellStart"/>
            <w:r w:rsidRPr="001C50C8">
              <w:rPr>
                <w:rFonts w:ascii="Garamond" w:hAnsi="Garamond"/>
                <w:sz w:val="20"/>
                <w:szCs w:val="20"/>
              </w:rPr>
              <w:t>casos</w:t>
            </w:r>
            <w:proofErr w:type="spellEnd"/>
            <w:r w:rsidRPr="001C50C8">
              <w:rPr>
                <w:rFonts w:ascii="Garamond" w:hAnsi="Garamond"/>
                <w:sz w:val="20"/>
                <w:szCs w:val="20"/>
              </w:rPr>
              <w:t xml:space="preserve"> </w:t>
            </w:r>
            <w:proofErr w:type="spellStart"/>
            <w:r w:rsidRPr="001C50C8">
              <w:rPr>
                <w:rFonts w:ascii="Garamond" w:hAnsi="Garamond"/>
                <w:sz w:val="20"/>
                <w:szCs w:val="20"/>
              </w:rPr>
              <w:t>arquivados</w:t>
            </w:r>
            <w:proofErr w:type="spellEnd"/>
          </w:p>
        </w:tc>
        <w:tc>
          <w:tcPr>
            <w:tcW w:w="709" w:type="dxa"/>
            <w:shd w:val="clear" w:color="auto" w:fill="F2F2F2" w:themeFill="background1" w:themeFillShade="F2"/>
          </w:tcPr>
          <w:p w14:paraId="4B65B3FC" w14:textId="77777777" w:rsidR="00541FA6" w:rsidRPr="001C50C8" w:rsidRDefault="00541FA6" w:rsidP="00541FA6">
            <w:pPr>
              <w:pStyle w:val="PargrafodaLista"/>
              <w:spacing w:before="60" w:after="60"/>
              <w:ind w:left="0"/>
              <w:contextualSpacing w:val="0"/>
              <w:jc w:val="both"/>
              <w:rPr>
                <w:rFonts w:ascii="Garamond" w:hAnsi="Garamond"/>
                <w:sz w:val="20"/>
                <w:szCs w:val="20"/>
              </w:rPr>
            </w:pPr>
          </w:p>
        </w:tc>
        <w:tc>
          <w:tcPr>
            <w:tcW w:w="709" w:type="dxa"/>
            <w:shd w:val="clear" w:color="auto" w:fill="F2F2F2" w:themeFill="background1" w:themeFillShade="F2"/>
            <w:vAlign w:val="center"/>
          </w:tcPr>
          <w:p w14:paraId="17B69926" w14:textId="77777777" w:rsidR="00541FA6" w:rsidRPr="001C50C8" w:rsidRDefault="00541FA6" w:rsidP="00541FA6">
            <w:pPr>
              <w:pStyle w:val="PargrafodaLista"/>
              <w:spacing w:before="60" w:after="60"/>
              <w:ind w:left="0"/>
              <w:contextualSpacing w:val="0"/>
              <w:jc w:val="both"/>
              <w:rPr>
                <w:rFonts w:ascii="Garamond" w:hAnsi="Garamond"/>
                <w:sz w:val="20"/>
                <w:szCs w:val="20"/>
              </w:rPr>
            </w:pPr>
          </w:p>
        </w:tc>
        <w:tc>
          <w:tcPr>
            <w:tcW w:w="709" w:type="dxa"/>
            <w:shd w:val="clear" w:color="auto" w:fill="F2F2F2" w:themeFill="background1" w:themeFillShade="F2"/>
            <w:vAlign w:val="center"/>
          </w:tcPr>
          <w:p w14:paraId="531E0F09" w14:textId="77777777" w:rsidR="00541FA6" w:rsidRPr="001C50C8" w:rsidRDefault="00541FA6" w:rsidP="00541FA6">
            <w:pPr>
              <w:pStyle w:val="PargrafodaLista"/>
              <w:spacing w:before="60" w:after="60"/>
              <w:ind w:left="0"/>
              <w:contextualSpacing w:val="0"/>
              <w:jc w:val="center"/>
              <w:rPr>
                <w:rFonts w:ascii="Garamond" w:hAnsi="Garamond"/>
                <w:sz w:val="20"/>
                <w:szCs w:val="20"/>
              </w:rPr>
            </w:pPr>
          </w:p>
        </w:tc>
        <w:tc>
          <w:tcPr>
            <w:tcW w:w="709" w:type="dxa"/>
            <w:shd w:val="clear" w:color="auto" w:fill="F2F2F2" w:themeFill="background1" w:themeFillShade="F2"/>
            <w:vAlign w:val="center"/>
          </w:tcPr>
          <w:p w14:paraId="4333AA01"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565</w:t>
            </w:r>
          </w:p>
        </w:tc>
        <w:tc>
          <w:tcPr>
            <w:tcW w:w="708" w:type="dxa"/>
            <w:shd w:val="clear" w:color="auto" w:fill="F2F2F2" w:themeFill="background1" w:themeFillShade="F2"/>
            <w:vAlign w:val="center"/>
          </w:tcPr>
          <w:p w14:paraId="300DCB1F"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1.255</w:t>
            </w:r>
          </w:p>
        </w:tc>
        <w:tc>
          <w:tcPr>
            <w:tcW w:w="709" w:type="dxa"/>
            <w:shd w:val="clear" w:color="auto" w:fill="F2F2F2" w:themeFill="background1" w:themeFillShade="F2"/>
            <w:vAlign w:val="center"/>
          </w:tcPr>
          <w:p w14:paraId="1C36272D"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1.181</w:t>
            </w:r>
          </w:p>
        </w:tc>
        <w:tc>
          <w:tcPr>
            <w:tcW w:w="709" w:type="dxa"/>
            <w:shd w:val="clear" w:color="auto" w:fill="F2F2F2" w:themeFill="background1" w:themeFillShade="F2"/>
            <w:vAlign w:val="center"/>
          </w:tcPr>
          <w:p w14:paraId="6489A4B0"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3.014</w:t>
            </w:r>
          </w:p>
        </w:tc>
        <w:tc>
          <w:tcPr>
            <w:tcW w:w="709" w:type="dxa"/>
            <w:shd w:val="clear" w:color="auto" w:fill="F2F2F2" w:themeFill="background1" w:themeFillShade="F2"/>
            <w:vAlign w:val="center"/>
          </w:tcPr>
          <w:p w14:paraId="0F7FEEC0"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3.383</w:t>
            </w:r>
          </w:p>
        </w:tc>
      </w:tr>
      <w:tr w:rsidR="00541FA6" w:rsidRPr="001C50C8" w14:paraId="378CA9B6" w14:textId="77777777" w:rsidTr="00541FA6">
        <w:trPr>
          <w:jc w:val="center"/>
        </w:trPr>
        <w:tc>
          <w:tcPr>
            <w:tcW w:w="4252" w:type="dxa"/>
            <w:shd w:val="clear" w:color="auto" w:fill="F2F2F2" w:themeFill="background1" w:themeFillShade="F2"/>
            <w:vAlign w:val="center"/>
          </w:tcPr>
          <w:p w14:paraId="4F980903" w14:textId="77777777" w:rsidR="00541FA6" w:rsidRPr="001C50C8" w:rsidRDefault="00541FA6" w:rsidP="00541FA6">
            <w:pPr>
              <w:spacing w:before="60" w:after="60"/>
              <w:jc w:val="right"/>
              <w:rPr>
                <w:rFonts w:ascii="Garamond" w:hAnsi="Garamond"/>
                <w:sz w:val="20"/>
                <w:szCs w:val="20"/>
                <w:lang w:val="pt-PT"/>
              </w:rPr>
            </w:pPr>
            <w:r w:rsidRPr="001C50C8">
              <w:rPr>
                <w:rFonts w:ascii="Garamond" w:hAnsi="Garamond"/>
                <w:sz w:val="20"/>
                <w:szCs w:val="20"/>
                <w:lang w:val="pt-PT"/>
              </w:rPr>
              <w:t>Nº de casos remetidos a outra entidade</w:t>
            </w:r>
          </w:p>
        </w:tc>
        <w:tc>
          <w:tcPr>
            <w:tcW w:w="709" w:type="dxa"/>
            <w:shd w:val="clear" w:color="auto" w:fill="F2F2F2" w:themeFill="background1" w:themeFillShade="F2"/>
          </w:tcPr>
          <w:p w14:paraId="169E91B5" w14:textId="77777777" w:rsidR="00541FA6" w:rsidRPr="001C50C8" w:rsidRDefault="00541FA6" w:rsidP="00541FA6">
            <w:pPr>
              <w:pStyle w:val="PargrafodaLista"/>
              <w:spacing w:before="60" w:after="60"/>
              <w:ind w:left="0"/>
              <w:contextualSpacing w:val="0"/>
              <w:jc w:val="center"/>
              <w:rPr>
                <w:rFonts w:ascii="Garamond" w:hAnsi="Garamond"/>
                <w:sz w:val="20"/>
                <w:szCs w:val="20"/>
                <w:lang w:val="pt-PT"/>
              </w:rPr>
            </w:pPr>
          </w:p>
        </w:tc>
        <w:tc>
          <w:tcPr>
            <w:tcW w:w="709" w:type="dxa"/>
            <w:shd w:val="clear" w:color="auto" w:fill="F2F2F2" w:themeFill="background1" w:themeFillShade="F2"/>
            <w:vAlign w:val="center"/>
          </w:tcPr>
          <w:p w14:paraId="5C488985" w14:textId="77777777" w:rsidR="00541FA6" w:rsidRPr="001C50C8" w:rsidRDefault="00541FA6" w:rsidP="00541FA6">
            <w:pPr>
              <w:pStyle w:val="PargrafodaLista"/>
              <w:spacing w:before="60" w:after="60"/>
              <w:ind w:left="0"/>
              <w:contextualSpacing w:val="0"/>
              <w:jc w:val="center"/>
              <w:rPr>
                <w:rFonts w:ascii="Garamond" w:hAnsi="Garamond"/>
                <w:sz w:val="20"/>
                <w:szCs w:val="20"/>
                <w:lang w:val="pt-PT"/>
              </w:rPr>
            </w:pPr>
          </w:p>
        </w:tc>
        <w:tc>
          <w:tcPr>
            <w:tcW w:w="709" w:type="dxa"/>
            <w:shd w:val="clear" w:color="auto" w:fill="F2F2F2" w:themeFill="background1" w:themeFillShade="F2"/>
            <w:vAlign w:val="center"/>
          </w:tcPr>
          <w:p w14:paraId="65D09911" w14:textId="77777777" w:rsidR="00541FA6" w:rsidRPr="001C50C8" w:rsidRDefault="00541FA6" w:rsidP="00541FA6">
            <w:pPr>
              <w:pStyle w:val="PargrafodaLista"/>
              <w:spacing w:before="60" w:after="60"/>
              <w:ind w:left="0"/>
              <w:contextualSpacing w:val="0"/>
              <w:jc w:val="center"/>
              <w:rPr>
                <w:rFonts w:ascii="Garamond" w:hAnsi="Garamond"/>
                <w:sz w:val="20"/>
                <w:szCs w:val="20"/>
                <w:lang w:val="pt-PT"/>
              </w:rPr>
            </w:pPr>
          </w:p>
        </w:tc>
        <w:tc>
          <w:tcPr>
            <w:tcW w:w="709" w:type="dxa"/>
            <w:shd w:val="clear" w:color="auto" w:fill="F2F2F2" w:themeFill="background1" w:themeFillShade="F2"/>
            <w:vAlign w:val="center"/>
          </w:tcPr>
          <w:p w14:paraId="0E8D14A5"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19</w:t>
            </w:r>
          </w:p>
        </w:tc>
        <w:tc>
          <w:tcPr>
            <w:tcW w:w="708" w:type="dxa"/>
            <w:shd w:val="clear" w:color="auto" w:fill="F2F2F2" w:themeFill="background1" w:themeFillShade="F2"/>
            <w:vAlign w:val="center"/>
          </w:tcPr>
          <w:p w14:paraId="555DADE5"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8</w:t>
            </w:r>
          </w:p>
        </w:tc>
        <w:tc>
          <w:tcPr>
            <w:tcW w:w="709" w:type="dxa"/>
            <w:shd w:val="clear" w:color="auto" w:fill="F2F2F2" w:themeFill="background1" w:themeFillShade="F2"/>
            <w:vAlign w:val="center"/>
          </w:tcPr>
          <w:p w14:paraId="05E50DA0"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2</w:t>
            </w:r>
          </w:p>
        </w:tc>
        <w:tc>
          <w:tcPr>
            <w:tcW w:w="709" w:type="dxa"/>
            <w:shd w:val="clear" w:color="auto" w:fill="F2F2F2" w:themeFill="background1" w:themeFillShade="F2"/>
            <w:vAlign w:val="center"/>
          </w:tcPr>
          <w:p w14:paraId="3F486806"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4</w:t>
            </w:r>
          </w:p>
        </w:tc>
        <w:tc>
          <w:tcPr>
            <w:tcW w:w="709" w:type="dxa"/>
            <w:shd w:val="clear" w:color="auto" w:fill="F2F2F2" w:themeFill="background1" w:themeFillShade="F2"/>
            <w:vAlign w:val="center"/>
          </w:tcPr>
          <w:p w14:paraId="57CB9129" w14:textId="77777777" w:rsidR="00541FA6" w:rsidRPr="001C50C8" w:rsidRDefault="00541FA6" w:rsidP="00541FA6">
            <w:pPr>
              <w:pStyle w:val="PargrafodaLista"/>
              <w:spacing w:before="60" w:after="60"/>
              <w:ind w:left="0"/>
              <w:contextualSpacing w:val="0"/>
              <w:jc w:val="center"/>
              <w:rPr>
                <w:rFonts w:ascii="Garamond" w:hAnsi="Garamond"/>
                <w:sz w:val="20"/>
                <w:szCs w:val="20"/>
              </w:rPr>
            </w:pPr>
            <w:r w:rsidRPr="001C50C8">
              <w:rPr>
                <w:rFonts w:ascii="Garamond" w:hAnsi="Garamond"/>
                <w:sz w:val="20"/>
                <w:szCs w:val="20"/>
              </w:rPr>
              <w:t>4</w:t>
            </w:r>
          </w:p>
        </w:tc>
      </w:tr>
    </w:tbl>
    <w:p w14:paraId="2A578076" w14:textId="77777777" w:rsidR="00541FA6" w:rsidRPr="007A7AD6" w:rsidRDefault="00541FA6" w:rsidP="00541FA6">
      <w:pPr>
        <w:jc w:val="center"/>
        <w:rPr>
          <w:rFonts w:ascii="Garamond" w:hAnsi="Garamond"/>
          <w:lang w:val="pt-PT"/>
        </w:rPr>
      </w:pPr>
      <w:r w:rsidRPr="007A7AD6">
        <w:rPr>
          <w:rFonts w:ascii="Garamond" w:hAnsi="Garamond"/>
          <w:b/>
          <w:sz w:val="20"/>
          <w:szCs w:val="20"/>
          <w:lang w:val="pt-PT"/>
        </w:rPr>
        <w:t xml:space="preserve">Fonte: Relatórios Anuais do </w:t>
      </w:r>
      <w:proofErr w:type="spellStart"/>
      <w:r w:rsidRPr="007A7AD6">
        <w:rPr>
          <w:rFonts w:ascii="Garamond" w:hAnsi="Garamond"/>
          <w:b/>
          <w:sz w:val="20"/>
          <w:szCs w:val="20"/>
          <w:lang w:val="pt-PT"/>
        </w:rPr>
        <w:t>CSMP</w:t>
      </w:r>
      <w:proofErr w:type="spellEnd"/>
      <w:r w:rsidRPr="007A7AD6">
        <w:rPr>
          <w:rFonts w:ascii="Garamond" w:hAnsi="Garamond"/>
          <w:b/>
          <w:sz w:val="20"/>
          <w:szCs w:val="20"/>
          <w:lang w:val="pt-PT"/>
        </w:rPr>
        <w:t xml:space="preserve"> e dados citados no </w:t>
      </w:r>
      <w:proofErr w:type="spellStart"/>
      <w:r w:rsidRPr="007A7AD6">
        <w:rPr>
          <w:rFonts w:ascii="Garamond" w:hAnsi="Garamond"/>
          <w:b/>
          <w:sz w:val="20"/>
          <w:szCs w:val="20"/>
          <w:lang w:val="pt-PT"/>
        </w:rPr>
        <w:t>PNVBG</w:t>
      </w:r>
      <w:proofErr w:type="spellEnd"/>
    </w:p>
    <w:p w14:paraId="79E8046F" w14:textId="77777777" w:rsidR="00541FA6" w:rsidRDefault="00541FA6" w:rsidP="00541FA6">
      <w:pPr>
        <w:jc w:val="both"/>
        <w:rPr>
          <w:rFonts w:ascii="Garamond" w:hAnsi="Garamond"/>
          <w:lang w:val="pt-PT"/>
        </w:rPr>
      </w:pPr>
    </w:p>
    <w:p w14:paraId="54FF00CC" w14:textId="77777777" w:rsidR="00541FA6" w:rsidRPr="001C50C8" w:rsidRDefault="00541FA6" w:rsidP="00541FA6">
      <w:pPr>
        <w:jc w:val="both"/>
        <w:rPr>
          <w:rFonts w:ascii="Garamond" w:hAnsi="Garamond"/>
          <w:lang w:val="pt-PT"/>
        </w:rPr>
      </w:pPr>
      <w:r w:rsidRPr="001C50C8">
        <w:rPr>
          <w:rFonts w:ascii="Garamond" w:hAnsi="Garamond"/>
          <w:lang w:val="pt-PT"/>
        </w:rPr>
        <w:t xml:space="preserve">A partir do ano judicial de 2014/2015 regista-se uma diminuição, cada vez mais marcada, do </w:t>
      </w:r>
      <w:r w:rsidRPr="00BE46E6">
        <w:rPr>
          <w:rFonts w:ascii="Garamond" w:hAnsi="Garamond"/>
          <w:lang w:val="pt-PT"/>
        </w:rPr>
        <w:t xml:space="preserve">número de processo </w:t>
      </w:r>
      <w:proofErr w:type="spellStart"/>
      <w:r w:rsidRPr="00BE46E6">
        <w:rPr>
          <w:rFonts w:ascii="Garamond" w:hAnsi="Garamond"/>
          <w:lang w:val="pt-PT"/>
        </w:rPr>
        <w:t>VBG</w:t>
      </w:r>
      <w:proofErr w:type="spellEnd"/>
      <w:r w:rsidRPr="00BE46E6">
        <w:rPr>
          <w:rFonts w:ascii="Garamond" w:hAnsi="Garamond"/>
          <w:lang w:val="pt-PT"/>
        </w:rPr>
        <w:t xml:space="preserve"> entrados nas Procuradorias. O número de casos resolvidos vem aumentando, com impacto no número de processos que transitam de ano para ano, que, </w:t>
      </w:r>
      <w:proofErr w:type="spellStart"/>
      <w:r w:rsidRPr="00BE46E6">
        <w:rPr>
          <w:rFonts w:ascii="Garamond" w:hAnsi="Garamond"/>
          <w:lang w:val="pt-PT"/>
        </w:rPr>
        <w:t>pela</w:t>
      </w:r>
      <w:proofErr w:type="spellEnd"/>
      <w:r w:rsidRPr="00BE46E6">
        <w:rPr>
          <w:rFonts w:ascii="Garamond" w:hAnsi="Garamond"/>
          <w:lang w:val="pt-PT"/>
        </w:rPr>
        <w:t xml:space="preserve"> primeira </w:t>
      </w:r>
      <w:r w:rsidRPr="001C50C8">
        <w:rPr>
          <w:rFonts w:ascii="Garamond" w:hAnsi="Garamond"/>
          <w:lang w:val="pt-PT"/>
        </w:rPr>
        <w:t xml:space="preserve">vez, apresentam uma redução em 2017/2018. </w:t>
      </w:r>
      <w:r>
        <w:rPr>
          <w:rFonts w:ascii="Garamond" w:hAnsi="Garamond"/>
          <w:lang w:val="pt-PT"/>
        </w:rPr>
        <w:t xml:space="preserve">O </w:t>
      </w:r>
      <w:r w:rsidRPr="001C50C8">
        <w:rPr>
          <w:rFonts w:ascii="Garamond" w:hAnsi="Garamond"/>
          <w:lang w:val="pt-PT"/>
        </w:rPr>
        <w:t xml:space="preserve">número de casos acusados vem diminuindo desde o ano judicial de 2015/2016, </w:t>
      </w:r>
      <w:r>
        <w:rPr>
          <w:rFonts w:ascii="Garamond" w:hAnsi="Garamond"/>
          <w:lang w:val="pt-PT"/>
        </w:rPr>
        <w:t xml:space="preserve">enquanto </w:t>
      </w:r>
      <w:r w:rsidRPr="001C50C8">
        <w:rPr>
          <w:rFonts w:ascii="Garamond" w:hAnsi="Garamond"/>
          <w:lang w:val="pt-PT"/>
        </w:rPr>
        <w:t xml:space="preserve">o número de casos arquivados, nos últimos dois anos, quase triplicou. Os processos entrados podem ser arquivados por diferentes motivos, </w:t>
      </w:r>
      <w:r>
        <w:rPr>
          <w:rFonts w:ascii="Garamond" w:hAnsi="Garamond"/>
          <w:lang w:val="pt-PT"/>
        </w:rPr>
        <w:t xml:space="preserve">e numa análise preliminar do Ministério Público, realizada em 2019, foram identificados os seguintes: </w:t>
      </w:r>
      <w:r w:rsidRPr="001C50C8">
        <w:rPr>
          <w:rFonts w:ascii="Garamond" w:hAnsi="Garamond"/>
          <w:lang w:val="pt-PT"/>
        </w:rPr>
        <w:t xml:space="preserve">o magistrado não dar continuidade ao processo por entender não haver indícios suficientes da prática de um crime de </w:t>
      </w:r>
      <w:proofErr w:type="spellStart"/>
      <w:r w:rsidRPr="001C50C8">
        <w:rPr>
          <w:rFonts w:ascii="Garamond" w:hAnsi="Garamond"/>
          <w:lang w:val="pt-PT"/>
        </w:rPr>
        <w:t>VBG</w:t>
      </w:r>
      <w:proofErr w:type="spellEnd"/>
      <w:r w:rsidRPr="001C50C8">
        <w:rPr>
          <w:rFonts w:ascii="Garamond" w:hAnsi="Garamond"/>
          <w:lang w:val="pt-PT"/>
        </w:rPr>
        <w:t xml:space="preserve">; ou </w:t>
      </w:r>
      <w:proofErr w:type="spellStart"/>
      <w:r w:rsidRPr="001C50C8">
        <w:rPr>
          <w:rFonts w:ascii="Garamond" w:hAnsi="Garamond"/>
          <w:lang w:val="pt-PT"/>
        </w:rPr>
        <w:t>pelo</w:t>
      </w:r>
      <w:proofErr w:type="spellEnd"/>
      <w:r w:rsidRPr="001C50C8">
        <w:rPr>
          <w:rFonts w:ascii="Garamond" w:hAnsi="Garamond"/>
          <w:lang w:val="pt-PT"/>
        </w:rPr>
        <w:t xml:space="preserve"> fato de ter havido suspensão provisória do processo que, ao terminar (após cumpridas as injunções e o prazo determinados </w:t>
      </w:r>
      <w:proofErr w:type="spellStart"/>
      <w:r w:rsidRPr="001C50C8">
        <w:rPr>
          <w:rFonts w:ascii="Garamond" w:hAnsi="Garamond"/>
          <w:lang w:val="pt-PT"/>
        </w:rPr>
        <w:t>pelo</w:t>
      </w:r>
      <w:proofErr w:type="spellEnd"/>
      <w:r w:rsidRPr="001C50C8">
        <w:rPr>
          <w:rFonts w:ascii="Garamond" w:hAnsi="Garamond"/>
          <w:lang w:val="pt-PT"/>
        </w:rPr>
        <w:t xml:space="preserve"> Juiz e não havendo infracções durante o período de suspensão estipulado </w:t>
      </w:r>
      <w:proofErr w:type="spellStart"/>
      <w:r w:rsidRPr="001C50C8">
        <w:rPr>
          <w:rFonts w:ascii="Garamond" w:hAnsi="Garamond"/>
          <w:lang w:val="pt-PT"/>
        </w:rPr>
        <w:t>pelo</w:t>
      </w:r>
      <w:proofErr w:type="spellEnd"/>
      <w:r w:rsidRPr="001C50C8">
        <w:rPr>
          <w:rFonts w:ascii="Garamond" w:hAnsi="Garamond"/>
          <w:lang w:val="pt-PT"/>
        </w:rPr>
        <w:t xml:space="preserve"> Juiz), é contabilizada como se fosse um processo arquivado</w:t>
      </w:r>
      <w:r>
        <w:rPr>
          <w:rFonts w:ascii="Garamond" w:hAnsi="Garamond"/>
          <w:lang w:val="pt-PT"/>
        </w:rPr>
        <w:t>;</w:t>
      </w:r>
      <w:r w:rsidRPr="001C50C8">
        <w:rPr>
          <w:rStyle w:val="Refdenotaderodap"/>
          <w:rFonts w:ascii="Garamond" w:hAnsi="Garamond"/>
        </w:rPr>
        <w:footnoteReference w:id="64"/>
      </w:r>
      <w:r w:rsidRPr="001C50C8">
        <w:rPr>
          <w:rFonts w:ascii="Garamond" w:hAnsi="Garamond"/>
          <w:lang w:val="pt-PT"/>
        </w:rPr>
        <w:t xml:space="preserve"> </w:t>
      </w:r>
      <w:r>
        <w:rPr>
          <w:rFonts w:ascii="Garamond" w:hAnsi="Garamond"/>
          <w:lang w:val="pt-PT"/>
        </w:rPr>
        <w:t xml:space="preserve">entre outros motivos (ex. duplicação de denúncias por mais de uma entidade, prescrição do procedimento criminal, partes do processo, em particular perpetrador não localizável). </w:t>
      </w:r>
      <w:r w:rsidRPr="001C50C8">
        <w:rPr>
          <w:rFonts w:ascii="Garamond" w:hAnsi="Garamond"/>
          <w:lang w:val="pt-PT"/>
        </w:rPr>
        <w:t xml:space="preserve">Por outro lado, a diminuição do número de casos acusados pode também estar relacionada com o enquadramento dos processos encaminhados </w:t>
      </w:r>
      <w:proofErr w:type="spellStart"/>
      <w:r w:rsidRPr="001C50C8">
        <w:rPr>
          <w:rFonts w:ascii="Garamond" w:hAnsi="Garamond"/>
          <w:lang w:val="pt-PT"/>
        </w:rPr>
        <w:t>pela</w:t>
      </w:r>
      <w:proofErr w:type="spellEnd"/>
      <w:r w:rsidRPr="001C50C8">
        <w:rPr>
          <w:rFonts w:ascii="Garamond" w:hAnsi="Garamond"/>
          <w:lang w:val="pt-PT"/>
        </w:rPr>
        <w:t xml:space="preserve"> Polícia Nacional como outro tipo de crime por parte do Ministério Público, por entender não se tratar de um crime de </w:t>
      </w:r>
      <w:proofErr w:type="spellStart"/>
      <w:r w:rsidRPr="001C50C8">
        <w:rPr>
          <w:rFonts w:ascii="Garamond" w:hAnsi="Garamond"/>
          <w:lang w:val="pt-PT"/>
        </w:rPr>
        <w:t>VBG</w:t>
      </w:r>
      <w:proofErr w:type="spellEnd"/>
      <w:r w:rsidRPr="001C50C8">
        <w:rPr>
          <w:rFonts w:ascii="Garamond" w:hAnsi="Garamond"/>
          <w:lang w:val="pt-PT"/>
        </w:rPr>
        <w:t>.</w:t>
      </w:r>
    </w:p>
    <w:p w14:paraId="55CE704B" w14:textId="77777777" w:rsidR="00541FA6" w:rsidRPr="001C50C8" w:rsidRDefault="00541FA6" w:rsidP="002A62A2">
      <w:pPr>
        <w:pStyle w:val="PargrafodaLista"/>
        <w:numPr>
          <w:ilvl w:val="0"/>
          <w:numId w:val="69"/>
        </w:numPr>
        <w:jc w:val="both"/>
        <w:rPr>
          <w:rFonts w:ascii="Garamond" w:hAnsi="Garamond"/>
          <w:lang w:val="pt-PT"/>
        </w:rPr>
      </w:pPr>
      <w:r w:rsidRPr="001C50C8">
        <w:rPr>
          <w:rFonts w:ascii="Garamond" w:hAnsi="Garamond"/>
          <w:lang w:val="pt-PT"/>
        </w:rPr>
        <w:t xml:space="preserve">Apesar dos progressos, a pendência dos processos </w:t>
      </w:r>
      <w:proofErr w:type="spellStart"/>
      <w:r w:rsidRPr="001C50C8">
        <w:rPr>
          <w:rFonts w:ascii="Garamond" w:hAnsi="Garamond"/>
          <w:lang w:val="pt-PT"/>
        </w:rPr>
        <w:t>VBG</w:t>
      </w:r>
      <w:proofErr w:type="spellEnd"/>
      <w:r w:rsidRPr="001C50C8">
        <w:rPr>
          <w:rFonts w:ascii="Garamond" w:hAnsi="Garamond"/>
          <w:lang w:val="pt-PT"/>
        </w:rPr>
        <w:t xml:space="preserve"> continua a ser um constrangimento maior para as respostas de punição dos agressores e indemnização das vítimas, </w:t>
      </w:r>
      <w:proofErr w:type="spellStart"/>
      <w:r w:rsidRPr="001C50C8">
        <w:rPr>
          <w:rFonts w:ascii="Garamond" w:hAnsi="Garamond"/>
          <w:lang w:val="pt-PT"/>
        </w:rPr>
        <w:t>pelo</w:t>
      </w:r>
      <w:proofErr w:type="spellEnd"/>
      <w:r w:rsidRPr="001C50C8">
        <w:rPr>
          <w:rFonts w:ascii="Garamond" w:hAnsi="Garamond"/>
          <w:lang w:val="pt-PT"/>
        </w:rPr>
        <w:t xml:space="preserve"> que devem ser perspectivadas medidas de implementação imediata que acelerem o cumprimento dos prazos processuais definidos </w:t>
      </w:r>
      <w:proofErr w:type="spellStart"/>
      <w:r w:rsidRPr="001C50C8">
        <w:rPr>
          <w:rFonts w:ascii="Garamond" w:hAnsi="Garamond"/>
          <w:lang w:val="pt-PT"/>
        </w:rPr>
        <w:t>pela</w:t>
      </w:r>
      <w:proofErr w:type="spellEnd"/>
      <w:r w:rsidRPr="001C50C8">
        <w:rPr>
          <w:rFonts w:ascii="Garamond" w:hAnsi="Garamond"/>
          <w:lang w:val="pt-PT"/>
        </w:rPr>
        <w:t xml:space="preserve"> Lei </w:t>
      </w:r>
      <w:proofErr w:type="spellStart"/>
      <w:r w:rsidRPr="001C50C8">
        <w:rPr>
          <w:rFonts w:ascii="Garamond" w:hAnsi="Garamond"/>
          <w:lang w:val="pt-PT"/>
        </w:rPr>
        <w:t>VBG</w:t>
      </w:r>
      <w:proofErr w:type="spellEnd"/>
      <w:r w:rsidRPr="001C50C8">
        <w:rPr>
          <w:rFonts w:ascii="Garamond" w:hAnsi="Garamond"/>
          <w:lang w:val="pt-PT"/>
        </w:rPr>
        <w:t xml:space="preserve"> a nível das Procuradorias e Tribunais (ex. ampliar o número de Juízes e Procuradores específicos para os casos de </w:t>
      </w:r>
      <w:proofErr w:type="spellStart"/>
      <w:r w:rsidRPr="001C50C8">
        <w:rPr>
          <w:rFonts w:ascii="Garamond" w:hAnsi="Garamond"/>
          <w:lang w:val="pt-PT"/>
        </w:rPr>
        <w:t>VBG</w:t>
      </w:r>
      <w:proofErr w:type="spellEnd"/>
      <w:r w:rsidRPr="001C50C8">
        <w:rPr>
          <w:rFonts w:ascii="Garamond" w:hAnsi="Garamond"/>
          <w:lang w:val="pt-PT"/>
        </w:rPr>
        <w:t xml:space="preserve"> na Comarca da Praia, destacar um Juiz e um Procurador específico para os processos de </w:t>
      </w:r>
      <w:proofErr w:type="spellStart"/>
      <w:r w:rsidRPr="001C50C8">
        <w:rPr>
          <w:rFonts w:ascii="Garamond" w:hAnsi="Garamond"/>
          <w:lang w:val="pt-PT"/>
        </w:rPr>
        <w:t>VBG</w:t>
      </w:r>
      <w:proofErr w:type="spellEnd"/>
      <w:r w:rsidRPr="001C50C8">
        <w:rPr>
          <w:rFonts w:ascii="Garamond" w:hAnsi="Garamond"/>
          <w:lang w:val="pt-PT"/>
        </w:rPr>
        <w:t xml:space="preserve"> em São Vicente, criar uma bolsa de Juízes auxiliares especializados em </w:t>
      </w:r>
      <w:proofErr w:type="spellStart"/>
      <w:r w:rsidRPr="001C50C8">
        <w:rPr>
          <w:rFonts w:ascii="Garamond" w:hAnsi="Garamond"/>
          <w:lang w:val="pt-PT"/>
        </w:rPr>
        <w:t>VBG</w:t>
      </w:r>
      <w:proofErr w:type="spellEnd"/>
      <w:r w:rsidRPr="001C50C8">
        <w:rPr>
          <w:rFonts w:ascii="Garamond" w:hAnsi="Garamond"/>
          <w:lang w:val="pt-PT"/>
        </w:rPr>
        <w:t xml:space="preserve"> para assessorar os Tribunais das Comarcas onde há maior pendência de processos de </w:t>
      </w:r>
      <w:proofErr w:type="spellStart"/>
      <w:r w:rsidRPr="001C50C8">
        <w:rPr>
          <w:rFonts w:ascii="Garamond" w:hAnsi="Garamond"/>
          <w:lang w:val="pt-PT"/>
        </w:rPr>
        <w:t>VBG</w:t>
      </w:r>
      <w:proofErr w:type="spellEnd"/>
      <w:r w:rsidRPr="001C50C8">
        <w:rPr>
          <w:rFonts w:ascii="Garamond" w:hAnsi="Garamond"/>
          <w:lang w:val="pt-PT"/>
        </w:rPr>
        <w:t xml:space="preserve">, destacar oficiais de justiça específicos para os processos de </w:t>
      </w:r>
      <w:proofErr w:type="spellStart"/>
      <w:r w:rsidRPr="001C50C8">
        <w:rPr>
          <w:rFonts w:ascii="Garamond" w:hAnsi="Garamond"/>
          <w:lang w:val="pt-PT"/>
        </w:rPr>
        <w:t>VBG</w:t>
      </w:r>
      <w:proofErr w:type="spellEnd"/>
      <w:r w:rsidRPr="001C50C8">
        <w:rPr>
          <w:rFonts w:ascii="Garamond" w:hAnsi="Garamond"/>
          <w:lang w:val="pt-PT"/>
        </w:rPr>
        <w:t xml:space="preserve"> na Praia e em São Vicente, etc.) </w:t>
      </w:r>
    </w:p>
    <w:p w14:paraId="6BB6D372" w14:textId="77777777" w:rsidR="00541FA6" w:rsidRPr="001C50C8" w:rsidRDefault="00541FA6" w:rsidP="002A62A2">
      <w:pPr>
        <w:pStyle w:val="PargrafodaLista"/>
        <w:numPr>
          <w:ilvl w:val="0"/>
          <w:numId w:val="69"/>
        </w:numPr>
        <w:jc w:val="both"/>
        <w:rPr>
          <w:rFonts w:ascii="Garamond" w:hAnsi="Garamond"/>
          <w:lang w:val="pt-PT"/>
        </w:rPr>
      </w:pPr>
      <w:r>
        <w:rPr>
          <w:rFonts w:ascii="Garamond" w:hAnsi="Garamond"/>
          <w:lang w:val="pt-PT"/>
        </w:rPr>
        <w:t xml:space="preserve">Tendo em conta a diversidade de motivos já identificados </w:t>
      </w:r>
      <w:proofErr w:type="spellStart"/>
      <w:r>
        <w:rPr>
          <w:rFonts w:ascii="Garamond" w:hAnsi="Garamond"/>
          <w:lang w:val="pt-PT"/>
        </w:rPr>
        <w:t>pelo</w:t>
      </w:r>
      <w:proofErr w:type="spellEnd"/>
      <w:r>
        <w:rPr>
          <w:rFonts w:ascii="Garamond" w:hAnsi="Garamond"/>
          <w:lang w:val="pt-PT"/>
        </w:rPr>
        <w:t xml:space="preserve"> MP para o arquivamento de processos por crime de </w:t>
      </w:r>
      <w:proofErr w:type="spellStart"/>
      <w:r>
        <w:rPr>
          <w:rFonts w:ascii="Garamond" w:hAnsi="Garamond"/>
          <w:lang w:val="pt-PT"/>
        </w:rPr>
        <w:t>VBG</w:t>
      </w:r>
      <w:proofErr w:type="spellEnd"/>
      <w:r>
        <w:rPr>
          <w:rFonts w:ascii="Garamond" w:hAnsi="Garamond"/>
          <w:lang w:val="pt-PT"/>
        </w:rPr>
        <w:t xml:space="preserve">, deverá ser realizar um levantamento mais sistematizado, para </w:t>
      </w:r>
      <w:r w:rsidRPr="001C50C8">
        <w:rPr>
          <w:rFonts w:ascii="Garamond" w:hAnsi="Garamond"/>
          <w:lang w:val="pt-PT"/>
        </w:rPr>
        <w:t xml:space="preserve">conhecer </w:t>
      </w:r>
      <w:r>
        <w:rPr>
          <w:rFonts w:ascii="Garamond" w:hAnsi="Garamond"/>
          <w:lang w:val="pt-PT"/>
        </w:rPr>
        <w:t xml:space="preserve">de forma abrangente e quantificada </w:t>
      </w:r>
      <w:r w:rsidRPr="001C50C8">
        <w:rPr>
          <w:rFonts w:ascii="Garamond" w:hAnsi="Garamond"/>
          <w:lang w:val="pt-PT"/>
        </w:rPr>
        <w:t>os motivos</w:t>
      </w:r>
      <w:r>
        <w:rPr>
          <w:rFonts w:ascii="Garamond" w:hAnsi="Garamond"/>
          <w:lang w:val="pt-PT"/>
        </w:rPr>
        <w:t xml:space="preserve"> e poder, </w:t>
      </w:r>
      <w:r w:rsidRPr="001C50C8">
        <w:rPr>
          <w:rFonts w:ascii="Garamond" w:hAnsi="Garamond"/>
          <w:lang w:val="pt-PT"/>
        </w:rPr>
        <w:t>em consequência</w:t>
      </w:r>
      <w:r>
        <w:rPr>
          <w:rFonts w:ascii="Garamond" w:hAnsi="Garamond"/>
          <w:lang w:val="pt-PT"/>
        </w:rPr>
        <w:t>, propor melhorias, bem como um instrumento de registo dos motivos de arquivamento para efeitos de seguimento da evolução da situação</w:t>
      </w:r>
      <w:r w:rsidRPr="001C50C8">
        <w:rPr>
          <w:rFonts w:ascii="Garamond" w:hAnsi="Garamond"/>
          <w:lang w:val="pt-PT"/>
        </w:rPr>
        <w:t xml:space="preserve">. Esta acção é prioritária, para promover a máxima eficácia na análise e andamento dos processos que dão entrada como processos de </w:t>
      </w:r>
      <w:proofErr w:type="spellStart"/>
      <w:r w:rsidRPr="001C50C8">
        <w:rPr>
          <w:rFonts w:ascii="Garamond" w:hAnsi="Garamond"/>
          <w:lang w:val="pt-PT"/>
        </w:rPr>
        <w:t>VBG</w:t>
      </w:r>
      <w:proofErr w:type="spellEnd"/>
      <w:r w:rsidRPr="001C50C8">
        <w:rPr>
          <w:rFonts w:ascii="Garamond" w:hAnsi="Garamond"/>
          <w:lang w:val="pt-PT"/>
        </w:rPr>
        <w:t xml:space="preserve"> (ex. evitando desperdício de tempo do(a) Procurador(a) na análise de processos que não são de </w:t>
      </w:r>
      <w:proofErr w:type="spellStart"/>
      <w:r w:rsidRPr="001C50C8">
        <w:rPr>
          <w:rFonts w:ascii="Garamond" w:hAnsi="Garamond"/>
          <w:lang w:val="pt-PT"/>
        </w:rPr>
        <w:t>VBG</w:t>
      </w:r>
      <w:proofErr w:type="spellEnd"/>
      <w:r w:rsidRPr="001C50C8">
        <w:rPr>
          <w:rFonts w:ascii="Garamond" w:hAnsi="Garamond"/>
          <w:lang w:val="pt-PT"/>
        </w:rPr>
        <w:t>, quando poderia estar a analisar outros que são).</w:t>
      </w:r>
    </w:p>
    <w:p w14:paraId="5FDAB353" w14:textId="77777777" w:rsidR="00541FA6" w:rsidRPr="001C50C8" w:rsidRDefault="00541FA6" w:rsidP="002A62A2">
      <w:pPr>
        <w:pStyle w:val="PargrafodaLista"/>
        <w:numPr>
          <w:ilvl w:val="0"/>
          <w:numId w:val="69"/>
        </w:numPr>
        <w:ind w:left="714" w:hanging="357"/>
        <w:contextualSpacing w:val="0"/>
        <w:jc w:val="both"/>
        <w:rPr>
          <w:rFonts w:ascii="Garamond" w:hAnsi="Garamond"/>
          <w:lang w:val="pt-PT"/>
        </w:rPr>
      </w:pPr>
      <w:r>
        <w:rPr>
          <w:rFonts w:ascii="Garamond" w:hAnsi="Garamond"/>
          <w:lang w:val="pt-PT"/>
        </w:rPr>
        <w:t xml:space="preserve">O levantamento é uma oportunidade para analisar </w:t>
      </w:r>
      <w:r w:rsidRPr="001C50C8">
        <w:rPr>
          <w:rFonts w:ascii="Garamond" w:hAnsi="Garamond"/>
          <w:lang w:val="pt-PT"/>
        </w:rPr>
        <w:t>processos crime</w:t>
      </w:r>
      <w:r>
        <w:rPr>
          <w:rFonts w:ascii="Garamond" w:hAnsi="Garamond"/>
          <w:lang w:val="pt-PT"/>
        </w:rPr>
        <w:t xml:space="preserve"> </w:t>
      </w:r>
      <w:r w:rsidRPr="001C50C8">
        <w:rPr>
          <w:rFonts w:ascii="Garamond" w:hAnsi="Garamond"/>
          <w:lang w:val="pt-PT"/>
        </w:rPr>
        <w:t xml:space="preserve">por </w:t>
      </w:r>
      <w:proofErr w:type="spellStart"/>
      <w:r w:rsidRPr="001C50C8">
        <w:rPr>
          <w:rFonts w:ascii="Garamond" w:hAnsi="Garamond"/>
          <w:lang w:val="pt-PT"/>
        </w:rPr>
        <w:t>VBG</w:t>
      </w:r>
      <w:proofErr w:type="spellEnd"/>
      <w:r>
        <w:rPr>
          <w:rFonts w:ascii="Garamond" w:hAnsi="Garamond"/>
          <w:lang w:val="pt-PT"/>
        </w:rPr>
        <w:t>,</w:t>
      </w:r>
      <w:r w:rsidRPr="009E7AD4">
        <w:rPr>
          <w:rFonts w:ascii="Garamond" w:hAnsi="Garamond"/>
          <w:lang w:val="pt-PT"/>
        </w:rPr>
        <w:t xml:space="preserve"> </w:t>
      </w:r>
      <w:r>
        <w:rPr>
          <w:rFonts w:ascii="Garamond" w:hAnsi="Garamond"/>
          <w:lang w:val="pt-PT"/>
        </w:rPr>
        <w:t>seus desfechos</w:t>
      </w:r>
      <w:r w:rsidRPr="001C50C8">
        <w:rPr>
          <w:rFonts w:ascii="Garamond" w:hAnsi="Garamond"/>
          <w:lang w:val="pt-PT"/>
        </w:rPr>
        <w:t xml:space="preserve"> e mapear os pontos de estrangulamento nos fluxos de aplicação da Lei </w:t>
      </w:r>
      <w:proofErr w:type="spellStart"/>
      <w:r w:rsidRPr="001C50C8">
        <w:rPr>
          <w:rFonts w:ascii="Garamond" w:hAnsi="Garamond"/>
          <w:lang w:val="pt-PT"/>
        </w:rPr>
        <w:t>VBG</w:t>
      </w:r>
      <w:proofErr w:type="spellEnd"/>
      <w:r w:rsidRPr="001C50C8">
        <w:rPr>
          <w:rFonts w:ascii="Garamond" w:hAnsi="Garamond"/>
          <w:lang w:val="pt-PT"/>
        </w:rPr>
        <w:t xml:space="preserve"> a nível das Procuradorias e Tribunais, </w:t>
      </w:r>
      <w:r>
        <w:rPr>
          <w:rFonts w:ascii="Garamond" w:hAnsi="Garamond"/>
          <w:lang w:val="pt-PT"/>
        </w:rPr>
        <w:t xml:space="preserve">para </w:t>
      </w:r>
      <w:r w:rsidRPr="001C50C8">
        <w:rPr>
          <w:rFonts w:ascii="Garamond" w:hAnsi="Garamond"/>
          <w:lang w:val="pt-PT"/>
        </w:rPr>
        <w:t xml:space="preserve">identificar outras medidas </w:t>
      </w:r>
      <w:r>
        <w:rPr>
          <w:rFonts w:ascii="Garamond" w:hAnsi="Garamond"/>
          <w:lang w:val="pt-PT"/>
        </w:rPr>
        <w:t>a tomar</w:t>
      </w:r>
      <w:r w:rsidRPr="001C50C8">
        <w:rPr>
          <w:rFonts w:ascii="Garamond" w:hAnsi="Garamond"/>
          <w:lang w:val="pt-PT"/>
        </w:rPr>
        <w:t>.</w:t>
      </w:r>
    </w:p>
    <w:p w14:paraId="641E5B2E" w14:textId="77777777" w:rsidR="00541FA6" w:rsidRPr="001C50C8" w:rsidRDefault="00541FA6" w:rsidP="002A62A2">
      <w:pPr>
        <w:pStyle w:val="PargrafodaLista"/>
        <w:numPr>
          <w:ilvl w:val="0"/>
          <w:numId w:val="69"/>
        </w:numPr>
        <w:jc w:val="both"/>
        <w:rPr>
          <w:rFonts w:ascii="Garamond" w:hAnsi="Garamond"/>
          <w:lang w:val="pt-PT"/>
        </w:rPr>
      </w:pPr>
      <w:r w:rsidRPr="001C50C8">
        <w:rPr>
          <w:rFonts w:ascii="Garamond" w:hAnsi="Garamond"/>
          <w:lang w:val="pt-PT"/>
        </w:rPr>
        <w:t>O enquadramento como outro tipo de crime por parte do MP também carece de análise</w:t>
      </w:r>
      <w:r>
        <w:rPr>
          <w:rFonts w:ascii="Garamond" w:hAnsi="Garamond"/>
          <w:lang w:val="pt-PT"/>
        </w:rPr>
        <w:t xml:space="preserve">: </w:t>
      </w:r>
      <w:r w:rsidRPr="001C50C8">
        <w:rPr>
          <w:rFonts w:ascii="Garamond" w:hAnsi="Garamond"/>
          <w:lang w:val="pt-PT"/>
        </w:rPr>
        <w:t>ao enquadra</w:t>
      </w:r>
      <w:r>
        <w:rPr>
          <w:rFonts w:ascii="Garamond" w:hAnsi="Garamond"/>
          <w:lang w:val="pt-PT"/>
        </w:rPr>
        <w:t>r</w:t>
      </w:r>
      <w:r w:rsidRPr="001C50C8">
        <w:rPr>
          <w:rFonts w:ascii="Garamond" w:hAnsi="Garamond"/>
          <w:lang w:val="pt-PT"/>
        </w:rPr>
        <w:t xml:space="preserve"> de outra forma, os procedimentos aplicados são diferentes, com o risco de descaracterização do quadro legal propício para crimes de </w:t>
      </w:r>
      <w:proofErr w:type="spellStart"/>
      <w:r w:rsidRPr="001C50C8">
        <w:rPr>
          <w:rFonts w:ascii="Garamond" w:hAnsi="Garamond"/>
          <w:lang w:val="pt-PT"/>
        </w:rPr>
        <w:t>VBG</w:t>
      </w:r>
      <w:proofErr w:type="spellEnd"/>
      <w:r w:rsidRPr="001C50C8">
        <w:rPr>
          <w:rFonts w:ascii="Garamond" w:hAnsi="Garamond"/>
          <w:lang w:val="pt-PT"/>
        </w:rPr>
        <w:t>.</w:t>
      </w:r>
    </w:p>
    <w:p w14:paraId="7B9CE05B" w14:textId="77777777" w:rsidR="00541FA6" w:rsidRPr="001C50C8" w:rsidRDefault="00541FA6" w:rsidP="002A62A2">
      <w:pPr>
        <w:pStyle w:val="PargrafodaLista"/>
        <w:numPr>
          <w:ilvl w:val="0"/>
          <w:numId w:val="69"/>
        </w:numPr>
        <w:jc w:val="both"/>
        <w:rPr>
          <w:rFonts w:ascii="Garamond" w:hAnsi="Garamond"/>
          <w:lang w:val="pt-PT"/>
        </w:rPr>
      </w:pPr>
      <w:r>
        <w:rPr>
          <w:rFonts w:ascii="Garamond" w:hAnsi="Garamond"/>
          <w:lang w:val="pt-PT"/>
        </w:rPr>
        <w:t>Outrossim</w:t>
      </w:r>
      <w:r w:rsidRPr="001C50C8">
        <w:rPr>
          <w:rFonts w:ascii="Garamond" w:hAnsi="Garamond"/>
          <w:lang w:val="pt-PT"/>
        </w:rPr>
        <w:t xml:space="preserve">, estando os arquivamentos relacionados com a suspensão provisória do processo, é importante zelar </w:t>
      </w:r>
      <w:proofErr w:type="spellStart"/>
      <w:r w:rsidRPr="001C50C8">
        <w:rPr>
          <w:rFonts w:ascii="Garamond" w:hAnsi="Garamond"/>
          <w:lang w:val="pt-PT"/>
        </w:rPr>
        <w:t>pela</w:t>
      </w:r>
      <w:proofErr w:type="spellEnd"/>
      <w:r w:rsidRPr="001C50C8">
        <w:rPr>
          <w:rFonts w:ascii="Garamond" w:hAnsi="Garamond"/>
          <w:lang w:val="pt-PT"/>
        </w:rPr>
        <w:t xml:space="preserve"> emissão de directrizes a nível do </w:t>
      </w:r>
      <w:proofErr w:type="spellStart"/>
      <w:r w:rsidRPr="001C50C8">
        <w:rPr>
          <w:rFonts w:ascii="Garamond" w:hAnsi="Garamond"/>
          <w:lang w:val="pt-PT"/>
        </w:rPr>
        <w:t>CSMJ</w:t>
      </w:r>
      <w:proofErr w:type="spellEnd"/>
      <w:r w:rsidRPr="001C50C8">
        <w:rPr>
          <w:rFonts w:ascii="Garamond" w:hAnsi="Garamond"/>
          <w:lang w:val="pt-PT"/>
        </w:rPr>
        <w:t xml:space="preserve"> </w:t>
      </w:r>
      <w:r>
        <w:rPr>
          <w:rFonts w:ascii="Garamond" w:hAnsi="Garamond"/>
          <w:lang w:val="pt-PT"/>
        </w:rPr>
        <w:t xml:space="preserve">quanto ao </w:t>
      </w:r>
      <w:r w:rsidRPr="001C50C8">
        <w:rPr>
          <w:rFonts w:ascii="Garamond" w:hAnsi="Garamond"/>
          <w:lang w:val="pt-PT"/>
        </w:rPr>
        <w:t>registo separado das situações de suspensão provisória do</w:t>
      </w:r>
      <w:r>
        <w:rPr>
          <w:rFonts w:ascii="Garamond" w:hAnsi="Garamond"/>
          <w:lang w:val="pt-PT"/>
        </w:rPr>
        <w:t>s</w:t>
      </w:r>
      <w:r w:rsidRPr="001C50C8">
        <w:rPr>
          <w:rFonts w:ascii="Garamond" w:hAnsi="Garamond"/>
          <w:lang w:val="pt-PT"/>
        </w:rPr>
        <w:t xml:space="preserve"> processo</w:t>
      </w:r>
      <w:r>
        <w:rPr>
          <w:rFonts w:ascii="Garamond" w:hAnsi="Garamond"/>
          <w:lang w:val="pt-PT"/>
        </w:rPr>
        <w:t>s por</w:t>
      </w:r>
      <w:r w:rsidRPr="001C50C8">
        <w:rPr>
          <w:rFonts w:ascii="Garamond" w:hAnsi="Garamond"/>
          <w:lang w:val="pt-PT"/>
        </w:rPr>
        <w:t xml:space="preserve"> </w:t>
      </w:r>
      <w:proofErr w:type="spellStart"/>
      <w:r w:rsidRPr="001C50C8">
        <w:rPr>
          <w:rFonts w:ascii="Garamond" w:hAnsi="Garamond"/>
          <w:lang w:val="pt-PT"/>
        </w:rPr>
        <w:t>VBG</w:t>
      </w:r>
      <w:proofErr w:type="spellEnd"/>
      <w:r>
        <w:rPr>
          <w:rFonts w:ascii="Garamond" w:hAnsi="Garamond"/>
          <w:lang w:val="pt-PT"/>
        </w:rPr>
        <w:t>.</w:t>
      </w:r>
    </w:p>
    <w:p w14:paraId="4C57EB6F" w14:textId="77777777" w:rsidR="00541FA6" w:rsidRPr="001C50C8" w:rsidRDefault="00541FA6" w:rsidP="002A62A2">
      <w:pPr>
        <w:pStyle w:val="PargrafodaLista"/>
        <w:numPr>
          <w:ilvl w:val="0"/>
          <w:numId w:val="69"/>
        </w:numPr>
        <w:ind w:left="714" w:hanging="357"/>
        <w:contextualSpacing w:val="0"/>
        <w:jc w:val="both"/>
        <w:rPr>
          <w:rFonts w:ascii="Garamond" w:hAnsi="Garamond"/>
          <w:lang w:val="pt-PT"/>
        </w:rPr>
      </w:pPr>
      <w:r w:rsidRPr="001C50C8">
        <w:rPr>
          <w:rFonts w:ascii="Garamond" w:hAnsi="Garamond"/>
          <w:lang w:val="pt-PT"/>
        </w:rPr>
        <w:t xml:space="preserve">De referir que não estão disponíveis dados sistematizados, entre outros, sobre: </w:t>
      </w:r>
    </w:p>
    <w:p w14:paraId="63EFDC36" w14:textId="77777777" w:rsidR="00541FA6" w:rsidRPr="001C50C8" w:rsidRDefault="00541FA6" w:rsidP="002A62A2">
      <w:pPr>
        <w:pStyle w:val="PargrafodaLista"/>
        <w:numPr>
          <w:ilvl w:val="1"/>
          <w:numId w:val="69"/>
        </w:numPr>
        <w:contextualSpacing w:val="0"/>
        <w:jc w:val="both"/>
        <w:rPr>
          <w:rFonts w:ascii="Garamond" w:hAnsi="Garamond"/>
          <w:lang w:val="pt-PT"/>
        </w:rPr>
      </w:pPr>
      <w:r w:rsidRPr="001C50C8">
        <w:rPr>
          <w:rFonts w:ascii="Garamond" w:hAnsi="Garamond"/>
          <w:lang w:val="pt-PT"/>
        </w:rPr>
        <w:t xml:space="preserve">O desfecho dos julgamentos, que permitam contabilizar os que resultaram em condenações, absolvições e indemnizações: essas informações apenas constam nos processos, individualmente, a nível de cada tribunal do país. </w:t>
      </w:r>
    </w:p>
    <w:p w14:paraId="03DFEA20" w14:textId="77777777" w:rsidR="00541FA6" w:rsidRPr="001C50C8" w:rsidRDefault="00541FA6" w:rsidP="002A62A2">
      <w:pPr>
        <w:pStyle w:val="PargrafodaLista"/>
        <w:numPr>
          <w:ilvl w:val="1"/>
          <w:numId w:val="69"/>
        </w:numPr>
        <w:contextualSpacing w:val="0"/>
        <w:jc w:val="both"/>
        <w:rPr>
          <w:rFonts w:ascii="Garamond" w:hAnsi="Garamond"/>
          <w:lang w:val="pt-PT"/>
        </w:rPr>
      </w:pPr>
      <w:r w:rsidRPr="001C50C8">
        <w:rPr>
          <w:rFonts w:ascii="Garamond" w:hAnsi="Garamond"/>
          <w:lang w:val="pt-PT"/>
        </w:rPr>
        <w:t xml:space="preserve">O número/proporção de condenações com suspensão da execução da pena de prisão e de aplicação, por parte dos magistrados judiciais, da medida de seguimento do programa de acompanhamento e reinserção e de realização de trabalhos a favor da comunidade. </w:t>
      </w:r>
    </w:p>
    <w:p w14:paraId="40256D52" w14:textId="77777777" w:rsidR="00541FA6" w:rsidRPr="001C50C8" w:rsidRDefault="00541FA6" w:rsidP="002A62A2">
      <w:pPr>
        <w:pStyle w:val="PargrafodaLista"/>
        <w:numPr>
          <w:ilvl w:val="1"/>
          <w:numId w:val="69"/>
        </w:numPr>
        <w:contextualSpacing w:val="0"/>
        <w:jc w:val="both"/>
        <w:rPr>
          <w:rFonts w:ascii="Garamond" w:hAnsi="Garamond"/>
          <w:lang w:val="pt-PT"/>
        </w:rPr>
      </w:pPr>
      <w:r w:rsidRPr="001C50C8">
        <w:rPr>
          <w:rFonts w:ascii="Garamond" w:hAnsi="Garamond"/>
          <w:lang w:val="pt-PT"/>
        </w:rPr>
        <w:t xml:space="preserve">O número de medidas de </w:t>
      </w:r>
      <w:proofErr w:type="spellStart"/>
      <w:r w:rsidRPr="001C50C8">
        <w:rPr>
          <w:rFonts w:ascii="Garamond" w:hAnsi="Garamond"/>
          <w:lang w:val="pt-PT"/>
        </w:rPr>
        <w:t>coação</w:t>
      </w:r>
      <w:proofErr w:type="spellEnd"/>
      <w:r w:rsidRPr="001C50C8">
        <w:rPr>
          <w:rFonts w:ascii="Garamond" w:hAnsi="Garamond"/>
          <w:lang w:val="pt-PT"/>
        </w:rPr>
        <w:t xml:space="preserve"> aplicadas aos arguidos, especialmente sobre a aplicação da medida de proibição de permanência na casa de morada de família, quando arguido e vítima habitem a mesma residência, presumida como sempre necessária nos termos do artigo 34º da Lei </w:t>
      </w:r>
      <w:proofErr w:type="spellStart"/>
      <w:r w:rsidRPr="001C50C8">
        <w:rPr>
          <w:rFonts w:ascii="Garamond" w:hAnsi="Garamond"/>
          <w:lang w:val="pt-PT"/>
        </w:rPr>
        <w:t>VBG</w:t>
      </w:r>
      <w:proofErr w:type="spellEnd"/>
      <w:r w:rsidRPr="001C50C8">
        <w:rPr>
          <w:rFonts w:ascii="Garamond" w:hAnsi="Garamond"/>
          <w:lang w:val="pt-PT"/>
        </w:rPr>
        <w:t xml:space="preserve">. </w:t>
      </w:r>
    </w:p>
    <w:p w14:paraId="76DFB642" w14:textId="77777777" w:rsidR="00541FA6" w:rsidRDefault="00541FA6" w:rsidP="002A62A2">
      <w:pPr>
        <w:pStyle w:val="PargrafodaLista"/>
        <w:numPr>
          <w:ilvl w:val="0"/>
          <w:numId w:val="69"/>
        </w:numPr>
        <w:ind w:left="714" w:hanging="357"/>
        <w:contextualSpacing w:val="0"/>
        <w:jc w:val="both"/>
        <w:rPr>
          <w:rFonts w:ascii="Garamond" w:hAnsi="Garamond"/>
          <w:lang w:val="pt-PT"/>
        </w:rPr>
      </w:pPr>
      <w:r w:rsidRPr="001C50C8">
        <w:rPr>
          <w:rFonts w:ascii="Garamond" w:hAnsi="Garamond"/>
          <w:lang w:val="pt-PT"/>
        </w:rPr>
        <w:t>Assim sendo, tendo em conta a montagem em curso do Sistema de Informação da Justiça (</w:t>
      </w:r>
      <w:proofErr w:type="spellStart"/>
      <w:r w:rsidRPr="001C50C8">
        <w:rPr>
          <w:rFonts w:ascii="Garamond" w:hAnsi="Garamond"/>
          <w:lang w:val="pt-PT"/>
        </w:rPr>
        <w:t>SIJ</w:t>
      </w:r>
      <w:proofErr w:type="spellEnd"/>
      <w:r w:rsidRPr="001C50C8">
        <w:rPr>
          <w:rFonts w:ascii="Garamond" w:hAnsi="Garamond"/>
          <w:lang w:val="pt-PT"/>
        </w:rPr>
        <w:t xml:space="preserve">), é fundamental garantir que preencha as necessidades de informações dos vários </w:t>
      </w:r>
      <w:proofErr w:type="spellStart"/>
      <w:r w:rsidRPr="001C50C8">
        <w:rPr>
          <w:rFonts w:ascii="Garamond" w:hAnsi="Garamond"/>
          <w:lang w:val="pt-PT"/>
        </w:rPr>
        <w:t>atores</w:t>
      </w:r>
      <w:proofErr w:type="spellEnd"/>
      <w:r w:rsidRPr="001C50C8">
        <w:rPr>
          <w:rFonts w:ascii="Garamond" w:hAnsi="Garamond"/>
          <w:lang w:val="pt-PT"/>
        </w:rPr>
        <w:t xml:space="preserve"> em relação à </w:t>
      </w:r>
      <w:proofErr w:type="spellStart"/>
      <w:r w:rsidRPr="001C50C8">
        <w:rPr>
          <w:rFonts w:ascii="Garamond" w:hAnsi="Garamond"/>
          <w:lang w:val="pt-PT"/>
        </w:rPr>
        <w:t>VBG</w:t>
      </w:r>
      <w:proofErr w:type="spellEnd"/>
      <w:r w:rsidRPr="001C50C8">
        <w:rPr>
          <w:rFonts w:ascii="Garamond" w:hAnsi="Garamond"/>
          <w:lang w:val="pt-PT"/>
        </w:rPr>
        <w:t xml:space="preserve">, inclusive sobre </w:t>
      </w:r>
      <w:proofErr w:type="spellStart"/>
      <w:r w:rsidRPr="001C50C8">
        <w:rPr>
          <w:rFonts w:ascii="Garamond" w:hAnsi="Garamond"/>
          <w:lang w:val="pt-PT"/>
        </w:rPr>
        <w:t>ações</w:t>
      </w:r>
      <w:proofErr w:type="spellEnd"/>
      <w:r w:rsidRPr="001C50C8">
        <w:rPr>
          <w:rFonts w:ascii="Garamond" w:hAnsi="Garamond"/>
          <w:lang w:val="pt-PT"/>
        </w:rPr>
        <w:t xml:space="preserve"> conexas ao processo crime de </w:t>
      </w:r>
      <w:proofErr w:type="spellStart"/>
      <w:r w:rsidRPr="001C50C8">
        <w:rPr>
          <w:rFonts w:ascii="Garamond" w:hAnsi="Garamond"/>
          <w:lang w:val="pt-PT"/>
        </w:rPr>
        <w:t>VBG</w:t>
      </w:r>
      <w:proofErr w:type="spellEnd"/>
      <w:r w:rsidRPr="001C50C8">
        <w:rPr>
          <w:rFonts w:ascii="Garamond" w:hAnsi="Garamond"/>
          <w:lang w:val="pt-PT"/>
        </w:rPr>
        <w:t xml:space="preserve"> (</w:t>
      </w:r>
      <w:proofErr w:type="spellStart"/>
      <w:r w:rsidRPr="001C50C8">
        <w:rPr>
          <w:rFonts w:ascii="Garamond" w:hAnsi="Garamond"/>
          <w:lang w:val="pt-PT"/>
        </w:rPr>
        <w:t>ações</w:t>
      </w:r>
      <w:proofErr w:type="spellEnd"/>
      <w:r w:rsidRPr="001C50C8">
        <w:rPr>
          <w:rFonts w:ascii="Garamond" w:hAnsi="Garamond"/>
          <w:lang w:val="pt-PT"/>
        </w:rPr>
        <w:t xml:space="preserve"> de alimentos, divórcio, reconhecimento dos direitos decorrentes da cessação de união de facto, encaminhamento de homens ao Programa de Reinserção)</w:t>
      </w:r>
    </w:p>
    <w:p w14:paraId="7F5FE926" w14:textId="77777777" w:rsidR="00541FA6" w:rsidRDefault="00541FA6" w:rsidP="002A62A2">
      <w:pPr>
        <w:pStyle w:val="PargrafodaLista"/>
        <w:numPr>
          <w:ilvl w:val="0"/>
          <w:numId w:val="69"/>
        </w:numPr>
        <w:ind w:left="714" w:hanging="357"/>
        <w:contextualSpacing w:val="0"/>
        <w:jc w:val="both"/>
        <w:rPr>
          <w:rFonts w:ascii="Garamond" w:hAnsi="Garamond"/>
          <w:lang w:val="pt-PT"/>
        </w:rPr>
      </w:pPr>
      <w:r w:rsidRPr="001C50C8">
        <w:rPr>
          <w:rFonts w:ascii="Garamond" w:hAnsi="Garamond"/>
          <w:lang w:val="pt-PT"/>
        </w:rPr>
        <w:t xml:space="preserve">Poderá ser necessário, enquanto o </w:t>
      </w:r>
      <w:proofErr w:type="spellStart"/>
      <w:r w:rsidRPr="001C50C8">
        <w:rPr>
          <w:rFonts w:ascii="Garamond" w:hAnsi="Garamond"/>
          <w:lang w:val="pt-PT"/>
        </w:rPr>
        <w:t>SIJ</w:t>
      </w:r>
      <w:proofErr w:type="spellEnd"/>
      <w:r w:rsidRPr="001C50C8">
        <w:rPr>
          <w:rFonts w:ascii="Garamond" w:hAnsi="Garamond"/>
          <w:lang w:val="pt-PT"/>
        </w:rPr>
        <w:t xml:space="preserve"> não esteja operacional em todas as Comarcas, trabalhar sobre o sistema de recolha de dados existente actualmente, acordando os elementos a publicar nos relatórios anuais do </w:t>
      </w:r>
      <w:proofErr w:type="spellStart"/>
      <w:r w:rsidRPr="001C50C8">
        <w:rPr>
          <w:rFonts w:ascii="Garamond" w:hAnsi="Garamond"/>
          <w:lang w:val="pt-PT"/>
        </w:rPr>
        <w:t>CSMJ</w:t>
      </w:r>
      <w:proofErr w:type="spellEnd"/>
      <w:r w:rsidRPr="001C50C8">
        <w:rPr>
          <w:rFonts w:ascii="Garamond" w:hAnsi="Garamond"/>
          <w:lang w:val="pt-PT"/>
        </w:rPr>
        <w:t xml:space="preserve"> e </w:t>
      </w:r>
      <w:proofErr w:type="spellStart"/>
      <w:r w:rsidRPr="001C50C8">
        <w:rPr>
          <w:rFonts w:ascii="Garamond" w:hAnsi="Garamond"/>
          <w:lang w:val="pt-PT"/>
        </w:rPr>
        <w:t>CSMP</w:t>
      </w:r>
      <w:proofErr w:type="spellEnd"/>
      <w:r w:rsidRPr="001C50C8">
        <w:rPr>
          <w:rFonts w:ascii="Garamond" w:hAnsi="Garamond"/>
          <w:lang w:val="pt-PT"/>
        </w:rPr>
        <w:t xml:space="preserve"> ou relatórios específicos</w:t>
      </w:r>
    </w:p>
    <w:p w14:paraId="1D805BA8" w14:textId="77777777" w:rsidR="00541FA6" w:rsidRDefault="00541FA6" w:rsidP="002A62A2">
      <w:pPr>
        <w:pStyle w:val="PargrafodaLista"/>
        <w:numPr>
          <w:ilvl w:val="0"/>
          <w:numId w:val="69"/>
        </w:numPr>
        <w:ind w:left="714" w:hanging="357"/>
        <w:contextualSpacing w:val="0"/>
        <w:jc w:val="both"/>
        <w:rPr>
          <w:rFonts w:ascii="Garamond" w:hAnsi="Garamond"/>
          <w:lang w:val="pt-PT"/>
        </w:rPr>
      </w:pPr>
      <w:r>
        <w:rPr>
          <w:rFonts w:ascii="Garamond" w:hAnsi="Garamond"/>
          <w:lang w:val="pt-PT"/>
        </w:rPr>
        <w:t xml:space="preserve">O </w:t>
      </w:r>
      <w:proofErr w:type="spellStart"/>
      <w:r>
        <w:rPr>
          <w:rFonts w:ascii="Garamond" w:hAnsi="Garamond"/>
          <w:lang w:val="pt-PT"/>
        </w:rPr>
        <w:t>SIJ</w:t>
      </w:r>
      <w:proofErr w:type="spellEnd"/>
      <w:r>
        <w:rPr>
          <w:rFonts w:ascii="Garamond" w:hAnsi="Garamond"/>
          <w:lang w:val="pt-PT"/>
        </w:rPr>
        <w:t xml:space="preserve">, bem como o SIGO deverão permitir, como previsto, que as pessoas com queixas e processos judiciais em curso tenham acesso a informações sobre o seu andamento; e a publicação, acessível ao público em geral (ex. websites da magistratura), de dados sobre o desfecho das queixas e processos judiciais por </w:t>
      </w:r>
      <w:proofErr w:type="spellStart"/>
      <w:r>
        <w:rPr>
          <w:rFonts w:ascii="Garamond" w:hAnsi="Garamond"/>
          <w:lang w:val="pt-PT"/>
        </w:rPr>
        <w:t>VBG</w:t>
      </w:r>
      <w:proofErr w:type="spellEnd"/>
      <w:r>
        <w:rPr>
          <w:rFonts w:ascii="Garamond" w:hAnsi="Garamond"/>
          <w:lang w:val="pt-PT"/>
        </w:rPr>
        <w:t>.</w:t>
      </w:r>
      <w:r>
        <w:rPr>
          <w:rStyle w:val="Refdenotaderodap"/>
          <w:rFonts w:ascii="Garamond" w:hAnsi="Garamond"/>
          <w:lang w:val="pt-PT"/>
        </w:rPr>
        <w:footnoteReference w:id="65"/>
      </w:r>
      <w:r>
        <w:rPr>
          <w:rFonts w:ascii="Garamond" w:hAnsi="Garamond"/>
          <w:lang w:val="pt-PT"/>
        </w:rPr>
        <w:t xml:space="preserve">   </w:t>
      </w:r>
    </w:p>
    <w:p w14:paraId="6048F174" w14:textId="77777777" w:rsidR="00541FA6" w:rsidRPr="00E27EBC" w:rsidRDefault="00541FA6" w:rsidP="00541FA6">
      <w:pPr>
        <w:pStyle w:val="PargrafodaLista"/>
        <w:ind w:left="714"/>
        <w:contextualSpacing w:val="0"/>
        <w:jc w:val="both"/>
        <w:rPr>
          <w:rFonts w:ascii="Garamond" w:hAnsi="Garamond"/>
          <w:lang w:val="pt-PT"/>
        </w:rPr>
      </w:pPr>
    </w:p>
    <w:p w14:paraId="6963DC89" w14:textId="77777777" w:rsidR="00541FA6" w:rsidRPr="00BE46E6" w:rsidRDefault="00541FA6" w:rsidP="00541FA6">
      <w:pPr>
        <w:jc w:val="both"/>
        <w:rPr>
          <w:rFonts w:ascii="Garamond" w:hAnsi="Garamond"/>
          <w:lang w:val="pt-PT"/>
        </w:rPr>
      </w:pPr>
      <w:r w:rsidRPr="00BE46E6">
        <w:rPr>
          <w:rFonts w:ascii="Garamond" w:hAnsi="Garamond"/>
          <w:lang w:val="pt-PT"/>
        </w:rPr>
        <w:t xml:space="preserve">No ano judicial 2017/2018 deram entrada nos serviços do Ministério Público a nível nacional 823 crimes sexuais, mais 300 do que no ano judicial anterior, tendo sido resolvidos 819, encontrando-se pendentes 1.780 processos desta natureza. Embora o relatório não identifique o sexo das vítimas, sabe-se que os crimes sexuais, nas suas várias tipologias, </w:t>
      </w:r>
      <w:proofErr w:type="spellStart"/>
      <w:r w:rsidRPr="00BE46E6">
        <w:rPr>
          <w:rFonts w:ascii="Garamond" w:hAnsi="Garamond"/>
          <w:lang w:val="pt-PT"/>
        </w:rPr>
        <w:t>afetam</w:t>
      </w:r>
      <w:proofErr w:type="spellEnd"/>
      <w:r w:rsidRPr="00BE46E6">
        <w:rPr>
          <w:rFonts w:ascii="Garamond" w:hAnsi="Garamond"/>
          <w:lang w:val="pt-PT"/>
        </w:rPr>
        <w:t xml:space="preserve"> maioritariamente meninas e mulheres (na ordem dos 93% no caso das crianças).</w:t>
      </w:r>
      <w:r w:rsidRPr="00705EA1">
        <w:rPr>
          <w:rStyle w:val="Refdenotaderodap"/>
          <w:rFonts w:ascii="Garamond" w:hAnsi="Garamond"/>
        </w:rPr>
        <w:footnoteReference w:id="66"/>
      </w:r>
      <w:r w:rsidRPr="00BE46E6">
        <w:rPr>
          <w:rFonts w:ascii="Garamond" w:hAnsi="Garamond"/>
          <w:lang w:val="pt-PT"/>
        </w:rPr>
        <w:t xml:space="preserve"> O </w:t>
      </w:r>
      <w:r w:rsidRPr="00BE46E6">
        <w:rPr>
          <w:rFonts w:ascii="Garamond" w:hAnsi="Garamond"/>
          <w:i/>
          <w:iCs/>
          <w:lang w:val="pt-PT"/>
        </w:rPr>
        <w:t>Estudo sobre Abuso e Exploração Sexual de Crianças e Adolescentes em Cabo Verde</w:t>
      </w:r>
      <w:r w:rsidRPr="00BE46E6">
        <w:rPr>
          <w:rFonts w:ascii="Garamond" w:hAnsi="Garamond"/>
          <w:lang w:val="pt-PT"/>
        </w:rPr>
        <w:t xml:space="preserve"> (2015) indica que </w:t>
      </w:r>
      <w:r w:rsidRPr="00BE46E6">
        <w:rPr>
          <w:rFonts w:ascii="Garamond" w:hAnsi="Garamond"/>
          <w:i/>
          <w:iCs/>
          <w:lang w:val="pt-PT"/>
        </w:rPr>
        <w:t>«…a questão de violência contra a mulher, incluindo a violência sexual, ultrapassa a questão etária e, portanto, deve ser enquadrada como uma questão de género</w:t>
      </w:r>
      <w:r w:rsidRPr="00BE46E6">
        <w:rPr>
          <w:rFonts w:ascii="Garamond" w:hAnsi="Garamond"/>
          <w:lang w:val="pt-PT"/>
        </w:rPr>
        <w:t xml:space="preserve">» (p.33). No sentido de reforçar o quadro legal, foi elaborada uma proposta de Lei específica sobre Abuso e Exploração de Crianças e Adolescentes, sob a coordenação da 1ª Comissão Especializada da AN e do </w:t>
      </w:r>
      <w:proofErr w:type="spellStart"/>
      <w:r w:rsidRPr="00BE46E6">
        <w:rPr>
          <w:rFonts w:ascii="Garamond" w:hAnsi="Garamond"/>
          <w:lang w:val="pt-PT"/>
        </w:rPr>
        <w:t>ICCA</w:t>
      </w:r>
      <w:proofErr w:type="spellEnd"/>
      <w:r w:rsidRPr="00BE46E6">
        <w:rPr>
          <w:rFonts w:ascii="Garamond" w:hAnsi="Garamond"/>
          <w:lang w:val="pt-PT"/>
        </w:rPr>
        <w:t>, em vias de ser socializada.</w:t>
      </w:r>
    </w:p>
    <w:p w14:paraId="3710551A" w14:textId="77777777" w:rsidR="00541FA6" w:rsidRPr="00705EA1" w:rsidRDefault="00541FA6" w:rsidP="002A62A2">
      <w:pPr>
        <w:pStyle w:val="PargrafodaLista"/>
        <w:numPr>
          <w:ilvl w:val="0"/>
          <w:numId w:val="69"/>
        </w:numPr>
        <w:jc w:val="both"/>
        <w:rPr>
          <w:rFonts w:ascii="Garamond" w:hAnsi="Garamond"/>
          <w:lang w:val="pt-PT"/>
        </w:rPr>
      </w:pPr>
      <w:r w:rsidRPr="00705EA1">
        <w:rPr>
          <w:rFonts w:ascii="Garamond" w:hAnsi="Garamond"/>
          <w:lang w:val="pt-PT"/>
        </w:rPr>
        <w:t>Será importante assegurar a abordagem de género na discussão da proposta de Lei.</w:t>
      </w:r>
    </w:p>
    <w:p w14:paraId="089D9E6A" w14:textId="77777777" w:rsidR="00541FA6" w:rsidRDefault="00541FA6" w:rsidP="002A62A2">
      <w:pPr>
        <w:pStyle w:val="PargrafodaLista"/>
        <w:numPr>
          <w:ilvl w:val="0"/>
          <w:numId w:val="69"/>
        </w:numPr>
        <w:jc w:val="both"/>
        <w:rPr>
          <w:rFonts w:ascii="Garamond" w:hAnsi="Garamond"/>
          <w:lang w:val="pt-PT"/>
        </w:rPr>
      </w:pPr>
      <w:r>
        <w:rPr>
          <w:rFonts w:ascii="Garamond" w:hAnsi="Garamond"/>
          <w:lang w:val="pt-PT"/>
        </w:rPr>
        <w:t xml:space="preserve">Será igualmente importante </w:t>
      </w:r>
      <w:r w:rsidRPr="00705EA1">
        <w:rPr>
          <w:rFonts w:ascii="Garamond" w:hAnsi="Garamond"/>
          <w:lang w:val="pt-PT"/>
        </w:rPr>
        <w:t xml:space="preserve">desenvolver colaboração institucional com o </w:t>
      </w:r>
      <w:proofErr w:type="spellStart"/>
      <w:r w:rsidRPr="00705EA1">
        <w:rPr>
          <w:rFonts w:ascii="Garamond" w:hAnsi="Garamond"/>
          <w:lang w:val="pt-PT"/>
        </w:rPr>
        <w:t>ICCA</w:t>
      </w:r>
      <w:proofErr w:type="spellEnd"/>
      <w:r w:rsidRPr="00705EA1">
        <w:rPr>
          <w:rFonts w:ascii="Garamond" w:hAnsi="Garamond"/>
          <w:lang w:val="pt-PT"/>
        </w:rPr>
        <w:t xml:space="preserve">, para a </w:t>
      </w:r>
      <w:r w:rsidRPr="001C50C8">
        <w:rPr>
          <w:rFonts w:ascii="Garamond" w:hAnsi="Garamond"/>
          <w:lang w:val="pt-PT"/>
        </w:rPr>
        <w:t xml:space="preserve">realização de uma auditoria de género, para que a implementação do Plano Nacional de Combate à Violência Sexual contra Crianças e Adolescentes (2017-2019), e seguintes, integrem uma abordagem de género (medida que fará parte do Eixo </w:t>
      </w:r>
      <w:r w:rsidRPr="001C50C8">
        <w:rPr>
          <w:rFonts w:ascii="Garamond" w:hAnsi="Garamond"/>
          <w:highlight w:val="yellow"/>
          <w:lang w:val="pt-PT"/>
        </w:rPr>
        <w:t>6</w:t>
      </w:r>
      <w:r w:rsidRPr="001C50C8">
        <w:rPr>
          <w:rFonts w:ascii="Garamond" w:hAnsi="Garamond"/>
          <w:lang w:val="pt-PT"/>
        </w:rPr>
        <w:t>).</w:t>
      </w:r>
    </w:p>
    <w:p w14:paraId="21D3056D" w14:textId="77777777" w:rsidR="00541FA6" w:rsidRDefault="00541FA6" w:rsidP="00541FA6">
      <w:pPr>
        <w:pStyle w:val="PargrafodaLista"/>
        <w:jc w:val="both"/>
        <w:rPr>
          <w:rFonts w:ascii="Garamond" w:hAnsi="Garamond"/>
          <w:lang w:val="pt-PT"/>
        </w:rPr>
      </w:pPr>
    </w:p>
    <w:p w14:paraId="3783F3ED" w14:textId="77777777" w:rsidR="00541FA6" w:rsidRPr="00705EA1" w:rsidRDefault="00541FA6" w:rsidP="002A62A2">
      <w:pPr>
        <w:pStyle w:val="PargrafodaLista"/>
        <w:numPr>
          <w:ilvl w:val="0"/>
          <w:numId w:val="68"/>
        </w:numPr>
        <w:ind w:left="454" w:hanging="454"/>
        <w:contextualSpacing w:val="0"/>
        <w:jc w:val="both"/>
        <w:rPr>
          <w:rFonts w:ascii="Garamond" w:hAnsi="Garamond"/>
          <w:b/>
          <w:bCs/>
          <w:lang w:val="pt-PT"/>
        </w:rPr>
      </w:pPr>
      <w:r w:rsidRPr="00705EA1">
        <w:rPr>
          <w:rFonts w:ascii="Garamond" w:hAnsi="Garamond"/>
          <w:b/>
          <w:bCs/>
          <w:lang w:val="pt-PT"/>
        </w:rPr>
        <w:t xml:space="preserve">Reclusos acusados ou condenados por </w:t>
      </w:r>
      <w:proofErr w:type="spellStart"/>
      <w:r w:rsidRPr="00705EA1">
        <w:rPr>
          <w:rFonts w:ascii="Garamond" w:hAnsi="Garamond"/>
          <w:b/>
          <w:bCs/>
          <w:lang w:val="pt-PT"/>
        </w:rPr>
        <w:t>VBG</w:t>
      </w:r>
      <w:proofErr w:type="spellEnd"/>
      <w:r w:rsidRPr="00705EA1">
        <w:rPr>
          <w:rFonts w:ascii="Garamond" w:hAnsi="Garamond"/>
          <w:b/>
          <w:bCs/>
          <w:lang w:val="pt-PT"/>
        </w:rPr>
        <w:t xml:space="preserve"> e crimes sexuais</w:t>
      </w:r>
    </w:p>
    <w:p w14:paraId="5C318FF5" w14:textId="77777777" w:rsidR="00541FA6" w:rsidRDefault="00541FA6" w:rsidP="00541FA6">
      <w:pPr>
        <w:jc w:val="both"/>
        <w:rPr>
          <w:rFonts w:ascii="Garamond" w:hAnsi="Garamond"/>
          <w:lang w:val="pt-PT"/>
        </w:rPr>
      </w:pPr>
      <w:r w:rsidRPr="00BE46E6">
        <w:rPr>
          <w:rFonts w:ascii="Garamond" w:hAnsi="Garamond"/>
          <w:lang w:val="pt-PT"/>
        </w:rPr>
        <w:t>Relativamente ao cumprimento de penas,</w:t>
      </w:r>
      <w:r w:rsidRPr="00705EA1">
        <w:rPr>
          <w:rStyle w:val="Refdenotaderodap"/>
          <w:rFonts w:ascii="Garamond" w:hAnsi="Garamond"/>
        </w:rPr>
        <w:footnoteReference w:id="67"/>
      </w:r>
      <w:r w:rsidRPr="00BE46E6">
        <w:rPr>
          <w:rFonts w:ascii="Garamond" w:hAnsi="Garamond"/>
          <w:lang w:val="pt-PT"/>
        </w:rPr>
        <w:t xml:space="preserve"> o </w:t>
      </w:r>
      <w:r w:rsidRPr="00BE46E6">
        <w:rPr>
          <w:rFonts w:ascii="Garamond" w:hAnsi="Garamond"/>
          <w:i/>
          <w:iCs/>
          <w:lang w:val="pt-PT"/>
        </w:rPr>
        <w:t>Iº Recenseamento Prisional (2018)</w:t>
      </w:r>
      <w:r w:rsidRPr="00BE46E6">
        <w:rPr>
          <w:rFonts w:ascii="Garamond" w:hAnsi="Garamond"/>
          <w:lang w:val="pt-PT"/>
        </w:rPr>
        <w:t xml:space="preserve"> mostra que 5,5% dos </w:t>
      </w:r>
      <w:proofErr w:type="spellStart"/>
      <w:r w:rsidRPr="00BE46E6">
        <w:rPr>
          <w:rFonts w:ascii="Garamond" w:hAnsi="Garamond"/>
          <w:lang w:val="pt-PT"/>
        </w:rPr>
        <w:t>efetivos</w:t>
      </w:r>
      <w:proofErr w:type="spellEnd"/>
      <w:r w:rsidRPr="00BE46E6">
        <w:rPr>
          <w:rFonts w:ascii="Garamond" w:hAnsi="Garamond"/>
          <w:lang w:val="pt-PT"/>
        </w:rPr>
        <w:t xml:space="preserve"> dos estabelecimentos prisionais em Cabo Verde estão presos por crimes de </w:t>
      </w:r>
      <w:proofErr w:type="spellStart"/>
      <w:r w:rsidRPr="00BE46E6">
        <w:rPr>
          <w:rFonts w:ascii="Garamond" w:hAnsi="Garamond"/>
          <w:lang w:val="pt-PT"/>
        </w:rPr>
        <w:t>VBG</w:t>
      </w:r>
      <w:proofErr w:type="spellEnd"/>
      <w:r w:rsidRPr="00BE46E6">
        <w:rPr>
          <w:rFonts w:ascii="Garamond" w:hAnsi="Garamond"/>
          <w:lang w:val="pt-PT"/>
        </w:rPr>
        <w:t xml:space="preserve"> (86 pessoas, 85 homens e 1 mulher) e 13,9% por crimes sexuais (218 homens).</w:t>
      </w:r>
      <w:r w:rsidRPr="00705EA1">
        <w:rPr>
          <w:rStyle w:val="Refdenotaderodap"/>
          <w:rFonts w:ascii="Garamond" w:hAnsi="Garamond"/>
        </w:rPr>
        <w:footnoteReference w:id="68"/>
      </w:r>
      <w:r w:rsidRPr="00BE46E6">
        <w:rPr>
          <w:rFonts w:ascii="Garamond" w:hAnsi="Garamond"/>
          <w:lang w:val="pt-PT"/>
        </w:rPr>
        <w:t xml:space="preserve"> Na Cadeia Regional de Santo Antão quase metade dos reclusos (num total de 25) são acusados ou condenados por crimes sexuais (24%) e crime de </w:t>
      </w:r>
      <w:proofErr w:type="spellStart"/>
      <w:r w:rsidRPr="00BE46E6">
        <w:rPr>
          <w:rFonts w:ascii="Garamond" w:hAnsi="Garamond"/>
          <w:lang w:val="pt-PT"/>
        </w:rPr>
        <w:t>VBG</w:t>
      </w:r>
      <w:proofErr w:type="spellEnd"/>
      <w:r w:rsidRPr="00BE46E6">
        <w:rPr>
          <w:rFonts w:ascii="Garamond" w:hAnsi="Garamond"/>
          <w:lang w:val="pt-PT"/>
        </w:rPr>
        <w:t xml:space="preserve"> (24%); cerca de 25% dos reclusos da Cadeia Regional do Fogo (num total de 64) são acusados ou condenados por crimes </w:t>
      </w:r>
      <w:proofErr w:type="spellStart"/>
      <w:r w:rsidRPr="00BE46E6">
        <w:rPr>
          <w:rFonts w:ascii="Garamond" w:hAnsi="Garamond"/>
          <w:lang w:val="pt-PT"/>
        </w:rPr>
        <w:t>VBG</w:t>
      </w:r>
      <w:proofErr w:type="spellEnd"/>
      <w:r w:rsidRPr="00BE46E6">
        <w:rPr>
          <w:rFonts w:ascii="Garamond" w:hAnsi="Garamond"/>
          <w:lang w:val="pt-PT"/>
        </w:rPr>
        <w:t xml:space="preserve">; e a Cadeia Regional do Sal (de um total de 116 reclusos) apresenta uma incidência de 23,3% de reclusos acusados ou condenados por crimes sexuais. Em termos de números absolutos, a Cadeia Central da Praia, a maior do país, tem o maior número de reclusos por </w:t>
      </w:r>
      <w:proofErr w:type="spellStart"/>
      <w:r w:rsidRPr="00BE46E6">
        <w:rPr>
          <w:rFonts w:ascii="Garamond" w:hAnsi="Garamond"/>
          <w:lang w:val="pt-PT"/>
        </w:rPr>
        <w:t>VBG</w:t>
      </w:r>
      <w:proofErr w:type="spellEnd"/>
      <w:r w:rsidRPr="00BE46E6">
        <w:rPr>
          <w:rFonts w:ascii="Garamond" w:hAnsi="Garamond"/>
          <w:lang w:val="pt-PT"/>
        </w:rPr>
        <w:t xml:space="preserve"> e crimes sexuais (respectivamente 46 e 143, de um total de 1.112 reclusos), não obstante outras tipologias de crime serem proporcionalmente mais elevadas. Estes dados são expressivos: globalmente quase 1 em cada 5 reclusos (19,4%) responde por um destes dois crimes, cometidos na sua quase totalidade contra mulheres e meninas, enraizados em discriminação baseada no género, com relações de poder desiguais. São, contudo, apenas a ponta do icebergue, como se depreende dos dados acima referenciados (queixas recebidas </w:t>
      </w:r>
      <w:proofErr w:type="spellStart"/>
      <w:r w:rsidRPr="00BE46E6">
        <w:rPr>
          <w:rFonts w:ascii="Garamond" w:hAnsi="Garamond"/>
          <w:lang w:val="pt-PT"/>
        </w:rPr>
        <w:t>pela</w:t>
      </w:r>
      <w:proofErr w:type="spellEnd"/>
      <w:r w:rsidRPr="00BE46E6">
        <w:rPr>
          <w:rFonts w:ascii="Garamond" w:hAnsi="Garamond"/>
          <w:lang w:val="pt-PT"/>
        </w:rPr>
        <w:t xml:space="preserve"> PN</w:t>
      </w:r>
      <w:r>
        <w:rPr>
          <w:rFonts w:ascii="Garamond" w:hAnsi="Garamond"/>
          <w:lang w:val="pt-PT"/>
        </w:rPr>
        <w:t xml:space="preserve">, </w:t>
      </w:r>
      <w:r w:rsidRPr="00BE46E6">
        <w:rPr>
          <w:rFonts w:ascii="Garamond" w:hAnsi="Garamond"/>
          <w:lang w:val="pt-PT"/>
        </w:rPr>
        <w:t>processos entrados nas Procuradorias</w:t>
      </w:r>
      <w:r>
        <w:rPr>
          <w:rFonts w:ascii="Garamond" w:hAnsi="Garamond"/>
          <w:lang w:val="pt-PT"/>
        </w:rPr>
        <w:t xml:space="preserve">, dados do </w:t>
      </w:r>
      <w:proofErr w:type="spellStart"/>
      <w:r>
        <w:rPr>
          <w:rFonts w:ascii="Garamond" w:hAnsi="Garamond"/>
          <w:lang w:val="pt-PT"/>
        </w:rPr>
        <w:t>IDSR</w:t>
      </w:r>
      <w:proofErr w:type="spellEnd"/>
      <w:r>
        <w:rPr>
          <w:rFonts w:ascii="Garamond" w:hAnsi="Garamond"/>
          <w:lang w:val="pt-PT"/>
        </w:rPr>
        <w:t xml:space="preserve"> III</w:t>
      </w:r>
      <w:r w:rsidRPr="00BE46E6">
        <w:rPr>
          <w:rFonts w:ascii="Garamond" w:hAnsi="Garamond"/>
          <w:lang w:val="pt-PT"/>
        </w:rPr>
        <w:t>).</w:t>
      </w:r>
      <w:bookmarkStart w:id="64" w:name="_Hlk20742737"/>
    </w:p>
    <w:p w14:paraId="746C8111" w14:textId="77777777" w:rsidR="00541FA6" w:rsidRDefault="00541FA6" w:rsidP="00541FA6">
      <w:pPr>
        <w:jc w:val="both"/>
        <w:rPr>
          <w:rFonts w:ascii="Garamond" w:hAnsi="Garamond"/>
          <w:lang w:val="pt-PT"/>
        </w:rPr>
      </w:pPr>
    </w:p>
    <w:bookmarkEnd w:id="64"/>
    <w:p w14:paraId="01A06BEE" w14:textId="77777777" w:rsidR="00541FA6" w:rsidRPr="00705EA1" w:rsidRDefault="00541FA6" w:rsidP="002A62A2">
      <w:pPr>
        <w:pStyle w:val="PargrafodaLista"/>
        <w:numPr>
          <w:ilvl w:val="0"/>
          <w:numId w:val="68"/>
        </w:numPr>
        <w:ind w:left="454" w:hanging="454"/>
        <w:contextualSpacing w:val="0"/>
        <w:jc w:val="both"/>
        <w:rPr>
          <w:rFonts w:ascii="Garamond" w:hAnsi="Garamond"/>
          <w:b/>
          <w:bCs/>
          <w:lang w:val="pt-PT"/>
        </w:rPr>
      </w:pPr>
      <w:r w:rsidRPr="00705EA1">
        <w:rPr>
          <w:rFonts w:ascii="Garamond" w:hAnsi="Garamond"/>
          <w:b/>
          <w:bCs/>
          <w:lang w:val="pt-PT"/>
        </w:rPr>
        <w:t xml:space="preserve">Mulheres vítimas mortais de </w:t>
      </w:r>
      <w:proofErr w:type="spellStart"/>
      <w:r w:rsidRPr="00705EA1">
        <w:rPr>
          <w:rFonts w:ascii="Garamond" w:hAnsi="Garamond"/>
          <w:b/>
          <w:bCs/>
          <w:lang w:val="pt-PT"/>
        </w:rPr>
        <w:t>VBG</w:t>
      </w:r>
      <w:proofErr w:type="spellEnd"/>
      <w:r>
        <w:rPr>
          <w:rStyle w:val="Refdenotaderodap"/>
          <w:rFonts w:ascii="Garamond" w:hAnsi="Garamond"/>
          <w:b/>
          <w:bCs/>
          <w:lang w:val="pt-PT"/>
        </w:rPr>
        <w:footnoteReference w:id="69"/>
      </w:r>
      <w:r w:rsidRPr="00705EA1">
        <w:rPr>
          <w:rFonts w:ascii="Garamond" w:hAnsi="Garamond"/>
          <w:b/>
          <w:bCs/>
          <w:lang w:val="pt-PT"/>
        </w:rPr>
        <w:t xml:space="preserve"> </w:t>
      </w:r>
    </w:p>
    <w:p w14:paraId="02593B98" w14:textId="77777777" w:rsidR="00541FA6" w:rsidRDefault="00541FA6" w:rsidP="00541FA6">
      <w:pPr>
        <w:spacing w:after="240"/>
        <w:jc w:val="both"/>
        <w:rPr>
          <w:rFonts w:ascii="Garamond" w:hAnsi="Garamond"/>
          <w:lang w:val="pt-PT"/>
        </w:rPr>
      </w:pPr>
      <w:bookmarkStart w:id="65" w:name="_Hlk7783046"/>
      <w:r w:rsidRPr="00BE46E6">
        <w:rPr>
          <w:rFonts w:ascii="Garamond" w:hAnsi="Garamond"/>
          <w:lang w:val="pt-PT"/>
        </w:rPr>
        <w:t xml:space="preserve">Em 2018 registaram-se 8 casos </w:t>
      </w:r>
      <w:r>
        <w:rPr>
          <w:rFonts w:ascii="Garamond" w:hAnsi="Garamond"/>
          <w:lang w:val="pt-PT"/>
        </w:rPr>
        <w:t xml:space="preserve">de </w:t>
      </w:r>
      <w:r w:rsidRPr="00314601">
        <w:rPr>
          <w:rFonts w:ascii="Garamond" w:hAnsi="Garamond"/>
          <w:lang w:val="pt-PT"/>
        </w:rPr>
        <w:t>assassinato</w:t>
      </w:r>
      <w:r>
        <w:rPr>
          <w:rFonts w:ascii="Garamond" w:hAnsi="Garamond"/>
          <w:lang w:val="pt-PT"/>
        </w:rPr>
        <w:t xml:space="preserve"> de mulheres no contexto de uma relação íntima, actual ou em </w:t>
      </w:r>
      <w:proofErr w:type="spellStart"/>
      <w:r>
        <w:rPr>
          <w:rFonts w:ascii="Garamond" w:hAnsi="Garamond"/>
          <w:lang w:val="pt-PT"/>
        </w:rPr>
        <w:t>rutura</w:t>
      </w:r>
      <w:proofErr w:type="spellEnd"/>
      <w:r>
        <w:rPr>
          <w:rFonts w:ascii="Garamond" w:hAnsi="Garamond"/>
          <w:lang w:val="pt-PT"/>
        </w:rPr>
        <w:t xml:space="preserve">, o desfecho mais trágico da </w:t>
      </w:r>
      <w:proofErr w:type="spellStart"/>
      <w:r>
        <w:rPr>
          <w:rFonts w:ascii="Garamond" w:hAnsi="Garamond"/>
          <w:lang w:val="pt-PT"/>
        </w:rPr>
        <w:t>VBG</w:t>
      </w:r>
      <w:proofErr w:type="spellEnd"/>
      <w:r w:rsidRPr="00BE46E6">
        <w:rPr>
          <w:rFonts w:ascii="Garamond" w:hAnsi="Garamond"/>
          <w:lang w:val="pt-PT"/>
        </w:rPr>
        <w:t>: mais de metade das vítimas t</w:t>
      </w:r>
      <w:r>
        <w:rPr>
          <w:rFonts w:ascii="Garamond" w:hAnsi="Garamond"/>
          <w:lang w:val="pt-PT"/>
        </w:rPr>
        <w:t xml:space="preserve">inha </w:t>
      </w:r>
      <w:r w:rsidRPr="00BE46E6">
        <w:rPr>
          <w:rFonts w:ascii="Garamond" w:hAnsi="Garamond"/>
          <w:lang w:val="pt-PT"/>
        </w:rPr>
        <w:t xml:space="preserve">21 a 30 anos (63%) e </w:t>
      </w:r>
      <w:r>
        <w:rPr>
          <w:rFonts w:ascii="Garamond" w:hAnsi="Garamond"/>
          <w:lang w:val="pt-PT"/>
        </w:rPr>
        <w:t xml:space="preserve">a </w:t>
      </w:r>
      <w:r w:rsidRPr="00BE46E6">
        <w:rPr>
          <w:rFonts w:ascii="Garamond" w:hAnsi="Garamond"/>
          <w:lang w:val="pt-PT"/>
        </w:rPr>
        <w:t>maioria</w:t>
      </w:r>
      <w:r>
        <w:rPr>
          <w:rFonts w:ascii="Garamond" w:hAnsi="Garamond"/>
          <w:lang w:val="pt-PT"/>
        </w:rPr>
        <w:t xml:space="preserve"> dos casos ocorreram</w:t>
      </w:r>
      <w:r w:rsidRPr="00BE46E6">
        <w:rPr>
          <w:rFonts w:ascii="Garamond" w:hAnsi="Garamond"/>
          <w:lang w:val="pt-PT"/>
        </w:rPr>
        <w:t xml:space="preserve"> em momentos de separação de um ex-companheiro (63%). Em metade dos casos (4) </w:t>
      </w:r>
      <w:r>
        <w:rPr>
          <w:rFonts w:ascii="Garamond" w:hAnsi="Garamond"/>
          <w:lang w:val="pt-PT"/>
        </w:rPr>
        <w:t xml:space="preserve">o </w:t>
      </w:r>
      <w:proofErr w:type="gramStart"/>
      <w:r>
        <w:rPr>
          <w:rFonts w:ascii="Garamond" w:hAnsi="Garamond"/>
          <w:lang w:val="pt-PT"/>
        </w:rPr>
        <w:t xml:space="preserve">assassinato </w:t>
      </w:r>
      <w:r w:rsidRPr="00BE46E6">
        <w:rPr>
          <w:rFonts w:ascii="Garamond" w:hAnsi="Garamond"/>
          <w:lang w:val="pt-PT"/>
        </w:rPr>
        <w:t xml:space="preserve"> </w:t>
      </w:r>
      <w:r>
        <w:rPr>
          <w:rFonts w:ascii="Garamond" w:hAnsi="Garamond"/>
          <w:lang w:val="pt-PT"/>
        </w:rPr>
        <w:t>foi</w:t>
      </w:r>
      <w:proofErr w:type="gramEnd"/>
      <w:r w:rsidRPr="00BE46E6">
        <w:rPr>
          <w:rFonts w:ascii="Garamond" w:hAnsi="Garamond"/>
          <w:lang w:val="pt-PT"/>
        </w:rPr>
        <w:t xml:space="preserve"> seguido de tentativa de suicídio, consumada em 3 dos 4 casos. A maioria das vítimas não tinha denuncias prévias: apenas 1 das vítimas tinha um processo em andamento por </w:t>
      </w:r>
      <w:proofErr w:type="spellStart"/>
      <w:r w:rsidRPr="00BE46E6">
        <w:rPr>
          <w:rFonts w:ascii="Garamond" w:hAnsi="Garamond"/>
          <w:lang w:val="pt-PT"/>
        </w:rPr>
        <w:t>VBG</w:t>
      </w:r>
      <w:proofErr w:type="spellEnd"/>
      <w:r w:rsidRPr="00BE46E6">
        <w:rPr>
          <w:rFonts w:ascii="Garamond" w:hAnsi="Garamond"/>
          <w:lang w:val="pt-PT"/>
        </w:rPr>
        <w:t xml:space="preserve">. </w:t>
      </w:r>
      <w:bookmarkEnd w:id="65"/>
    </w:p>
    <w:p w14:paraId="344FD730" w14:textId="77777777" w:rsidR="00541FA6" w:rsidRPr="00C75CB7" w:rsidRDefault="00541FA6" w:rsidP="00541FA6">
      <w:pPr>
        <w:jc w:val="both"/>
        <w:rPr>
          <w:rFonts w:ascii="Garamond" w:hAnsi="Garamond"/>
          <w:lang w:val="pt-PT"/>
        </w:rPr>
      </w:pPr>
      <w:r>
        <w:rPr>
          <w:rFonts w:ascii="Garamond" w:hAnsi="Garamond"/>
          <w:lang w:val="pt-PT"/>
        </w:rPr>
        <w:t xml:space="preserve">O seguimento destes casos passou a ser feito a partir de 2018, através de um registo sistemático </w:t>
      </w:r>
      <w:proofErr w:type="spellStart"/>
      <w:r>
        <w:rPr>
          <w:rFonts w:ascii="Garamond" w:hAnsi="Garamond"/>
          <w:lang w:val="pt-PT"/>
        </w:rPr>
        <w:t>pela</w:t>
      </w:r>
      <w:proofErr w:type="spellEnd"/>
      <w:r>
        <w:rPr>
          <w:rFonts w:ascii="Garamond" w:hAnsi="Garamond"/>
          <w:lang w:val="pt-PT"/>
        </w:rPr>
        <w:t xml:space="preserve"> PN dos casos e características das vítimas, autores e sua relação. Pode-se ter uma ideia dos casos ocorridos em anos anteriores através dos casos noticiados </w:t>
      </w:r>
      <w:proofErr w:type="spellStart"/>
      <w:r>
        <w:rPr>
          <w:rFonts w:ascii="Garamond" w:hAnsi="Garamond"/>
          <w:lang w:val="pt-PT"/>
        </w:rPr>
        <w:t>pela</w:t>
      </w:r>
      <w:proofErr w:type="spellEnd"/>
      <w:r>
        <w:rPr>
          <w:rFonts w:ascii="Garamond" w:hAnsi="Garamond"/>
          <w:lang w:val="pt-PT"/>
        </w:rPr>
        <w:t xml:space="preserve"> comunicação social:</w:t>
      </w:r>
      <w:r>
        <w:rPr>
          <w:rStyle w:val="Refdenotaderodap"/>
          <w:rFonts w:ascii="Garamond" w:hAnsi="Garamond"/>
          <w:lang w:val="pt-PT"/>
        </w:rPr>
        <w:footnoteReference w:id="70"/>
      </w:r>
      <w:r>
        <w:rPr>
          <w:rFonts w:ascii="Garamond" w:hAnsi="Garamond"/>
          <w:lang w:val="pt-PT"/>
        </w:rPr>
        <w:t xml:space="preserve"> em 2016 e 2017 foram contabilizados 5 casos, e em 2019 1 caso.</w:t>
      </w:r>
    </w:p>
    <w:p w14:paraId="75FF2EC7" w14:textId="77777777" w:rsidR="00541FA6" w:rsidRPr="00D5491C" w:rsidRDefault="00541FA6" w:rsidP="002A62A2">
      <w:pPr>
        <w:pStyle w:val="PargrafodaLista"/>
        <w:numPr>
          <w:ilvl w:val="0"/>
          <w:numId w:val="70"/>
        </w:numPr>
        <w:spacing w:after="240"/>
        <w:ind w:left="714" w:hanging="357"/>
        <w:contextualSpacing w:val="0"/>
        <w:jc w:val="both"/>
        <w:rPr>
          <w:rFonts w:ascii="Garamond" w:hAnsi="Garamond"/>
          <w:lang w:val="pt-PT"/>
        </w:rPr>
      </w:pPr>
      <w:r>
        <w:rPr>
          <w:rFonts w:ascii="Garamond" w:hAnsi="Garamond"/>
          <w:lang w:val="pt-PT"/>
        </w:rPr>
        <w:t>A morte de mulheres perpetrada por uma companheiro ou ex-companheiro</w:t>
      </w:r>
      <w:r w:rsidRPr="00705EA1">
        <w:rPr>
          <w:rFonts w:ascii="Garamond" w:hAnsi="Garamond"/>
          <w:lang w:val="pt-PT"/>
        </w:rPr>
        <w:t xml:space="preserve"> não </w:t>
      </w:r>
      <w:r>
        <w:rPr>
          <w:rFonts w:ascii="Garamond" w:hAnsi="Garamond"/>
          <w:lang w:val="pt-PT"/>
        </w:rPr>
        <w:t xml:space="preserve">é </w:t>
      </w:r>
      <w:r w:rsidRPr="00705EA1">
        <w:rPr>
          <w:rFonts w:ascii="Garamond" w:hAnsi="Garamond"/>
          <w:lang w:val="pt-PT"/>
        </w:rPr>
        <w:t>um fenómeno novo</w:t>
      </w:r>
      <w:r>
        <w:rPr>
          <w:rFonts w:ascii="Garamond" w:hAnsi="Garamond"/>
          <w:lang w:val="pt-PT"/>
        </w:rPr>
        <w:t xml:space="preserve"> e o número de vítimas varia substancialmente de ano para ano, </w:t>
      </w:r>
      <w:proofErr w:type="spellStart"/>
      <w:r>
        <w:rPr>
          <w:rFonts w:ascii="Garamond" w:hAnsi="Garamond"/>
          <w:lang w:val="pt-PT"/>
        </w:rPr>
        <w:t>flutando</w:t>
      </w:r>
      <w:proofErr w:type="spellEnd"/>
      <w:r>
        <w:rPr>
          <w:rFonts w:ascii="Garamond" w:hAnsi="Garamond"/>
          <w:lang w:val="pt-PT"/>
        </w:rPr>
        <w:t xml:space="preserve"> entre mais ou menos casos; além disso vem</w:t>
      </w:r>
      <w:r w:rsidRPr="00705EA1">
        <w:rPr>
          <w:rFonts w:ascii="Garamond" w:hAnsi="Garamond"/>
          <w:lang w:val="pt-PT"/>
        </w:rPr>
        <w:t xml:space="preserve"> assumindo nov</w:t>
      </w:r>
      <w:r>
        <w:rPr>
          <w:rFonts w:ascii="Garamond" w:hAnsi="Garamond"/>
          <w:lang w:val="pt-PT"/>
        </w:rPr>
        <w:t xml:space="preserve">os </w:t>
      </w:r>
      <w:r w:rsidRPr="001C50C8">
        <w:rPr>
          <w:rFonts w:ascii="Garamond" w:hAnsi="Garamond"/>
          <w:lang w:val="pt-PT"/>
        </w:rPr>
        <w:t xml:space="preserve">contornos, </w:t>
      </w:r>
      <w:proofErr w:type="spellStart"/>
      <w:r w:rsidRPr="001C50C8">
        <w:rPr>
          <w:rFonts w:ascii="Garamond" w:hAnsi="Garamond"/>
          <w:lang w:val="pt-PT"/>
        </w:rPr>
        <w:t>pelo</w:t>
      </w:r>
      <w:proofErr w:type="spellEnd"/>
      <w:r w:rsidRPr="001C50C8">
        <w:rPr>
          <w:rFonts w:ascii="Garamond" w:hAnsi="Garamond"/>
          <w:lang w:val="pt-PT"/>
        </w:rPr>
        <w:t xml:space="preserve"> que é fundamental uma melhor compreensão das suas características e dinâmicas subjacentes</w:t>
      </w:r>
      <w:r>
        <w:rPr>
          <w:rFonts w:ascii="Garamond" w:hAnsi="Garamond"/>
          <w:lang w:val="pt-PT"/>
        </w:rPr>
        <w:t xml:space="preserve">: encontra-se em fase de finalização um estudo sobre este fenómeno, cujos resultados e recomendações deverão apoiar eficácia das </w:t>
      </w:r>
      <w:r w:rsidRPr="001C50C8">
        <w:rPr>
          <w:rFonts w:ascii="Garamond" w:hAnsi="Garamond"/>
          <w:lang w:val="pt-PT"/>
        </w:rPr>
        <w:t xml:space="preserve">estratégias preventivas e de </w:t>
      </w:r>
      <w:proofErr w:type="spellStart"/>
      <w:r w:rsidRPr="001C50C8">
        <w:rPr>
          <w:rFonts w:ascii="Garamond" w:hAnsi="Garamond"/>
          <w:lang w:val="pt-PT"/>
        </w:rPr>
        <w:t>proteção</w:t>
      </w:r>
      <w:proofErr w:type="spellEnd"/>
      <w:r w:rsidRPr="00430C09">
        <w:rPr>
          <w:rFonts w:ascii="Garamond" w:hAnsi="Garamond"/>
          <w:lang w:val="pt-PT"/>
        </w:rPr>
        <w:t xml:space="preserve"> </w:t>
      </w:r>
      <w:r>
        <w:rPr>
          <w:rFonts w:ascii="Garamond" w:hAnsi="Garamond"/>
          <w:lang w:val="pt-PT"/>
        </w:rPr>
        <w:t>nesta matéria</w:t>
      </w:r>
      <w:r w:rsidRPr="001C50C8">
        <w:rPr>
          <w:rFonts w:ascii="Garamond" w:hAnsi="Garamond"/>
          <w:lang w:val="pt-PT"/>
        </w:rPr>
        <w:t>.</w:t>
      </w:r>
    </w:p>
    <w:p w14:paraId="59B26DC8" w14:textId="77777777" w:rsidR="00541FA6" w:rsidRPr="00705EA1" w:rsidRDefault="00541FA6" w:rsidP="002A62A2">
      <w:pPr>
        <w:pStyle w:val="PargrafodaLista"/>
        <w:numPr>
          <w:ilvl w:val="0"/>
          <w:numId w:val="68"/>
        </w:numPr>
        <w:ind w:left="454" w:hanging="454"/>
        <w:contextualSpacing w:val="0"/>
        <w:jc w:val="both"/>
        <w:rPr>
          <w:rFonts w:ascii="Garamond" w:hAnsi="Garamond"/>
          <w:b/>
          <w:bCs/>
          <w:lang w:val="pt-PT"/>
        </w:rPr>
      </w:pPr>
      <w:r w:rsidRPr="00705EA1">
        <w:rPr>
          <w:rFonts w:ascii="Garamond" w:hAnsi="Garamond"/>
          <w:b/>
          <w:bCs/>
          <w:lang w:val="pt-PT"/>
        </w:rPr>
        <w:t>Violência contra mulheres com deficiência</w:t>
      </w:r>
    </w:p>
    <w:p w14:paraId="2D2A8007" w14:textId="77777777" w:rsidR="00541FA6" w:rsidRPr="001C50C8" w:rsidRDefault="00541FA6" w:rsidP="00541FA6">
      <w:pPr>
        <w:jc w:val="both"/>
        <w:rPr>
          <w:rFonts w:ascii="Garamond" w:hAnsi="Garamond"/>
          <w:lang w:val="pt-PT"/>
        </w:rPr>
      </w:pPr>
      <w:r w:rsidRPr="00BE46E6">
        <w:rPr>
          <w:rFonts w:ascii="Garamond" w:hAnsi="Garamond"/>
          <w:lang w:val="pt-PT"/>
        </w:rPr>
        <w:t xml:space="preserve">Relativamente ao grupo específico das mulheres com deficiência, que enfrentam discriminação interseccional (discriminação múltipla em razão do género, do estigma social associado à deficiência, além de frequentemente serem pobres, com baixo rendimento e baixo nível de escolaridade), o </w:t>
      </w:r>
      <w:r w:rsidRPr="00BE46E6">
        <w:rPr>
          <w:rFonts w:ascii="Garamond" w:hAnsi="Garamond"/>
          <w:i/>
          <w:iCs/>
          <w:lang w:val="pt-PT"/>
        </w:rPr>
        <w:t xml:space="preserve">Estudo </w:t>
      </w:r>
      <w:proofErr w:type="spellStart"/>
      <w:r w:rsidRPr="00BE46E6">
        <w:rPr>
          <w:rFonts w:ascii="Garamond" w:hAnsi="Garamond"/>
          <w:i/>
          <w:iCs/>
          <w:lang w:val="pt-PT"/>
        </w:rPr>
        <w:t>Bio-Comportamental</w:t>
      </w:r>
      <w:proofErr w:type="spellEnd"/>
      <w:r w:rsidRPr="00BE46E6">
        <w:rPr>
          <w:rFonts w:ascii="Garamond" w:hAnsi="Garamond"/>
          <w:i/>
          <w:iCs/>
          <w:lang w:val="pt-PT"/>
        </w:rPr>
        <w:t xml:space="preserve"> sobre a Vulnerabilidade das Pessoas com Deficiência face ao VIH/SIDA</w:t>
      </w:r>
      <w:r w:rsidRPr="00BE46E6">
        <w:rPr>
          <w:rFonts w:ascii="Garamond" w:hAnsi="Garamond"/>
          <w:lang w:val="pt-PT"/>
        </w:rPr>
        <w:t xml:space="preserve"> (2018) indica que 45% da amostra de homens e mulheres com deficiência já sofreu algum tipo de violência. 14,4% verbal, 10,4% física e 4,7% económica), sendo que os casos de violência acontecem predominantemente na vizinhança (31,2%), no agregado familiar (28%) e na rua (17,2%). Mais de metade das pessoas com deficiência que já sofreram violência não fez nada (procurar ajuda, queixa, etc.) na sequência do último caso de violência (53,8%). Mais de 1 em cada 10 pessoas com deficiência refere que não estava de acordo com a primeira relação sexual (14,5%), </w:t>
      </w:r>
      <w:proofErr w:type="spellStart"/>
      <w:r w:rsidRPr="00BE46E6">
        <w:rPr>
          <w:rFonts w:ascii="Garamond" w:hAnsi="Garamond"/>
          <w:lang w:val="pt-PT"/>
        </w:rPr>
        <w:t>afetando</w:t>
      </w:r>
      <w:proofErr w:type="spellEnd"/>
      <w:r w:rsidRPr="00BE46E6">
        <w:rPr>
          <w:rFonts w:ascii="Garamond" w:hAnsi="Garamond"/>
          <w:lang w:val="pt-PT"/>
        </w:rPr>
        <w:t xml:space="preserve"> em particular as mulheres. A componente qualitativa do estudo confirma que elas sofrem </w:t>
      </w:r>
      <w:r w:rsidRPr="001C50C8">
        <w:rPr>
          <w:rFonts w:ascii="Garamond" w:hAnsi="Garamond"/>
          <w:lang w:val="pt-PT"/>
        </w:rPr>
        <w:t xml:space="preserve">mais violência física, psicológica e sexual. Analisando o último episódio de quem reporta ter sofrido violência, mais de metade aconteceu nos últimos 12 meses (53,8%) e são referidos vários tipos de violência concomitantes: violência física (71,8% dos casos), verbal (68,6%), económica (58,5%) e diferentes tipos de violência sexual, incluindo sexo forçado (50%), ataque à decência (47,4%), toque sexual (33,3%), assédio sexual (28%) e incentivo à prostituição (7,1%). </w:t>
      </w:r>
    </w:p>
    <w:p w14:paraId="527E555F" w14:textId="77777777" w:rsidR="00541FA6" w:rsidRPr="001C50C8" w:rsidRDefault="00541FA6" w:rsidP="002A62A2">
      <w:pPr>
        <w:pStyle w:val="PargrafodaLista"/>
        <w:numPr>
          <w:ilvl w:val="0"/>
          <w:numId w:val="70"/>
        </w:numPr>
        <w:spacing w:after="240"/>
        <w:jc w:val="both"/>
        <w:rPr>
          <w:rFonts w:ascii="Garamond" w:hAnsi="Garamond"/>
          <w:lang w:val="pt-PT"/>
        </w:rPr>
      </w:pPr>
      <w:r w:rsidRPr="001C50C8">
        <w:rPr>
          <w:rFonts w:ascii="Garamond" w:hAnsi="Garamond"/>
          <w:lang w:val="pt-PT"/>
        </w:rPr>
        <w:t xml:space="preserve">O estudo veio dar visibilidade à violência de que são alvo as pessoas com deficiência, em particular as mulheres, sendo necessário a definição de medidas específicas de prevenção da </w:t>
      </w:r>
      <w:proofErr w:type="spellStart"/>
      <w:r w:rsidRPr="001C50C8">
        <w:rPr>
          <w:rFonts w:ascii="Garamond" w:hAnsi="Garamond"/>
          <w:lang w:val="pt-PT"/>
        </w:rPr>
        <w:t>VBG</w:t>
      </w:r>
      <w:proofErr w:type="spellEnd"/>
      <w:r w:rsidRPr="001C50C8">
        <w:rPr>
          <w:rFonts w:ascii="Garamond" w:hAnsi="Garamond"/>
          <w:lang w:val="pt-PT"/>
        </w:rPr>
        <w:t>, acesso a serviços de apoio e à justiça adaptadas à sua realidade, trabalho que deverá ser realizado em estreita articulação com as associações de mulheres/pessoas com deficiência, organizações da sociedade civil, etc.</w:t>
      </w:r>
    </w:p>
    <w:p w14:paraId="539E0CA1" w14:textId="77777777" w:rsidR="00541FA6" w:rsidRPr="001C50C8" w:rsidRDefault="00541FA6" w:rsidP="00541FA6">
      <w:pPr>
        <w:ind w:left="454" w:hanging="454"/>
        <w:jc w:val="both"/>
        <w:rPr>
          <w:rFonts w:ascii="Garamond" w:hAnsi="Garamond"/>
          <w:u w:val="single"/>
          <w:lang w:val="pt-PT"/>
        </w:rPr>
      </w:pPr>
      <w:r w:rsidRPr="001C50C8">
        <w:rPr>
          <w:rFonts w:ascii="Garamond" w:hAnsi="Garamond"/>
          <w:u w:val="single"/>
          <w:lang w:val="pt-PT"/>
        </w:rPr>
        <w:t xml:space="preserve">Pessoas </w:t>
      </w:r>
      <w:proofErr w:type="spellStart"/>
      <w:r w:rsidRPr="001C50C8">
        <w:rPr>
          <w:rFonts w:ascii="Garamond" w:hAnsi="Garamond"/>
          <w:u w:val="single"/>
          <w:lang w:val="pt-PT"/>
        </w:rPr>
        <w:t>LGBTI</w:t>
      </w:r>
      <w:proofErr w:type="spellEnd"/>
      <w:r w:rsidRPr="001C50C8">
        <w:rPr>
          <w:rFonts w:ascii="Garamond" w:hAnsi="Garamond"/>
          <w:u w:val="single"/>
          <w:lang w:val="pt-PT"/>
        </w:rPr>
        <w:t xml:space="preserve">: outro grupo específico de mulheres e homens vulneráveis à </w:t>
      </w:r>
      <w:proofErr w:type="spellStart"/>
      <w:r w:rsidRPr="001C50C8">
        <w:rPr>
          <w:rFonts w:ascii="Garamond" w:hAnsi="Garamond"/>
          <w:u w:val="single"/>
          <w:lang w:val="pt-PT"/>
        </w:rPr>
        <w:t>VBG</w:t>
      </w:r>
      <w:proofErr w:type="spellEnd"/>
      <w:r w:rsidRPr="001C50C8">
        <w:rPr>
          <w:rFonts w:ascii="Garamond" w:hAnsi="Garamond"/>
          <w:u w:val="single"/>
          <w:lang w:val="pt-PT"/>
        </w:rPr>
        <w:t xml:space="preserve"> </w:t>
      </w:r>
    </w:p>
    <w:p w14:paraId="715764A3" w14:textId="77777777" w:rsidR="00541FA6" w:rsidRPr="001C50C8" w:rsidRDefault="00541FA6" w:rsidP="00541FA6">
      <w:pPr>
        <w:jc w:val="both"/>
        <w:rPr>
          <w:rFonts w:ascii="Garamond" w:hAnsi="Garamond"/>
          <w:lang w:val="pt-PT"/>
        </w:rPr>
      </w:pPr>
      <w:r w:rsidRPr="001C50C8">
        <w:rPr>
          <w:rFonts w:ascii="Garamond" w:hAnsi="Garamond"/>
          <w:lang w:val="pt-PT"/>
        </w:rPr>
        <w:t xml:space="preserve">Apesar de não existirem dados sistematizados a respeito, as pessoas </w:t>
      </w:r>
      <w:proofErr w:type="spellStart"/>
      <w:r w:rsidRPr="001C50C8">
        <w:rPr>
          <w:rFonts w:ascii="Garamond" w:hAnsi="Garamond"/>
          <w:lang w:val="pt-PT"/>
        </w:rPr>
        <w:t>LGBTI</w:t>
      </w:r>
      <w:proofErr w:type="spellEnd"/>
      <w:r w:rsidRPr="001C50C8">
        <w:rPr>
          <w:rFonts w:ascii="Garamond" w:hAnsi="Garamond"/>
          <w:lang w:val="pt-PT"/>
        </w:rPr>
        <w:t xml:space="preserve"> são alvo de discriminação e violência em função da orientação sexual ou identidade de género: as ONG que trabalham com pessoas </w:t>
      </w:r>
      <w:proofErr w:type="spellStart"/>
      <w:r w:rsidRPr="001C50C8">
        <w:rPr>
          <w:rFonts w:ascii="Garamond" w:hAnsi="Garamond"/>
          <w:lang w:val="pt-PT"/>
        </w:rPr>
        <w:t>LGBTI</w:t>
      </w:r>
      <w:proofErr w:type="spellEnd"/>
      <w:r w:rsidRPr="001C50C8">
        <w:rPr>
          <w:rFonts w:ascii="Garamond" w:hAnsi="Garamond"/>
          <w:lang w:val="pt-PT"/>
        </w:rPr>
        <w:t xml:space="preserve"> referem testemunhos nesse sentido, bem como em relação ao </w:t>
      </w:r>
      <w:r>
        <w:rPr>
          <w:rFonts w:ascii="Garamond" w:hAnsi="Garamond"/>
          <w:lang w:val="pt-PT"/>
        </w:rPr>
        <w:t xml:space="preserve">tratamento </w:t>
      </w:r>
      <w:r w:rsidRPr="001C50C8">
        <w:rPr>
          <w:rFonts w:ascii="Garamond" w:hAnsi="Garamond"/>
          <w:lang w:val="pt-PT"/>
        </w:rPr>
        <w:t xml:space="preserve">preconceituoso e discriminatório por vezes dados à pessoas </w:t>
      </w:r>
      <w:proofErr w:type="spellStart"/>
      <w:r w:rsidRPr="001C50C8">
        <w:rPr>
          <w:rFonts w:ascii="Garamond" w:hAnsi="Garamond"/>
          <w:lang w:val="pt-PT"/>
        </w:rPr>
        <w:t>LGBTI</w:t>
      </w:r>
      <w:proofErr w:type="spellEnd"/>
      <w:r w:rsidRPr="001C50C8">
        <w:rPr>
          <w:rFonts w:ascii="Garamond" w:hAnsi="Garamond"/>
          <w:lang w:val="pt-PT"/>
        </w:rPr>
        <w:t xml:space="preserve"> quando fazem uma denúncia de crime de </w:t>
      </w:r>
      <w:proofErr w:type="spellStart"/>
      <w:r w:rsidRPr="001C50C8">
        <w:rPr>
          <w:rFonts w:ascii="Garamond" w:hAnsi="Garamond"/>
          <w:lang w:val="pt-PT"/>
        </w:rPr>
        <w:t>VBG</w:t>
      </w:r>
      <w:proofErr w:type="spellEnd"/>
      <w:r w:rsidRPr="001C50C8">
        <w:rPr>
          <w:rFonts w:ascii="Garamond" w:hAnsi="Garamond"/>
          <w:lang w:val="pt-PT"/>
        </w:rPr>
        <w:t>.</w:t>
      </w:r>
      <w:r w:rsidRPr="001C50C8">
        <w:rPr>
          <w:rStyle w:val="Refdenotaderodap"/>
          <w:rFonts w:ascii="Garamond" w:hAnsi="Garamond"/>
          <w:lang w:val="pt-PT"/>
        </w:rPr>
        <w:footnoteReference w:id="71"/>
      </w:r>
      <w:r w:rsidRPr="001C50C8">
        <w:rPr>
          <w:rFonts w:ascii="Garamond" w:hAnsi="Garamond"/>
          <w:lang w:val="pt-PT"/>
        </w:rPr>
        <w:t xml:space="preserve"> De referir que o crime de </w:t>
      </w:r>
      <w:proofErr w:type="spellStart"/>
      <w:r w:rsidRPr="001C50C8">
        <w:rPr>
          <w:rFonts w:ascii="Garamond" w:hAnsi="Garamond"/>
          <w:lang w:val="pt-PT"/>
        </w:rPr>
        <w:t>VBG</w:t>
      </w:r>
      <w:proofErr w:type="spellEnd"/>
      <w:r w:rsidRPr="001C50C8">
        <w:rPr>
          <w:rFonts w:ascii="Garamond" w:hAnsi="Garamond"/>
          <w:lang w:val="pt-PT"/>
        </w:rPr>
        <w:t>, e os crimes contra a liberdade e autodeterminação sexual, passaram a ser enquadrados como crimes de prevenção prioritária no âmbito da alteração da Lei que aprova o Regime da execução da política criminal.</w:t>
      </w:r>
      <w:r w:rsidRPr="001C50C8">
        <w:rPr>
          <w:rStyle w:val="Refdenotaderodap"/>
          <w:rFonts w:ascii="Garamond" w:hAnsi="Garamond"/>
          <w:lang w:val="pt-PT"/>
        </w:rPr>
        <w:footnoteReference w:id="72"/>
      </w:r>
      <w:r w:rsidRPr="001C50C8">
        <w:rPr>
          <w:rFonts w:ascii="Garamond" w:hAnsi="Garamond"/>
          <w:lang w:val="pt-PT"/>
        </w:rPr>
        <w:t xml:space="preserve"> </w:t>
      </w:r>
    </w:p>
    <w:p w14:paraId="40BCAD7D" w14:textId="77777777" w:rsidR="00541FA6" w:rsidRDefault="00541FA6" w:rsidP="002A62A2">
      <w:pPr>
        <w:pStyle w:val="PargrafodaLista"/>
        <w:numPr>
          <w:ilvl w:val="0"/>
          <w:numId w:val="70"/>
        </w:numPr>
        <w:spacing w:after="240"/>
        <w:jc w:val="both"/>
        <w:rPr>
          <w:rFonts w:ascii="Garamond" w:hAnsi="Garamond"/>
          <w:lang w:val="pt-PT"/>
        </w:rPr>
      </w:pPr>
      <w:bookmarkStart w:id="66" w:name="_Hlk19375292"/>
      <w:r w:rsidRPr="003E475C">
        <w:rPr>
          <w:rFonts w:ascii="Garamond" w:hAnsi="Garamond"/>
          <w:lang w:val="pt-PT"/>
        </w:rPr>
        <w:t xml:space="preserve">Assim será fundamental dar continuidade ao reforço das associações </w:t>
      </w:r>
      <w:proofErr w:type="spellStart"/>
      <w:r w:rsidRPr="003E475C">
        <w:rPr>
          <w:rFonts w:ascii="Garamond" w:hAnsi="Garamond"/>
          <w:lang w:val="pt-PT"/>
        </w:rPr>
        <w:t>LGBTI</w:t>
      </w:r>
      <w:proofErr w:type="spellEnd"/>
      <w:r w:rsidRPr="003E475C">
        <w:rPr>
          <w:rFonts w:ascii="Garamond" w:hAnsi="Garamond"/>
          <w:lang w:val="pt-PT"/>
        </w:rPr>
        <w:t xml:space="preserve"> e às campanhas de sensibilização sobre os seus direitos humanos, </w:t>
      </w:r>
      <w:r>
        <w:rPr>
          <w:rFonts w:ascii="Garamond" w:hAnsi="Garamond"/>
          <w:lang w:val="pt-PT"/>
        </w:rPr>
        <w:t xml:space="preserve">em parceria com a </w:t>
      </w:r>
      <w:proofErr w:type="spellStart"/>
      <w:r>
        <w:rPr>
          <w:rFonts w:ascii="Garamond" w:hAnsi="Garamond"/>
          <w:lang w:val="pt-PT"/>
        </w:rPr>
        <w:t>CNDHC</w:t>
      </w:r>
      <w:proofErr w:type="spellEnd"/>
      <w:r>
        <w:rPr>
          <w:rFonts w:ascii="Garamond" w:hAnsi="Garamond"/>
          <w:lang w:val="pt-PT"/>
        </w:rPr>
        <w:t xml:space="preserve">, </w:t>
      </w:r>
      <w:r w:rsidRPr="003E475C">
        <w:rPr>
          <w:rFonts w:ascii="Garamond" w:hAnsi="Garamond"/>
          <w:lang w:val="pt-PT"/>
        </w:rPr>
        <w:t>e introduzir as questões da orientação sexual e identidade de género</w:t>
      </w:r>
      <w:r>
        <w:rPr>
          <w:rFonts w:ascii="Garamond" w:hAnsi="Garamond"/>
          <w:lang w:val="pt-PT"/>
        </w:rPr>
        <w:t xml:space="preserve"> </w:t>
      </w:r>
      <w:r w:rsidRPr="003E475C">
        <w:rPr>
          <w:rFonts w:ascii="Garamond" w:hAnsi="Garamond"/>
          <w:lang w:val="pt-PT"/>
        </w:rPr>
        <w:t xml:space="preserve">nas formações dos técnicos dos vários serviços implicados no atendimento a vítimas de </w:t>
      </w:r>
      <w:proofErr w:type="spellStart"/>
      <w:r w:rsidRPr="003E475C">
        <w:rPr>
          <w:rFonts w:ascii="Garamond" w:hAnsi="Garamond"/>
          <w:lang w:val="pt-PT"/>
        </w:rPr>
        <w:t>VBG</w:t>
      </w:r>
      <w:proofErr w:type="spellEnd"/>
      <w:r w:rsidRPr="003E475C">
        <w:rPr>
          <w:rFonts w:ascii="Garamond" w:hAnsi="Garamond"/>
          <w:lang w:val="pt-PT"/>
        </w:rPr>
        <w:t xml:space="preserve"> (</w:t>
      </w:r>
      <w:proofErr w:type="spellStart"/>
      <w:r w:rsidRPr="003E475C">
        <w:rPr>
          <w:rFonts w:ascii="Garamond" w:hAnsi="Garamond"/>
          <w:lang w:val="pt-PT"/>
        </w:rPr>
        <w:t>CAV</w:t>
      </w:r>
      <w:proofErr w:type="spellEnd"/>
      <w:r w:rsidRPr="003E475C">
        <w:rPr>
          <w:rFonts w:ascii="Garamond" w:hAnsi="Garamond"/>
          <w:lang w:val="pt-PT"/>
        </w:rPr>
        <w:t>, PN, saúde, etc.)</w:t>
      </w:r>
      <w:r>
        <w:rPr>
          <w:rFonts w:ascii="Garamond" w:hAnsi="Garamond"/>
          <w:lang w:val="pt-PT"/>
        </w:rPr>
        <w:t>, para uma melhor preparação para trabalhar com este tipo de violência.</w:t>
      </w:r>
      <w:bookmarkEnd w:id="66"/>
    </w:p>
    <w:p w14:paraId="21585A05" w14:textId="77777777" w:rsidR="00541FA6" w:rsidRPr="006D7010" w:rsidRDefault="00541FA6" w:rsidP="00541FA6">
      <w:pPr>
        <w:jc w:val="both"/>
        <w:rPr>
          <w:rFonts w:ascii="Garamond" w:hAnsi="Garamond"/>
          <w:lang w:val="pt-PT"/>
        </w:rPr>
      </w:pPr>
      <w:r w:rsidRPr="006D7010">
        <w:rPr>
          <w:rFonts w:ascii="Garamond" w:hAnsi="Garamond"/>
          <w:b/>
          <w:bCs/>
          <w:lang w:val="pt-PT"/>
        </w:rPr>
        <w:t xml:space="preserve">Serviços de apoio, protecção e acesso à justiça para vítimas de </w:t>
      </w:r>
      <w:proofErr w:type="spellStart"/>
      <w:r w:rsidRPr="006D7010">
        <w:rPr>
          <w:rFonts w:ascii="Garamond" w:hAnsi="Garamond"/>
          <w:b/>
          <w:bCs/>
          <w:lang w:val="pt-PT"/>
        </w:rPr>
        <w:t>VBG</w:t>
      </w:r>
      <w:proofErr w:type="spellEnd"/>
    </w:p>
    <w:p w14:paraId="558241D7" w14:textId="77777777" w:rsidR="00541FA6" w:rsidRDefault="00541FA6" w:rsidP="00541FA6">
      <w:pPr>
        <w:jc w:val="both"/>
        <w:rPr>
          <w:rFonts w:ascii="Garamond" w:hAnsi="Garamond"/>
          <w:lang w:val="pt-PT"/>
        </w:rPr>
      </w:pPr>
      <w:bookmarkStart w:id="67" w:name="_Hlk4665585"/>
      <w:r w:rsidRPr="001C50C8">
        <w:rPr>
          <w:rFonts w:ascii="Garamond" w:hAnsi="Garamond"/>
          <w:lang w:val="pt-PT"/>
        </w:rPr>
        <w:t xml:space="preserve">Os serviços de apoio a vítimas de </w:t>
      </w:r>
      <w:proofErr w:type="spellStart"/>
      <w:r w:rsidRPr="001C50C8">
        <w:rPr>
          <w:rFonts w:ascii="Garamond" w:hAnsi="Garamond"/>
          <w:lang w:val="pt-PT"/>
        </w:rPr>
        <w:t>VBG</w:t>
      </w:r>
      <w:proofErr w:type="spellEnd"/>
      <w:r w:rsidRPr="001C50C8">
        <w:rPr>
          <w:rFonts w:ascii="Garamond" w:hAnsi="Garamond"/>
          <w:lang w:val="pt-PT"/>
        </w:rPr>
        <w:t xml:space="preserve"> são prestados </w:t>
      </w:r>
      <w:proofErr w:type="spellStart"/>
      <w:r w:rsidRPr="001C50C8">
        <w:rPr>
          <w:rFonts w:ascii="Garamond" w:hAnsi="Garamond"/>
          <w:lang w:val="pt-PT"/>
        </w:rPr>
        <w:t>pelos</w:t>
      </w:r>
      <w:proofErr w:type="spellEnd"/>
      <w:r w:rsidRPr="001C50C8">
        <w:rPr>
          <w:rFonts w:ascii="Garamond" w:hAnsi="Garamond"/>
          <w:lang w:val="pt-PT"/>
        </w:rPr>
        <w:t xml:space="preserve"> Centros de Apoio à Vítima (</w:t>
      </w:r>
      <w:proofErr w:type="spellStart"/>
      <w:r w:rsidRPr="001C50C8">
        <w:rPr>
          <w:rFonts w:ascii="Garamond" w:hAnsi="Garamond"/>
          <w:lang w:val="pt-PT"/>
        </w:rPr>
        <w:t>CAV</w:t>
      </w:r>
      <w:proofErr w:type="spellEnd"/>
      <w:r w:rsidRPr="001C50C8">
        <w:rPr>
          <w:rFonts w:ascii="Garamond" w:hAnsi="Garamond"/>
          <w:lang w:val="pt-PT"/>
        </w:rPr>
        <w:t xml:space="preserve">), que funcionam junto dos serviços sociais das Câmaras Municipais, sob a coordenação do </w:t>
      </w:r>
      <w:proofErr w:type="spellStart"/>
      <w:r w:rsidRPr="001C50C8">
        <w:rPr>
          <w:rFonts w:ascii="Garamond" w:hAnsi="Garamond"/>
          <w:lang w:val="pt-PT"/>
        </w:rPr>
        <w:t>ICIEG</w:t>
      </w:r>
      <w:proofErr w:type="spellEnd"/>
      <w:r w:rsidRPr="001C50C8">
        <w:rPr>
          <w:rFonts w:ascii="Garamond" w:hAnsi="Garamond"/>
          <w:lang w:val="pt-PT"/>
        </w:rPr>
        <w:t xml:space="preserve">. Prestam atendimento e apoio psicológico, e por vezes também informação jurídica e sócio económico. Os </w:t>
      </w:r>
      <w:proofErr w:type="spellStart"/>
      <w:r w:rsidRPr="001C50C8">
        <w:rPr>
          <w:rFonts w:ascii="Garamond" w:hAnsi="Garamond"/>
          <w:lang w:val="pt-PT"/>
        </w:rPr>
        <w:t>CAV</w:t>
      </w:r>
      <w:proofErr w:type="spellEnd"/>
      <w:r w:rsidRPr="001C50C8">
        <w:rPr>
          <w:rFonts w:ascii="Garamond" w:hAnsi="Garamond"/>
          <w:lang w:val="pt-PT"/>
        </w:rPr>
        <w:t xml:space="preserve"> assumem a coordenação da Rede SOL - Rede Interinstitucional de Apoio às Vítimas de </w:t>
      </w:r>
      <w:proofErr w:type="spellStart"/>
      <w:r w:rsidRPr="001C50C8">
        <w:rPr>
          <w:rFonts w:ascii="Garamond" w:hAnsi="Garamond"/>
          <w:lang w:val="pt-PT"/>
        </w:rPr>
        <w:t>VBG</w:t>
      </w:r>
      <w:proofErr w:type="spellEnd"/>
      <w:r w:rsidRPr="001C50C8">
        <w:rPr>
          <w:rFonts w:ascii="Garamond" w:hAnsi="Garamond"/>
          <w:lang w:val="pt-PT"/>
        </w:rPr>
        <w:t xml:space="preserve"> a nível local, articulando a </w:t>
      </w:r>
      <w:proofErr w:type="spellStart"/>
      <w:r w:rsidRPr="001C50C8">
        <w:rPr>
          <w:rFonts w:ascii="Garamond" w:hAnsi="Garamond"/>
          <w:lang w:val="pt-PT"/>
        </w:rPr>
        <w:t>ação</w:t>
      </w:r>
      <w:proofErr w:type="spellEnd"/>
      <w:r w:rsidRPr="001C50C8">
        <w:rPr>
          <w:rFonts w:ascii="Garamond" w:hAnsi="Garamond"/>
          <w:lang w:val="pt-PT"/>
        </w:rPr>
        <w:t xml:space="preserve"> dos serviços públicos e das </w:t>
      </w:r>
      <w:proofErr w:type="spellStart"/>
      <w:r w:rsidRPr="001C50C8">
        <w:rPr>
          <w:rFonts w:ascii="Garamond" w:hAnsi="Garamond"/>
          <w:lang w:val="pt-PT"/>
        </w:rPr>
        <w:t>ONGs</w:t>
      </w:r>
      <w:proofErr w:type="spellEnd"/>
      <w:r w:rsidRPr="001C50C8">
        <w:rPr>
          <w:rFonts w:ascii="Garamond" w:hAnsi="Garamond"/>
          <w:lang w:val="pt-PT"/>
        </w:rPr>
        <w:t>. No conjunto, através das parcerias estabelecidas, visa-se assegurar o apoio médico (serviços de saúde), policial (PN), jurídico (</w:t>
      </w:r>
      <w:proofErr w:type="spellStart"/>
      <w:r w:rsidRPr="001C50C8">
        <w:rPr>
          <w:rFonts w:ascii="Garamond" w:hAnsi="Garamond"/>
          <w:lang w:val="pt-PT"/>
        </w:rPr>
        <w:t>ONGs</w:t>
      </w:r>
      <w:proofErr w:type="spellEnd"/>
      <w:r>
        <w:rPr>
          <w:rFonts w:ascii="Garamond" w:hAnsi="Garamond"/>
          <w:lang w:val="pt-PT"/>
        </w:rPr>
        <w:t xml:space="preserve"> e </w:t>
      </w:r>
      <w:proofErr w:type="spellStart"/>
      <w:r>
        <w:rPr>
          <w:rFonts w:ascii="Garamond" w:hAnsi="Garamond"/>
          <w:lang w:val="pt-PT"/>
        </w:rPr>
        <w:t>OACV</w:t>
      </w:r>
      <w:proofErr w:type="spellEnd"/>
      <w:r w:rsidRPr="001C50C8">
        <w:rPr>
          <w:rFonts w:ascii="Garamond" w:hAnsi="Garamond"/>
          <w:lang w:val="pt-PT"/>
        </w:rPr>
        <w:t>), psicológico (</w:t>
      </w:r>
      <w:proofErr w:type="spellStart"/>
      <w:r w:rsidRPr="001C50C8">
        <w:rPr>
          <w:rFonts w:ascii="Garamond" w:hAnsi="Garamond"/>
          <w:lang w:val="pt-PT"/>
        </w:rPr>
        <w:t>CAV</w:t>
      </w:r>
      <w:proofErr w:type="spellEnd"/>
      <w:r w:rsidRPr="001C50C8">
        <w:rPr>
          <w:rFonts w:ascii="Garamond" w:hAnsi="Garamond"/>
          <w:lang w:val="pt-PT"/>
        </w:rPr>
        <w:t xml:space="preserve"> e </w:t>
      </w:r>
      <w:proofErr w:type="spellStart"/>
      <w:r w:rsidRPr="001C50C8">
        <w:rPr>
          <w:rFonts w:ascii="Garamond" w:hAnsi="Garamond"/>
          <w:lang w:val="pt-PT"/>
        </w:rPr>
        <w:t>ONGs</w:t>
      </w:r>
      <w:proofErr w:type="spellEnd"/>
      <w:r w:rsidRPr="001C50C8">
        <w:rPr>
          <w:rFonts w:ascii="Garamond" w:hAnsi="Garamond"/>
          <w:lang w:val="pt-PT"/>
        </w:rPr>
        <w:t>) e socio económico (Câmara Municipal/</w:t>
      </w:r>
      <w:proofErr w:type="spellStart"/>
      <w:r w:rsidRPr="001C50C8">
        <w:rPr>
          <w:rFonts w:ascii="Garamond" w:hAnsi="Garamond"/>
          <w:lang w:val="pt-PT"/>
        </w:rPr>
        <w:t>DGIS</w:t>
      </w:r>
      <w:proofErr w:type="spellEnd"/>
      <w:r w:rsidRPr="001C50C8">
        <w:rPr>
          <w:rFonts w:ascii="Garamond" w:hAnsi="Garamond"/>
          <w:lang w:val="pt-PT"/>
        </w:rPr>
        <w:t xml:space="preserve"> e </w:t>
      </w:r>
      <w:proofErr w:type="spellStart"/>
      <w:r w:rsidRPr="001C50C8">
        <w:rPr>
          <w:rFonts w:ascii="Garamond" w:hAnsi="Garamond"/>
          <w:lang w:val="pt-PT"/>
        </w:rPr>
        <w:t>ONGs</w:t>
      </w:r>
      <w:proofErr w:type="spellEnd"/>
      <w:r w:rsidRPr="001C50C8">
        <w:rPr>
          <w:rFonts w:ascii="Garamond" w:hAnsi="Garamond"/>
          <w:lang w:val="pt-PT"/>
        </w:rPr>
        <w:t>).</w:t>
      </w:r>
    </w:p>
    <w:p w14:paraId="0124AEA6" w14:textId="77777777" w:rsidR="00541FA6" w:rsidRDefault="00541FA6" w:rsidP="00541FA6">
      <w:pPr>
        <w:jc w:val="both"/>
        <w:rPr>
          <w:rFonts w:ascii="Garamond" w:hAnsi="Garamond"/>
          <w:lang w:val="pt-PT"/>
        </w:rPr>
      </w:pPr>
    </w:p>
    <w:p w14:paraId="774CCC1A" w14:textId="14C61F0E" w:rsidR="00541FA6" w:rsidRPr="00D50C77" w:rsidRDefault="00541FA6" w:rsidP="00541FA6">
      <w:pPr>
        <w:pStyle w:val="Legenda"/>
        <w:spacing w:after="0"/>
        <w:jc w:val="center"/>
        <w:rPr>
          <w:rFonts w:ascii="Garamond" w:hAnsi="Garamond"/>
          <w:b/>
          <w:i w:val="0"/>
          <w:iCs w:val="0"/>
          <w:color w:val="auto"/>
          <w:sz w:val="20"/>
          <w:szCs w:val="20"/>
          <w:lang w:val="pt-PT"/>
        </w:rPr>
      </w:pPr>
      <w:bookmarkStart w:id="68" w:name="_Toc32856877"/>
      <w:r w:rsidRPr="00D50C77">
        <w:rPr>
          <w:rFonts w:ascii="Garamond" w:hAnsi="Garamond"/>
          <w:b/>
          <w:i w:val="0"/>
          <w:iCs w:val="0"/>
          <w:color w:val="auto"/>
          <w:sz w:val="20"/>
          <w:szCs w:val="20"/>
          <w:lang w:val="pt-PT"/>
        </w:rPr>
        <w:t xml:space="preserve">Gráfico </w:t>
      </w:r>
      <w:r w:rsidRPr="00D50C77">
        <w:rPr>
          <w:rFonts w:ascii="Garamond" w:hAnsi="Garamond"/>
          <w:b/>
          <w:i w:val="0"/>
          <w:iCs w:val="0"/>
          <w:color w:val="auto"/>
          <w:sz w:val="20"/>
          <w:szCs w:val="20"/>
          <w:lang w:val="pt-PT"/>
        </w:rPr>
        <w:fldChar w:fldCharType="begin"/>
      </w:r>
      <w:r w:rsidRPr="00D50C77">
        <w:rPr>
          <w:rFonts w:ascii="Garamond" w:hAnsi="Garamond"/>
          <w:b/>
          <w:i w:val="0"/>
          <w:iCs w:val="0"/>
          <w:color w:val="auto"/>
          <w:sz w:val="20"/>
          <w:szCs w:val="20"/>
          <w:lang w:val="pt-PT"/>
        </w:rPr>
        <w:instrText xml:space="preserve"> SEQ Grafico \* ARABIC </w:instrText>
      </w:r>
      <w:r w:rsidRPr="00D50C77">
        <w:rPr>
          <w:rFonts w:ascii="Garamond" w:hAnsi="Garamond"/>
          <w:b/>
          <w:i w:val="0"/>
          <w:iCs w:val="0"/>
          <w:color w:val="auto"/>
          <w:sz w:val="20"/>
          <w:szCs w:val="20"/>
          <w:lang w:val="pt-PT"/>
        </w:rPr>
        <w:fldChar w:fldCharType="separate"/>
      </w:r>
      <w:r w:rsidR="009F122A">
        <w:rPr>
          <w:rFonts w:ascii="Garamond" w:hAnsi="Garamond"/>
          <w:b/>
          <w:i w:val="0"/>
          <w:iCs w:val="0"/>
          <w:noProof/>
          <w:color w:val="auto"/>
          <w:sz w:val="20"/>
          <w:szCs w:val="20"/>
          <w:lang w:val="pt-PT"/>
        </w:rPr>
        <w:t>23</w:t>
      </w:r>
      <w:r w:rsidRPr="00D50C77">
        <w:rPr>
          <w:rFonts w:ascii="Garamond" w:hAnsi="Garamond"/>
          <w:b/>
          <w:i w:val="0"/>
          <w:iCs w:val="0"/>
          <w:color w:val="auto"/>
          <w:sz w:val="20"/>
          <w:szCs w:val="20"/>
          <w:lang w:val="pt-PT"/>
        </w:rPr>
        <w:fldChar w:fldCharType="end"/>
      </w:r>
      <w:r>
        <w:rPr>
          <w:rFonts w:ascii="Garamond" w:hAnsi="Garamond"/>
          <w:b/>
          <w:i w:val="0"/>
          <w:iCs w:val="0"/>
          <w:color w:val="auto"/>
          <w:sz w:val="20"/>
          <w:szCs w:val="20"/>
          <w:lang w:val="pt-PT"/>
        </w:rPr>
        <w:t xml:space="preserve"> –</w:t>
      </w:r>
      <w:r w:rsidRPr="00D50C77">
        <w:rPr>
          <w:rFonts w:ascii="Garamond" w:hAnsi="Garamond"/>
          <w:b/>
          <w:i w:val="0"/>
          <w:iCs w:val="0"/>
          <w:color w:val="auto"/>
          <w:sz w:val="20"/>
          <w:szCs w:val="20"/>
          <w:lang w:val="pt-PT"/>
        </w:rPr>
        <w:t xml:space="preserve"> </w:t>
      </w:r>
      <w:r>
        <w:rPr>
          <w:rFonts w:ascii="Garamond" w:hAnsi="Garamond"/>
          <w:b/>
          <w:i w:val="0"/>
          <w:iCs w:val="0"/>
          <w:color w:val="auto"/>
          <w:sz w:val="20"/>
          <w:szCs w:val="20"/>
          <w:lang w:val="pt-PT"/>
        </w:rPr>
        <w:t xml:space="preserve">Evolução do número de atendimentos a vítimas de </w:t>
      </w:r>
      <w:proofErr w:type="spellStart"/>
      <w:r>
        <w:rPr>
          <w:rFonts w:ascii="Garamond" w:hAnsi="Garamond"/>
          <w:b/>
          <w:i w:val="0"/>
          <w:iCs w:val="0"/>
          <w:color w:val="auto"/>
          <w:sz w:val="20"/>
          <w:szCs w:val="20"/>
          <w:lang w:val="pt-PT"/>
        </w:rPr>
        <w:t>VBG</w:t>
      </w:r>
      <w:proofErr w:type="spellEnd"/>
      <w:r>
        <w:rPr>
          <w:rFonts w:ascii="Garamond" w:hAnsi="Garamond"/>
          <w:b/>
          <w:i w:val="0"/>
          <w:iCs w:val="0"/>
          <w:color w:val="auto"/>
          <w:sz w:val="20"/>
          <w:szCs w:val="20"/>
          <w:lang w:val="pt-PT"/>
        </w:rPr>
        <w:t xml:space="preserve"> no país (</w:t>
      </w:r>
      <w:proofErr w:type="spellStart"/>
      <w:r w:rsidRPr="00D50C77">
        <w:rPr>
          <w:rFonts w:ascii="Garamond" w:hAnsi="Garamond"/>
          <w:b/>
          <w:i w:val="0"/>
          <w:iCs w:val="0"/>
          <w:color w:val="auto"/>
          <w:sz w:val="20"/>
          <w:szCs w:val="20"/>
          <w:lang w:val="pt-PT"/>
        </w:rPr>
        <w:t>CAV</w:t>
      </w:r>
      <w:proofErr w:type="spellEnd"/>
      <w:r w:rsidRPr="00D50C77">
        <w:rPr>
          <w:rFonts w:ascii="Garamond" w:hAnsi="Garamond"/>
          <w:b/>
          <w:i w:val="0"/>
          <w:iCs w:val="0"/>
          <w:color w:val="auto"/>
          <w:sz w:val="20"/>
          <w:szCs w:val="20"/>
          <w:lang w:val="pt-PT"/>
        </w:rPr>
        <w:t xml:space="preserve"> e Rede SOL</w:t>
      </w:r>
      <w:r>
        <w:rPr>
          <w:rFonts w:ascii="Garamond" w:hAnsi="Garamond"/>
          <w:b/>
          <w:i w:val="0"/>
          <w:iCs w:val="0"/>
          <w:color w:val="auto"/>
          <w:sz w:val="20"/>
          <w:szCs w:val="20"/>
          <w:lang w:val="pt-PT"/>
        </w:rPr>
        <w:t>)</w:t>
      </w:r>
      <w:bookmarkEnd w:id="68"/>
    </w:p>
    <w:p w14:paraId="583EEB52" w14:textId="77777777" w:rsidR="00541FA6" w:rsidRPr="001C50C8" w:rsidRDefault="00541FA6" w:rsidP="00541FA6">
      <w:pPr>
        <w:jc w:val="center"/>
        <w:rPr>
          <w:rFonts w:ascii="Times New Roman" w:hAnsi="Times New Roman"/>
          <w:b/>
          <w:i/>
          <w:iCs/>
          <w:sz w:val="20"/>
          <w:szCs w:val="20"/>
        </w:rPr>
      </w:pPr>
      <w:r w:rsidRPr="001C50C8">
        <w:rPr>
          <w:rFonts w:ascii="Times New Roman" w:hAnsi="Times New Roman"/>
          <w:b/>
          <w:i/>
          <w:iCs/>
          <w:noProof/>
          <w:sz w:val="20"/>
          <w:szCs w:val="20"/>
        </w:rPr>
        <w:drawing>
          <wp:inline distT="0" distB="0" distL="0" distR="0" wp14:anchorId="299BE042" wp14:editId="5BF7096F">
            <wp:extent cx="4494726" cy="1601273"/>
            <wp:effectExtent l="0" t="0" r="1270" b="0"/>
            <wp:docPr id="60" name="Gráfico 60">
              <a:extLst xmlns:a="http://schemas.openxmlformats.org/drawingml/2006/main">
                <a:ext uri="{FF2B5EF4-FFF2-40B4-BE49-F238E27FC236}">
                  <a16:creationId xmlns:a16="http://schemas.microsoft.com/office/drawing/2014/main" id="{D069BF98-607B-48CA-A4BD-8C50A5DD7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0D68122" w14:textId="77777777" w:rsidR="00541FA6" w:rsidRPr="00D50C77" w:rsidRDefault="00541FA6" w:rsidP="00541FA6">
      <w:pPr>
        <w:spacing w:after="240"/>
        <w:jc w:val="center"/>
        <w:rPr>
          <w:rFonts w:ascii="Garamond" w:hAnsi="Garamond"/>
          <w:b/>
          <w:bCs/>
          <w:sz w:val="20"/>
          <w:szCs w:val="20"/>
          <w:lang w:val="pt-PT"/>
        </w:rPr>
      </w:pPr>
      <w:r w:rsidRPr="00D50C77">
        <w:rPr>
          <w:rFonts w:ascii="Garamond" w:hAnsi="Garamond"/>
          <w:b/>
          <w:bCs/>
          <w:sz w:val="20"/>
          <w:szCs w:val="20"/>
          <w:lang w:val="pt-PT"/>
        </w:rPr>
        <w:t xml:space="preserve">Fonte: Dados do </w:t>
      </w:r>
      <w:proofErr w:type="spellStart"/>
      <w:r w:rsidRPr="00D50C77">
        <w:rPr>
          <w:rFonts w:ascii="Garamond" w:hAnsi="Garamond"/>
          <w:b/>
          <w:bCs/>
          <w:sz w:val="20"/>
          <w:szCs w:val="20"/>
          <w:lang w:val="pt-PT"/>
        </w:rPr>
        <w:t>ICIEG</w:t>
      </w:r>
      <w:proofErr w:type="spellEnd"/>
      <w:r>
        <w:rPr>
          <w:rFonts w:ascii="Garamond" w:hAnsi="Garamond"/>
          <w:b/>
          <w:bCs/>
          <w:sz w:val="20"/>
          <w:szCs w:val="20"/>
          <w:lang w:val="pt-PT"/>
        </w:rPr>
        <w:t xml:space="preserve"> (</w:t>
      </w:r>
      <w:proofErr w:type="spellStart"/>
      <w:r w:rsidRPr="00D50C77">
        <w:rPr>
          <w:rFonts w:ascii="Garamond" w:hAnsi="Garamond"/>
          <w:b/>
          <w:bCs/>
          <w:sz w:val="20"/>
          <w:szCs w:val="20"/>
          <w:lang w:val="pt-PT"/>
        </w:rPr>
        <w:t>CAV</w:t>
      </w:r>
      <w:proofErr w:type="spellEnd"/>
      <w:r w:rsidRPr="00D50C77">
        <w:rPr>
          <w:rFonts w:ascii="Garamond" w:hAnsi="Garamond"/>
          <w:b/>
          <w:bCs/>
          <w:sz w:val="20"/>
          <w:szCs w:val="20"/>
          <w:lang w:val="pt-PT"/>
        </w:rPr>
        <w:t xml:space="preserve"> e Rede SOL</w:t>
      </w:r>
      <w:r>
        <w:rPr>
          <w:rFonts w:ascii="Garamond" w:hAnsi="Garamond"/>
          <w:b/>
          <w:bCs/>
          <w:sz w:val="20"/>
          <w:szCs w:val="20"/>
          <w:lang w:val="pt-PT"/>
        </w:rPr>
        <w:t xml:space="preserve">) </w:t>
      </w:r>
    </w:p>
    <w:p w14:paraId="4024AEBF" w14:textId="77777777" w:rsidR="00541FA6" w:rsidRDefault="00541FA6" w:rsidP="00541FA6">
      <w:pPr>
        <w:spacing w:after="240"/>
        <w:jc w:val="both"/>
        <w:rPr>
          <w:rFonts w:ascii="Garamond" w:hAnsi="Garamond"/>
          <w:lang w:val="pt-PT"/>
        </w:rPr>
      </w:pPr>
      <w:r w:rsidRPr="001C50C8">
        <w:rPr>
          <w:rFonts w:ascii="Garamond" w:hAnsi="Garamond"/>
          <w:lang w:val="pt-PT"/>
        </w:rPr>
        <w:t xml:space="preserve">Os dados apontam para uma diminuição significativa em 2017 no número vítimas atendidas </w:t>
      </w:r>
      <w:proofErr w:type="spellStart"/>
      <w:r w:rsidRPr="001C50C8">
        <w:rPr>
          <w:rFonts w:ascii="Garamond" w:hAnsi="Garamond"/>
          <w:lang w:val="pt-PT"/>
        </w:rPr>
        <w:t>pelos</w:t>
      </w:r>
      <w:proofErr w:type="spellEnd"/>
      <w:r w:rsidRPr="001C50C8">
        <w:rPr>
          <w:rFonts w:ascii="Garamond" w:hAnsi="Garamond"/>
          <w:lang w:val="pt-PT"/>
        </w:rPr>
        <w:t xml:space="preserve"> </w:t>
      </w:r>
      <w:proofErr w:type="spellStart"/>
      <w:r w:rsidRPr="001C50C8">
        <w:rPr>
          <w:rFonts w:ascii="Garamond" w:hAnsi="Garamond"/>
          <w:lang w:val="pt-PT"/>
        </w:rPr>
        <w:t>CAV</w:t>
      </w:r>
      <w:proofErr w:type="spellEnd"/>
      <w:r w:rsidRPr="001C50C8">
        <w:rPr>
          <w:rFonts w:ascii="Garamond" w:hAnsi="Garamond"/>
          <w:lang w:val="pt-PT"/>
        </w:rPr>
        <w:t xml:space="preserve"> e Rede SOL, com uma ligeira retoma em 2018. Embora não possa ser feita uma correspondência </w:t>
      </w:r>
      <w:proofErr w:type="spellStart"/>
      <w:r w:rsidRPr="001C50C8">
        <w:rPr>
          <w:rFonts w:ascii="Garamond" w:hAnsi="Garamond"/>
          <w:lang w:val="pt-PT"/>
        </w:rPr>
        <w:t>direta</w:t>
      </w:r>
      <w:proofErr w:type="spellEnd"/>
      <w:r w:rsidRPr="001C50C8">
        <w:rPr>
          <w:rFonts w:ascii="Garamond" w:hAnsi="Garamond"/>
          <w:lang w:val="pt-PT"/>
        </w:rPr>
        <w:t xml:space="preserve">, se se comparar os dados das vítimas </w:t>
      </w:r>
      <w:proofErr w:type="spellStart"/>
      <w:r w:rsidRPr="001C50C8">
        <w:rPr>
          <w:rFonts w:ascii="Garamond" w:hAnsi="Garamond"/>
          <w:lang w:val="pt-PT"/>
        </w:rPr>
        <w:t>VBG</w:t>
      </w:r>
      <w:proofErr w:type="spellEnd"/>
      <w:r w:rsidRPr="001C50C8">
        <w:rPr>
          <w:rFonts w:ascii="Garamond" w:hAnsi="Garamond"/>
          <w:lang w:val="pt-PT"/>
        </w:rPr>
        <w:t xml:space="preserve"> atendidas </w:t>
      </w:r>
      <w:proofErr w:type="spellStart"/>
      <w:r w:rsidRPr="001C50C8">
        <w:rPr>
          <w:rFonts w:ascii="Garamond" w:hAnsi="Garamond"/>
          <w:lang w:val="pt-PT"/>
        </w:rPr>
        <w:t>pelos</w:t>
      </w:r>
      <w:proofErr w:type="spellEnd"/>
      <w:r w:rsidRPr="001C50C8">
        <w:rPr>
          <w:rFonts w:ascii="Garamond" w:hAnsi="Garamond"/>
          <w:lang w:val="pt-PT"/>
        </w:rPr>
        <w:t xml:space="preserve"> serviços de apoio (gráfico </w:t>
      </w:r>
      <w:r w:rsidRPr="001C50C8">
        <w:rPr>
          <w:rFonts w:ascii="Garamond" w:hAnsi="Garamond"/>
          <w:highlight w:val="yellow"/>
          <w:lang w:val="pt-PT"/>
        </w:rPr>
        <w:t>2</w:t>
      </w:r>
      <w:r w:rsidRPr="001C50C8">
        <w:rPr>
          <w:rFonts w:ascii="Garamond" w:hAnsi="Garamond"/>
          <w:lang w:val="pt-PT"/>
        </w:rPr>
        <w:t xml:space="preserve">) aos dados das queixas recebidas </w:t>
      </w:r>
      <w:proofErr w:type="spellStart"/>
      <w:r w:rsidRPr="001C50C8">
        <w:rPr>
          <w:rFonts w:ascii="Garamond" w:hAnsi="Garamond"/>
          <w:lang w:val="pt-PT"/>
        </w:rPr>
        <w:t>pela</w:t>
      </w:r>
      <w:proofErr w:type="spellEnd"/>
      <w:r w:rsidRPr="001C50C8">
        <w:rPr>
          <w:rFonts w:ascii="Garamond" w:hAnsi="Garamond"/>
          <w:lang w:val="pt-PT"/>
        </w:rPr>
        <w:t xml:space="preserve"> PN (gráfico </w:t>
      </w:r>
      <w:r w:rsidRPr="001C50C8">
        <w:rPr>
          <w:rFonts w:ascii="Garamond" w:hAnsi="Garamond"/>
          <w:highlight w:val="yellow"/>
          <w:lang w:val="pt-PT"/>
        </w:rPr>
        <w:t>1</w:t>
      </w:r>
      <w:r w:rsidRPr="001C50C8">
        <w:rPr>
          <w:rFonts w:ascii="Garamond" w:hAnsi="Garamond"/>
          <w:lang w:val="pt-PT"/>
        </w:rPr>
        <w:t>),</w:t>
      </w:r>
      <w:r w:rsidRPr="001C50C8">
        <w:rPr>
          <w:rStyle w:val="Refdenotaderodap"/>
          <w:rFonts w:ascii="Garamond" w:hAnsi="Garamond"/>
        </w:rPr>
        <w:footnoteReference w:id="73"/>
      </w:r>
      <w:r w:rsidRPr="001C50C8">
        <w:rPr>
          <w:rFonts w:ascii="Garamond" w:hAnsi="Garamond"/>
          <w:lang w:val="pt-PT"/>
        </w:rPr>
        <w:t xml:space="preserve"> verificamos que há sempre mais queixas do que atendimentos. Assim, entre 2013 e 2014 a cobertura dos atendimentos ronda em média os 65% das queixas apresentadas, entre 2015 e 2016 ultrapassa os 74%, mas em 2017 há um retrocesso enorme, descendo para 9%; em 2018 os atendimentos aumentaram, mas ainda assim apenas representam 40% das queixas recebidas </w:t>
      </w:r>
      <w:proofErr w:type="spellStart"/>
      <w:r w:rsidRPr="001C50C8">
        <w:rPr>
          <w:rFonts w:ascii="Garamond" w:hAnsi="Garamond"/>
          <w:lang w:val="pt-PT"/>
        </w:rPr>
        <w:t>pela</w:t>
      </w:r>
      <w:proofErr w:type="spellEnd"/>
      <w:r w:rsidRPr="001C50C8">
        <w:rPr>
          <w:rFonts w:ascii="Garamond" w:hAnsi="Garamond"/>
          <w:lang w:val="pt-PT"/>
        </w:rPr>
        <w:t xml:space="preserve"> PN (apesar da sua diminuição). </w:t>
      </w:r>
    </w:p>
    <w:p w14:paraId="5A50B478" w14:textId="77777777" w:rsidR="00541FA6" w:rsidRDefault="00541FA6" w:rsidP="00541FA6">
      <w:pPr>
        <w:spacing w:after="240"/>
        <w:jc w:val="both"/>
        <w:rPr>
          <w:rFonts w:ascii="Garamond" w:hAnsi="Garamond"/>
          <w:lang w:val="pt-PT"/>
        </w:rPr>
      </w:pPr>
      <w:r>
        <w:rPr>
          <w:rFonts w:ascii="Garamond" w:hAnsi="Garamond"/>
          <w:lang w:val="pt-PT"/>
        </w:rPr>
        <w:t xml:space="preserve">Além disso, os dados de 2018 do </w:t>
      </w:r>
      <w:proofErr w:type="spellStart"/>
      <w:r>
        <w:rPr>
          <w:rFonts w:ascii="Garamond" w:hAnsi="Garamond"/>
          <w:lang w:val="pt-PT"/>
        </w:rPr>
        <w:t>IDSR</w:t>
      </w:r>
      <w:proofErr w:type="spellEnd"/>
      <w:r>
        <w:rPr>
          <w:rFonts w:ascii="Garamond" w:hAnsi="Garamond"/>
          <w:lang w:val="pt-PT"/>
        </w:rPr>
        <w:t xml:space="preserve"> III mostram que apenas </w:t>
      </w:r>
      <w:r w:rsidRPr="003D50DF">
        <w:rPr>
          <w:rFonts w:ascii="Garamond" w:hAnsi="Garamond"/>
          <w:lang w:val="pt-PT"/>
        </w:rPr>
        <w:t>4 em cada 10 mulheres procuram ajuda após terem sofrido violência física e/ou sexual (qualquer autor) (39,9%)</w:t>
      </w:r>
      <w:r>
        <w:rPr>
          <w:rFonts w:ascii="Garamond" w:hAnsi="Garamond"/>
          <w:lang w:val="pt-PT"/>
        </w:rPr>
        <w:t xml:space="preserve">, metade das quais se dirige </w:t>
      </w:r>
      <w:r w:rsidRPr="003D50DF">
        <w:rPr>
          <w:rFonts w:ascii="Garamond" w:hAnsi="Garamond"/>
          <w:lang w:val="pt-PT"/>
        </w:rPr>
        <w:t xml:space="preserve">à Polícia (50%). </w:t>
      </w:r>
    </w:p>
    <w:p w14:paraId="65285827" w14:textId="77777777" w:rsidR="00541FA6" w:rsidRPr="00BE46E6" w:rsidRDefault="00541FA6" w:rsidP="00541FA6">
      <w:pPr>
        <w:spacing w:after="240"/>
        <w:jc w:val="both"/>
        <w:rPr>
          <w:rFonts w:ascii="Garamond" w:hAnsi="Garamond"/>
          <w:lang w:val="pt-PT"/>
        </w:rPr>
      </w:pPr>
      <w:r w:rsidRPr="001C50C8">
        <w:rPr>
          <w:rFonts w:ascii="Garamond" w:hAnsi="Garamond"/>
          <w:lang w:val="pt-PT"/>
        </w:rPr>
        <w:t xml:space="preserve">Por outro lado, não está claro que o atendimento prestado às vítimas de </w:t>
      </w:r>
      <w:proofErr w:type="spellStart"/>
      <w:r w:rsidRPr="001C50C8">
        <w:rPr>
          <w:rFonts w:ascii="Garamond" w:hAnsi="Garamond"/>
          <w:lang w:val="pt-PT"/>
        </w:rPr>
        <w:t>VBG</w:t>
      </w:r>
      <w:proofErr w:type="spellEnd"/>
      <w:r w:rsidRPr="001C50C8">
        <w:rPr>
          <w:rFonts w:ascii="Garamond" w:hAnsi="Garamond"/>
          <w:lang w:val="pt-PT"/>
        </w:rPr>
        <w:t xml:space="preserve"> seja multidisciplinar nos termos estabelecidos na lei (psicológico, legal, social), já que os </w:t>
      </w:r>
      <w:proofErr w:type="spellStart"/>
      <w:r w:rsidRPr="001C50C8">
        <w:rPr>
          <w:rFonts w:ascii="Garamond" w:hAnsi="Garamond"/>
          <w:lang w:val="pt-PT"/>
        </w:rPr>
        <w:t>CAVs</w:t>
      </w:r>
      <w:proofErr w:type="spellEnd"/>
      <w:r w:rsidRPr="001C50C8">
        <w:rPr>
          <w:rFonts w:ascii="Garamond" w:hAnsi="Garamond"/>
          <w:lang w:val="pt-PT"/>
        </w:rPr>
        <w:t xml:space="preserve"> não dispõem de equipa multidisciplinar, e ainda carecem de formação específica em atendimento a vítimas de </w:t>
      </w:r>
      <w:proofErr w:type="spellStart"/>
      <w:r w:rsidRPr="001C50C8">
        <w:rPr>
          <w:rFonts w:ascii="Garamond" w:hAnsi="Garamond"/>
          <w:lang w:val="pt-PT"/>
        </w:rPr>
        <w:t>VBG</w:t>
      </w:r>
      <w:proofErr w:type="spellEnd"/>
      <w:r w:rsidRPr="001C50C8">
        <w:rPr>
          <w:rFonts w:ascii="Garamond" w:hAnsi="Garamond"/>
          <w:lang w:val="pt-PT"/>
        </w:rPr>
        <w:t>, nas suas várias dimensões. A prestação destes serviços poderia ser assegurada p</w:t>
      </w:r>
      <w:r w:rsidRPr="00BE46E6">
        <w:rPr>
          <w:rFonts w:ascii="Garamond" w:hAnsi="Garamond"/>
          <w:lang w:val="pt-PT"/>
        </w:rPr>
        <w:t xml:space="preserve">or via de parcerias com instituições/organizações da Rede SOL, não fosse a Rede se encontrar enfraquecida (coordenação, parcerias, capacidades). </w:t>
      </w:r>
    </w:p>
    <w:p w14:paraId="57CAB3F9" w14:textId="77777777" w:rsidR="00541FA6" w:rsidRDefault="00541FA6" w:rsidP="00541FA6">
      <w:pPr>
        <w:jc w:val="both"/>
        <w:rPr>
          <w:rFonts w:ascii="Garamond" w:hAnsi="Garamond"/>
          <w:lang w:val="pt-PT"/>
        </w:rPr>
      </w:pPr>
      <w:r w:rsidRPr="00BE46E6">
        <w:rPr>
          <w:rFonts w:ascii="Garamond" w:hAnsi="Garamond"/>
          <w:lang w:val="pt-PT"/>
        </w:rPr>
        <w:t>Desde 2017 o Ministério da Justiça assinou protocolos com as Câmaras Municipais do país para contratação de um jurista para prestação da informação jurídica em cada município.</w:t>
      </w:r>
      <w:r>
        <w:rPr>
          <w:rStyle w:val="Refdenotaderodap"/>
          <w:rFonts w:ascii="Garamond" w:hAnsi="Garamond"/>
          <w:lang w:val="pt-PT"/>
        </w:rPr>
        <w:footnoteReference w:id="74"/>
      </w:r>
      <w:r w:rsidRPr="00BE46E6">
        <w:rPr>
          <w:rFonts w:ascii="Garamond" w:hAnsi="Garamond"/>
          <w:lang w:val="pt-PT"/>
        </w:rPr>
        <w:t xml:space="preserve"> Contudo, não estão disponíveis relatórios que permitam aferir o número de vítimas de </w:t>
      </w:r>
      <w:proofErr w:type="spellStart"/>
      <w:r w:rsidRPr="00BE46E6">
        <w:rPr>
          <w:rFonts w:ascii="Garamond" w:hAnsi="Garamond"/>
          <w:lang w:val="pt-PT"/>
        </w:rPr>
        <w:t>VBG</w:t>
      </w:r>
      <w:proofErr w:type="spellEnd"/>
      <w:r w:rsidRPr="00BE46E6">
        <w:rPr>
          <w:rFonts w:ascii="Garamond" w:hAnsi="Garamond"/>
          <w:lang w:val="pt-PT"/>
        </w:rPr>
        <w:t xml:space="preserve"> atendidas no âmbito destes protocolos. De referir por último que o atendimento às vítimas deve ser prestado por técnico(a)s especializado(a)s, seguindo os protocolos e instrumentos estabelecidos, para garantir a qualidade dos serviços. </w:t>
      </w:r>
    </w:p>
    <w:p w14:paraId="16672F33" w14:textId="77777777" w:rsidR="00541FA6" w:rsidRPr="001C50C8" w:rsidRDefault="00541FA6" w:rsidP="002A62A2">
      <w:pPr>
        <w:pStyle w:val="PargrafodaLista"/>
        <w:numPr>
          <w:ilvl w:val="0"/>
          <w:numId w:val="70"/>
        </w:numPr>
        <w:spacing w:after="240"/>
        <w:jc w:val="both"/>
        <w:rPr>
          <w:rFonts w:ascii="Garamond" w:hAnsi="Garamond"/>
          <w:lang w:val="pt-PT"/>
        </w:rPr>
      </w:pPr>
      <w:r w:rsidRPr="00AF7C49">
        <w:rPr>
          <w:rFonts w:ascii="Garamond" w:hAnsi="Garamond"/>
          <w:lang w:val="pt-PT"/>
        </w:rPr>
        <w:t xml:space="preserve">Sendo o modelo actual dos </w:t>
      </w:r>
      <w:proofErr w:type="spellStart"/>
      <w:r w:rsidRPr="00AF7C49">
        <w:rPr>
          <w:rFonts w:ascii="Garamond" w:hAnsi="Garamond"/>
          <w:lang w:val="pt-PT"/>
        </w:rPr>
        <w:t>CAV</w:t>
      </w:r>
      <w:proofErr w:type="spellEnd"/>
      <w:r w:rsidRPr="00AF7C49">
        <w:rPr>
          <w:rFonts w:ascii="Garamond" w:hAnsi="Garamond"/>
          <w:lang w:val="pt-PT"/>
        </w:rPr>
        <w:t xml:space="preserve"> um modelo novo, há necessidade urgente de realizar um levantamento das condições das suas instalações e do seu funcionamento em cada ilha/município</w:t>
      </w:r>
      <w:r w:rsidRPr="001C50C8">
        <w:rPr>
          <w:rFonts w:ascii="Garamond" w:hAnsi="Garamond"/>
          <w:lang w:val="pt-PT"/>
        </w:rPr>
        <w:t xml:space="preserve">, incluindo: a forma como os serviços são conhecidos e percebidos </w:t>
      </w:r>
      <w:proofErr w:type="spellStart"/>
      <w:r w:rsidRPr="001C50C8">
        <w:rPr>
          <w:rFonts w:ascii="Garamond" w:hAnsi="Garamond"/>
          <w:lang w:val="pt-PT"/>
        </w:rPr>
        <w:t>pela</w:t>
      </w:r>
      <w:proofErr w:type="spellEnd"/>
      <w:r w:rsidRPr="001C50C8">
        <w:rPr>
          <w:rFonts w:ascii="Garamond" w:hAnsi="Garamond"/>
          <w:lang w:val="pt-PT"/>
        </w:rPr>
        <w:t xml:space="preserve"> comunidade e </w:t>
      </w:r>
      <w:proofErr w:type="spellStart"/>
      <w:r w:rsidRPr="001C50C8">
        <w:rPr>
          <w:rFonts w:ascii="Garamond" w:hAnsi="Garamond"/>
          <w:lang w:val="pt-PT"/>
        </w:rPr>
        <w:t>pelos</w:t>
      </w:r>
      <w:proofErr w:type="spellEnd"/>
      <w:r w:rsidRPr="001C50C8">
        <w:rPr>
          <w:rFonts w:ascii="Garamond" w:hAnsi="Garamond"/>
          <w:lang w:val="pt-PT"/>
        </w:rPr>
        <w:t xml:space="preserve"> profissionais dos sistemas judiciais e policiais; a forma  os </w:t>
      </w:r>
      <w:proofErr w:type="spellStart"/>
      <w:r w:rsidRPr="001C50C8">
        <w:rPr>
          <w:rFonts w:ascii="Garamond" w:hAnsi="Garamond"/>
          <w:lang w:val="pt-PT"/>
        </w:rPr>
        <w:t>CAV</w:t>
      </w:r>
      <w:proofErr w:type="spellEnd"/>
      <w:r w:rsidRPr="001C50C8">
        <w:rPr>
          <w:rFonts w:ascii="Garamond" w:hAnsi="Garamond"/>
          <w:lang w:val="pt-PT"/>
        </w:rPr>
        <w:t xml:space="preserve"> e os seus parceiros cumprem os procedimentos definidos,</w:t>
      </w:r>
      <w:r w:rsidRPr="001C50C8">
        <w:rPr>
          <w:rStyle w:val="Refdenotaderodap"/>
          <w:rFonts w:ascii="Garamond" w:hAnsi="Garamond"/>
          <w:lang w:val="pt-PT"/>
        </w:rPr>
        <w:footnoteReference w:id="75"/>
      </w:r>
      <w:r w:rsidRPr="001C50C8">
        <w:rPr>
          <w:rFonts w:ascii="Garamond" w:hAnsi="Garamond"/>
          <w:lang w:val="pt-PT"/>
        </w:rPr>
        <w:t xml:space="preserve"> e usam os instrumentos de interlocução e encaminhamento de vítimas (incluindo o sistema </w:t>
      </w:r>
      <w:proofErr w:type="spellStart"/>
      <w:r w:rsidRPr="001C50C8">
        <w:rPr>
          <w:rFonts w:ascii="Garamond" w:hAnsi="Garamond"/>
          <w:lang w:val="pt-PT"/>
        </w:rPr>
        <w:t>INTRASOL</w:t>
      </w:r>
      <w:proofErr w:type="spellEnd"/>
      <w:r w:rsidRPr="001C50C8">
        <w:rPr>
          <w:rFonts w:ascii="Garamond" w:hAnsi="Garamond"/>
          <w:lang w:val="pt-PT"/>
        </w:rPr>
        <w:t xml:space="preserve">); a forma como estabelecem planos para o empoderamento das vítimas e apoio à unidade familiar; entre outras funções previstas na Regulamentação da Lei </w:t>
      </w:r>
      <w:proofErr w:type="spellStart"/>
      <w:r w:rsidRPr="001C50C8">
        <w:rPr>
          <w:rFonts w:ascii="Garamond" w:hAnsi="Garamond"/>
          <w:lang w:val="pt-PT"/>
        </w:rPr>
        <w:t>VBG</w:t>
      </w:r>
      <w:proofErr w:type="spellEnd"/>
      <w:r w:rsidRPr="001C50C8">
        <w:rPr>
          <w:rFonts w:ascii="Garamond" w:hAnsi="Garamond"/>
          <w:lang w:val="pt-PT"/>
        </w:rPr>
        <w:t xml:space="preserve">, e elaborar um plano para a sua consolidação, incluindo em termos de formação do seu pessoal, colaboradores e redinamização da Rede SOL.      </w:t>
      </w:r>
    </w:p>
    <w:p w14:paraId="0F8A85E8" w14:textId="77777777" w:rsidR="00541FA6" w:rsidRPr="00705EA1" w:rsidRDefault="00541FA6" w:rsidP="002A62A2">
      <w:pPr>
        <w:pStyle w:val="PargrafodaLista"/>
        <w:numPr>
          <w:ilvl w:val="0"/>
          <w:numId w:val="70"/>
        </w:numPr>
        <w:spacing w:after="240"/>
        <w:jc w:val="both"/>
        <w:rPr>
          <w:rFonts w:ascii="Garamond" w:hAnsi="Garamond"/>
          <w:lang w:val="pt-PT"/>
        </w:rPr>
      </w:pPr>
      <w:r w:rsidRPr="00705EA1">
        <w:rPr>
          <w:rFonts w:ascii="Garamond" w:hAnsi="Garamond"/>
          <w:lang w:val="pt-PT"/>
        </w:rPr>
        <w:t xml:space="preserve">É fundamental operacionalizar um sistema de supervisão/seguimento da prestação dos serviços de apoio às vítimas de </w:t>
      </w:r>
      <w:proofErr w:type="spellStart"/>
      <w:r w:rsidRPr="00705EA1">
        <w:rPr>
          <w:rFonts w:ascii="Garamond" w:hAnsi="Garamond"/>
          <w:lang w:val="pt-PT"/>
        </w:rPr>
        <w:t>VBG</w:t>
      </w:r>
      <w:proofErr w:type="spellEnd"/>
      <w:r w:rsidRPr="00705EA1">
        <w:rPr>
          <w:rFonts w:ascii="Garamond" w:hAnsi="Garamond"/>
          <w:lang w:val="pt-PT"/>
        </w:rPr>
        <w:t xml:space="preserve"> e sua qualidade.</w:t>
      </w:r>
    </w:p>
    <w:p w14:paraId="503FC89B" w14:textId="77777777" w:rsidR="00541FA6" w:rsidRDefault="00541FA6" w:rsidP="002A62A2">
      <w:pPr>
        <w:pStyle w:val="PargrafodaLista"/>
        <w:numPr>
          <w:ilvl w:val="0"/>
          <w:numId w:val="70"/>
        </w:numPr>
        <w:spacing w:after="240"/>
        <w:jc w:val="both"/>
        <w:rPr>
          <w:rFonts w:ascii="Garamond" w:hAnsi="Garamond"/>
          <w:lang w:val="pt-PT"/>
        </w:rPr>
      </w:pPr>
      <w:r w:rsidRPr="00705EA1">
        <w:rPr>
          <w:rFonts w:ascii="Garamond" w:hAnsi="Garamond"/>
          <w:lang w:val="pt-PT"/>
        </w:rPr>
        <w:t xml:space="preserve">Bem como de um sistema de seguimento da prestação de informação jurídica nos municípios que seja sensível ao género, permitindo quantificar o número de atendimentos prestados a mulheres e questões sobre as quais procuraram informação jurídica. </w:t>
      </w:r>
    </w:p>
    <w:p w14:paraId="39FFCC68" w14:textId="77777777" w:rsidR="00541FA6" w:rsidRPr="00321B20" w:rsidRDefault="00541FA6" w:rsidP="00541FA6">
      <w:pPr>
        <w:pStyle w:val="PargrafodaLista"/>
        <w:ind w:left="782"/>
        <w:contextualSpacing w:val="0"/>
        <w:jc w:val="both"/>
        <w:rPr>
          <w:rFonts w:ascii="Garamond" w:hAnsi="Garamond"/>
          <w:lang w:val="pt-PT"/>
        </w:rPr>
      </w:pPr>
      <w:r w:rsidRPr="00321B20">
        <w:rPr>
          <w:rFonts w:ascii="Garamond" w:hAnsi="Garamond"/>
          <w:lang w:val="pt-PT"/>
        </w:rPr>
        <w:t xml:space="preserve">  </w:t>
      </w:r>
    </w:p>
    <w:bookmarkEnd w:id="67"/>
    <w:p w14:paraId="2551936A" w14:textId="77777777" w:rsidR="00541FA6" w:rsidRPr="005A1176" w:rsidRDefault="00541FA6" w:rsidP="00541FA6">
      <w:pPr>
        <w:pStyle w:val="Textodecomentrio"/>
        <w:jc w:val="both"/>
        <w:rPr>
          <w:rFonts w:ascii="Garamond" w:hAnsi="Garamond"/>
          <w:color w:val="ED7D31" w:themeColor="accent2"/>
          <w:sz w:val="24"/>
          <w:szCs w:val="24"/>
          <w:lang w:val="pt-PT"/>
        </w:rPr>
      </w:pPr>
      <w:r w:rsidRPr="00992DE8">
        <w:rPr>
          <w:rFonts w:ascii="Garamond" w:hAnsi="Garamond"/>
          <w:sz w:val="24"/>
          <w:szCs w:val="24"/>
          <w:lang w:val="pt-PT"/>
        </w:rPr>
        <w:t xml:space="preserve">Em termos de patrocínio judiciário, imprescindível para o acesso à justiça das vítimas de </w:t>
      </w:r>
      <w:proofErr w:type="spellStart"/>
      <w:r w:rsidRPr="00992DE8">
        <w:rPr>
          <w:rFonts w:ascii="Garamond" w:hAnsi="Garamond"/>
          <w:sz w:val="24"/>
          <w:szCs w:val="24"/>
          <w:lang w:val="pt-PT"/>
        </w:rPr>
        <w:t>VBG</w:t>
      </w:r>
      <w:proofErr w:type="spellEnd"/>
      <w:r w:rsidRPr="00992DE8">
        <w:rPr>
          <w:rFonts w:ascii="Garamond" w:hAnsi="Garamond"/>
          <w:sz w:val="24"/>
          <w:szCs w:val="24"/>
          <w:lang w:val="pt-PT"/>
        </w:rPr>
        <w:t xml:space="preserve">, e das mulheres em geral noutros tipos de processos (tais como o reconhecimento judicial da união de fato, divórcio, regulação </w:t>
      </w:r>
      <w:r w:rsidRPr="001C50C8">
        <w:rPr>
          <w:rFonts w:ascii="Garamond" w:hAnsi="Garamond"/>
          <w:sz w:val="24"/>
          <w:szCs w:val="24"/>
          <w:lang w:val="pt-PT"/>
        </w:rPr>
        <w:t xml:space="preserve">do poder paternal, pensão de alimentos, etc.), apenas é prestado para vítimas que não possuem condições económicas, através da </w:t>
      </w:r>
      <w:proofErr w:type="spellStart"/>
      <w:r w:rsidRPr="001C50C8">
        <w:rPr>
          <w:rFonts w:ascii="Garamond" w:hAnsi="Garamond"/>
          <w:sz w:val="24"/>
          <w:szCs w:val="24"/>
          <w:lang w:val="pt-PT"/>
        </w:rPr>
        <w:t>OACV</w:t>
      </w:r>
      <w:proofErr w:type="spellEnd"/>
      <w:r w:rsidRPr="001C50C8">
        <w:rPr>
          <w:rFonts w:ascii="Garamond" w:hAnsi="Garamond"/>
          <w:sz w:val="24"/>
          <w:szCs w:val="24"/>
          <w:lang w:val="pt-PT"/>
        </w:rPr>
        <w:t xml:space="preserve">. Apenas pessoas que têm rendimento inferior a 22.500 </w:t>
      </w:r>
      <w:proofErr w:type="spellStart"/>
      <w:r w:rsidRPr="001C50C8">
        <w:rPr>
          <w:rFonts w:ascii="Garamond" w:hAnsi="Garamond"/>
          <w:sz w:val="24"/>
          <w:szCs w:val="24"/>
          <w:lang w:val="pt-PT"/>
        </w:rPr>
        <w:t>ECV</w:t>
      </w:r>
      <w:proofErr w:type="spellEnd"/>
      <w:r w:rsidRPr="001C50C8">
        <w:rPr>
          <w:rFonts w:ascii="Garamond" w:hAnsi="Garamond"/>
          <w:sz w:val="24"/>
          <w:szCs w:val="24"/>
          <w:lang w:val="pt-PT"/>
        </w:rPr>
        <w:t>,</w:t>
      </w:r>
      <w:r w:rsidRPr="001C50C8">
        <w:rPr>
          <w:rStyle w:val="Refdenotaderodap"/>
          <w:rFonts w:ascii="Garamond" w:hAnsi="Garamond"/>
          <w:sz w:val="24"/>
          <w:szCs w:val="24"/>
          <w:lang w:val="pt-PT"/>
        </w:rPr>
        <w:footnoteReference w:id="76"/>
      </w:r>
      <w:r w:rsidRPr="001C50C8">
        <w:rPr>
          <w:rFonts w:ascii="Garamond" w:hAnsi="Garamond"/>
          <w:sz w:val="24"/>
          <w:szCs w:val="24"/>
          <w:lang w:val="pt-PT"/>
        </w:rPr>
        <w:t xml:space="preserve"> são presumíveis beneficiárias </w:t>
      </w:r>
      <w:proofErr w:type="spellStart"/>
      <w:r w:rsidRPr="001C50C8">
        <w:rPr>
          <w:rFonts w:ascii="Garamond" w:hAnsi="Garamond"/>
          <w:sz w:val="24"/>
          <w:szCs w:val="24"/>
          <w:lang w:val="pt-PT"/>
        </w:rPr>
        <w:t>diretas</w:t>
      </w:r>
      <w:proofErr w:type="spellEnd"/>
      <w:r w:rsidRPr="001C50C8">
        <w:rPr>
          <w:rFonts w:ascii="Garamond" w:hAnsi="Garamond"/>
          <w:sz w:val="24"/>
          <w:szCs w:val="24"/>
          <w:lang w:val="pt-PT"/>
        </w:rPr>
        <w:t xml:space="preserve"> da assistência judiciária, nos termos da lei 35/III/88 de 18 de </w:t>
      </w:r>
      <w:proofErr w:type="spellStart"/>
      <w:r w:rsidRPr="001C50C8">
        <w:rPr>
          <w:rFonts w:ascii="Garamond" w:hAnsi="Garamond"/>
          <w:sz w:val="24"/>
          <w:szCs w:val="24"/>
          <w:lang w:val="pt-PT"/>
        </w:rPr>
        <w:t>julho</w:t>
      </w:r>
      <w:proofErr w:type="spellEnd"/>
      <w:r w:rsidRPr="001C50C8">
        <w:rPr>
          <w:rFonts w:ascii="Garamond" w:hAnsi="Garamond"/>
          <w:sz w:val="24"/>
          <w:szCs w:val="24"/>
          <w:lang w:val="pt-PT"/>
        </w:rPr>
        <w:t>, as que têm rendimento superior, mas modesto, deverão custear os honorários de advogado e as custas do tribunal,</w:t>
      </w:r>
      <w:r>
        <w:rPr>
          <w:rFonts w:ascii="Garamond" w:hAnsi="Garamond"/>
          <w:sz w:val="24"/>
          <w:szCs w:val="24"/>
          <w:lang w:val="pt-PT"/>
        </w:rPr>
        <w:t xml:space="preserve"> ambos</w:t>
      </w:r>
      <w:r w:rsidRPr="001C50C8">
        <w:rPr>
          <w:rFonts w:ascii="Garamond" w:hAnsi="Garamond"/>
          <w:sz w:val="24"/>
          <w:szCs w:val="24"/>
          <w:lang w:val="pt-PT"/>
        </w:rPr>
        <w:t xml:space="preserve"> com custos </w:t>
      </w:r>
      <w:r w:rsidRPr="005A1176">
        <w:rPr>
          <w:rFonts w:ascii="Garamond" w:hAnsi="Garamond"/>
          <w:sz w:val="24"/>
          <w:szCs w:val="24"/>
          <w:lang w:val="pt-PT"/>
        </w:rPr>
        <w:t>elevados, sabendo-</w:t>
      </w:r>
      <w:r w:rsidRPr="006278D6">
        <w:rPr>
          <w:rFonts w:ascii="Garamond" w:hAnsi="Garamond"/>
          <w:sz w:val="24"/>
          <w:szCs w:val="24"/>
          <w:lang w:val="pt-PT"/>
        </w:rPr>
        <w:t>se que as mulheres frequentemente têm um maior grau de dependência económica.</w:t>
      </w:r>
      <w:r>
        <w:rPr>
          <w:rStyle w:val="Refdenotaderodap"/>
          <w:rFonts w:ascii="Garamond" w:hAnsi="Garamond"/>
          <w:sz w:val="24"/>
          <w:szCs w:val="24"/>
          <w:lang w:val="pt-PT"/>
        </w:rPr>
        <w:footnoteReference w:id="77"/>
      </w:r>
      <w:r w:rsidRPr="006278D6">
        <w:rPr>
          <w:rFonts w:ascii="Garamond" w:hAnsi="Garamond"/>
          <w:sz w:val="24"/>
          <w:szCs w:val="24"/>
          <w:lang w:val="pt-PT"/>
        </w:rPr>
        <w:t xml:space="preserve"> A </w:t>
      </w:r>
      <w:proofErr w:type="spellStart"/>
      <w:r w:rsidRPr="006278D6">
        <w:rPr>
          <w:rFonts w:ascii="Garamond" w:hAnsi="Garamond"/>
          <w:sz w:val="24"/>
          <w:szCs w:val="24"/>
          <w:lang w:val="pt-PT"/>
        </w:rPr>
        <w:t>OACV</w:t>
      </w:r>
      <w:proofErr w:type="spellEnd"/>
      <w:r w:rsidRPr="006278D6">
        <w:rPr>
          <w:rFonts w:ascii="Garamond" w:hAnsi="Garamond"/>
          <w:sz w:val="24"/>
          <w:szCs w:val="24"/>
          <w:lang w:val="pt-PT"/>
        </w:rPr>
        <w:t xml:space="preserve"> por outro lado não possui Delegações em todas as ilhas do país. </w:t>
      </w:r>
      <w:r w:rsidRPr="00293F66">
        <w:rPr>
          <w:rFonts w:ascii="Garamond" w:hAnsi="Garamond"/>
          <w:sz w:val="24"/>
          <w:szCs w:val="24"/>
          <w:lang w:val="pt-PT"/>
        </w:rPr>
        <w:t xml:space="preserve">A </w:t>
      </w:r>
      <w:proofErr w:type="spellStart"/>
      <w:r w:rsidRPr="00293F66">
        <w:rPr>
          <w:rFonts w:ascii="Garamond" w:hAnsi="Garamond"/>
          <w:sz w:val="24"/>
          <w:szCs w:val="24"/>
          <w:lang w:val="pt-PT"/>
        </w:rPr>
        <w:t>OACV</w:t>
      </w:r>
      <w:proofErr w:type="spellEnd"/>
      <w:r w:rsidRPr="00293F66">
        <w:rPr>
          <w:rFonts w:ascii="Garamond" w:hAnsi="Garamond"/>
          <w:sz w:val="24"/>
          <w:szCs w:val="24"/>
          <w:lang w:val="pt-PT"/>
        </w:rPr>
        <w:t xml:space="preserve"> e o Ministério da Justiça não dispõem de dados sistematizados por sexo, zona geográfica e tipo de processo em </w:t>
      </w:r>
      <w:r>
        <w:rPr>
          <w:rFonts w:ascii="Garamond" w:hAnsi="Garamond"/>
          <w:sz w:val="24"/>
          <w:szCs w:val="24"/>
          <w:lang w:val="pt-PT"/>
        </w:rPr>
        <w:t xml:space="preserve">matéria de </w:t>
      </w:r>
      <w:r w:rsidRPr="00293F66">
        <w:rPr>
          <w:rFonts w:ascii="Garamond" w:hAnsi="Garamond"/>
          <w:sz w:val="24"/>
          <w:szCs w:val="24"/>
          <w:lang w:val="pt-PT"/>
        </w:rPr>
        <w:t>patrocínio judiciário</w:t>
      </w:r>
      <w:r>
        <w:rPr>
          <w:rFonts w:ascii="Garamond" w:hAnsi="Garamond"/>
          <w:sz w:val="24"/>
          <w:szCs w:val="24"/>
          <w:lang w:val="pt-PT"/>
        </w:rPr>
        <w:t xml:space="preserve"> prestado</w:t>
      </w:r>
      <w:r w:rsidRPr="00293F66">
        <w:rPr>
          <w:rFonts w:ascii="Garamond" w:hAnsi="Garamond"/>
          <w:sz w:val="24"/>
          <w:szCs w:val="24"/>
          <w:lang w:val="pt-PT"/>
        </w:rPr>
        <w:t xml:space="preserve">, </w:t>
      </w:r>
      <w:proofErr w:type="spellStart"/>
      <w:r w:rsidRPr="00293F66">
        <w:rPr>
          <w:rFonts w:ascii="Garamond" w:hAnsi="Garamond"/>
          <w:sz w:val="24"/>
          <w:szCs w:val="24"/>
          <w:lang w:val="pt-PT"/>
        </w:rPr>
        <w:t>pelo</w:t>
      </w:r>
      <w:proofErr w:type="spellEnd"/>
      <w:r w:rsidRPr="00293F66">
        <w:rPr>
          <w:rFonts w:ascii="Garamond" w:hAnsi="Garamond"/>
          <w:sz w:val="24"/>
          <w:szCs w:val="24"/>
          <w:lang w:val="pt-PT"/>
        </w:rPr>
        <w:t xml:space="preserve"> que não é possível saber o número de mulheres e homens que beneficiam de assistência judiciária, de que zonas do país e para que tipo de processo. </w:t>
      </w:r>
      <w:r w:rsidRPr="00BE46E6">
        <w:rPr>
          <w:rFonts w:ascii="Garamond" w:hAnsi="Garamond"/>
          <w:sz w:val="24"/>
          <w:szCs w:val="24"/>
          <w:lang w:val="pt-PT"/>
        </w:rPr>
        <w:t xml:space="preserve">Nesse sentido não se tem ideia se as mulheres mais pobres, em particular as vítimas de </w:t>
      </w:r>
      <w:proofErr w:type="spellStart"/>
      <w:r w:rsidRPr="00BE46E6">
        <w:rPr>
          <w:rFonts w:ascii="Garamond" w:hAnsi="Garamond"/>
          <w:sz w:val="24"/>
          <w:szCs w:val="24"/>
          <w:lang w:val="pt-PT"/>
        </w:rPr>
        <w:t>VBG</w:t>
      </w:r>
      <w:proofErr w:type="spellEnd"/>
      <w:r w:rsidRPr="00BE46E6">
        <w:rPr>
          <w:rFonts w:ascii="Garamond" w:hAnsi="Garamond"/>
          <w:sz w:val="24"/>
          <w:szCs w:val="24"/>
          <w:lang w:val="pt-PT"/>
        </w:rPr>
        <w:t>, têm as suas necessidades de patrocínio e assistência judiciária cobertas, em processos tão importantes para fazerem valer os seus direitos.</w:t>
      </w:r>
      <w:r>
        <w:rPr>
          <w:rFonts w:ascii="Garamond" w:hAnsi="Garamond"/>
          <w:sz w:val="24"/>
          <w:szCs w:val="24"/>
          <w:lang w:val="pt-PT"/>
        </w:rPr>
        <w:t xml:space="preserve"> </w:t>
      </w:r>
    </w:p>
    <w:p w14:paraId="459116FC" w14:textId="77777777" w:rsidR="00541FA6" w:rsidRPr="00992DE8" w:rsidRDefault="00541FA6" w:rsidP="002A62A2">
      <w:pPr>
        <w:pStyle w:val="PargrafodaLista"/>
        <w:numPr>
          <w:ilvl w:val="0"/>
          <w:numId w:val="70"/>
        </w:numPr>
        <w:jc w:val="both"/>
        <w:rPr>
          <w:rFonts w:ascii="Garamond" w:hAnsi="Garamond"/>
          <w:lang w:val="pt-PT"/>
        </w:rPr>
      </w:pPr>
      <w:r w:rsidRPr="00992DE8">
        <w:rPr>
          <w:rFonts w:ascii="Garamond" w:hAnsi="Garamond"/>
          <w:lang w:val="pt-PT"/>
        </w:rPr>
        <w:t xml:space="preserve">Estabelecer um sistema de seguimento do patrocínio judiciário prestado, que seja sensível ao género, a nível do Ministério da Justiça e da </w:t>
      </w:r>
      <w:proofErr w:type="spellStart"/>
      <w:r w:rsidRPr="00992DE8">
        <w:rPr>
          <w:rFonts w:ascii="Garamond" w:hAnsi="Garamond"/>
          <w:lang w:val="pt-PT"/>
        </w:rPr>
        <w:t>OACV</w:t>
      </w:r>
      <w:proofErr w:type="spellEnd"/>
      <w:r w:rsidRPr="00992DE8">
        <w:rPr>
          <w:rFonts w:ascii="Garamond" w:hAnsi="Garamond"/>
          <w:lang w:val="pt-PT"/>
        </w:rPr>
        <w:t>.</w:t>
      </w:r>
    </w:p>
    <w:p w14:paraId="6A2B9457" w14:textId="77777777" w:rsidR="00541FA6" w:rsidRPr="001C50C8" w:rsidRDefault="00541FA6" w:rsidP="002A62A2">
      <w:pPr>
        <w:pStyle w:val="PargrafodaLista"/>
        <w:numPr>
          <w:ilvl w:val="0"/>
          <w:numId w:val="70"/>
        </w:numPr>
        <w:jc w:val="both"/>
        <w:rPr>
          <w:rFonts w:ascii="Garamond" w:hAnsi="Garamond"/>
          <w:lang w:val="pt-PT"/>
        </w:rPr>
      </w:pPr>
      <w:r w:rsidRPr="00992DE8">
        <w:rPr>
          <w:rFonts w:ascii="Garamond" w:hAnsi="Garamond"/>
          <w:lang w:val="pt-PT"/>
        </w:rPr>
        <w:t xml:space="preserve">Analisar os </w:t>
      </w:r>
      <w:r w:rsidRPr="001C50C8">
        <w:rPr>
          <w:rFonts w:ascii="Garamond" w:hAnsi="Garamond"/>
          <w:lang w:val="pt-PT"/>
        </w:rPr>
        <w:t xml:space="preserve">impedimentos à implementação do disposto </w:t>
      </w:r>
      <w:proofErr w:type="spellStart"/>
      <w:r w:rsidRPr="001C50C8">
        <w:rPr>
          <w:rFonts w:ascii="Garamond" w:hAnsi="Garamond"/>
          <w:lang w:val="pt-PT"/>
        </w:rPr>
        <w:t>pelo</w:t>
      </w:r>
      <w:proofErr w:type="spellEnd"/>
      <w:r w:rsidRPr="001C50C8">
        <w:rPr>
          <w:rFonts w:ascii="Garamond" w:hAnsi="Garamond"/>
          <w:lang w:val="pt-PT"/>
        </w:rPr>
        <w:t xml:space="preserve"> artigo 32º da Regulamentação da lei </w:t>
      </w:r>
      <w:proofErr w:type="spellStart"/>
      <w:r w:rsidRPr="001C50C8">
        <w:rPr>
          <w:rFonts w:ascii="Garamond" w:hAnsi="Garamond"/>
          <w:lang w:val="pt-PT"/>
        </w:rPr>
        <w:t>VBG</w:t>
      </w:r>
      <w:proofErr w:type="spellEnd"/>
      <w:r w:rsidRPr="001C50C8">
        <w:rPr>
          <w:rFonts w:ascii="Garamond" w:hAnsi="Garamond"/>
          <w:lang w:val="pt-PT"/>
        </w:rPr>
        <w:t>,</w:t>
      </w:r>
      <w:r w:rsidRPr="001C50C8">
        <w:rPr>
          <w:rStyle w:val="Refdenotaderodap"/>
          <w:rFonts w:ascii="Garamond" w:hAnsi="Garamond"/>
          <w:lang w:val="pt-PT"/>
        </w:rPr>
        <w:footnoteReference w:id="78"/>
      </w:r>
      <w:r w:rsidRPr="001C50C8">
        <w:rPr>
          <w:rFonts w:ascii="Garamond" w:hAnsi="Garamond"/>
          <w:lang w:val="pt-PT"/>
        </w:rPr>
        <w:t xml:space="preserve"> que prevê a nomeação </w:t>
      </w:r>
      <w:proofErr w:type="spellStart"/>
      <w:r w:rsidRPr="001C50C8">
        <w:rPr>
          <w:rFonts w:ascii="Garamond" w:hAnsi="Garamond"/>
          <w:lang w:val="pt-PT"/>
        </w:rPr>
        <w:t>pela</w:t>
      </w:r>
      <w:proofErr w:type="spellEnd"/>
      <w:r w:rsidRPr="001C50C8">
        <w:rPr>
          <w:rFonts w:ascii="Garamond" w:hAnsi="Garamond"/>
          <w:lang w:val="pt-PT"/>
        </w:rPr>
        <w:t xml:space="preserve"> </w:t>
      </w:r>
      <w:proofErr w:type="spellStart"/>
      <w:r w:rsidRPr="001C50C8">
        <w:rPr>
          <w:rFonts w:ascii="Garamond" w:hAnsi="Garamond"/>
          <w:lang w:val="pt-PT"/>
        </w:rPr>
        <w:t>OACV</w:t>
      </w:r>
      <w:proofErr w:type="spellEnd"/>
      <w:r w:rsidRPr="001C50C8">
        <w:rPr>
          <w:rFonts w:ascii="Garamond" w:hAnsi="Garamond"/>
          <w:lang w:val="pt-PT"/>
        </w:rPr>
        <w:t xml:space="preserve"> de um(a) advogado(a) ou advogado(a) estagiário(a) para patrocínio judiciário no prazo máximo de dois dias e propor cenários para a sua implementação. </w:t>
      </w:r>
    </w:p>
    <w:p w14:paraId="24E6C2CC" w14:textId="77777777" w:rsidR="00541FA6" w:rsidRPr="00992DE8" w:rsidRDefault="00541FA6" w:rsidP="002A62A2">
      <w:pPr>
        <w:pStyle w:val="PargrafodaLista"/>
        <w:numPr>
          <w:ilvl w:val="0"/>
          <w:numId w:val="70"/>
        </w:numPr>
        <w:spacing w:after="240"/>
        <w:ind w:left="782" w:hanging="357"/>
        <w:contextualSpacing w:val="0"/>
        <w:jc w:val="both"/>
        <w:rPr>
          <w:rFonts w:ascii="Garamond" w:hAnsi="Garamond"/>
          <w:lang w:val="pt-PT"/>
        </w:rPr>
      </w:pPr>
      <w:r w:rsidRPr="001C50C8">
        <w:rPr>
          <w:rFonts w:ascii="Garamond" w:hAnsi="Garamond"/>
          <w:lang w:val="pt-PT"/>
        </w:rPr>
        <w:t>Estudar alternativas para a</w:t>
      </w:r>
      <w:r>
        <w:rPr>
          <w:rFonts w:ascii="Garamond" w:hAnsi="Garamond"/>
          <w:lang w:val="pt-PT"/>
        </w:rPr>
        <w:t>mpliar a</w:t>
      </w:r>
      <w:r w:rsidRPr="001C50C8">
        <w:rPr>
          <w:rFonts w:ascii="Garamond" w:hAnsi="Garamond"/>
          <w:lang w:val="pt-PT"/>
        </w:rPr>
        <w:t xml:space="preserve"> concessão de assistência judiciária a vítimas de </w:t>
      </w:r>
      <w:proofErr w:type="spellStart"/>
      <w:r w:rsidRPr="001C50C8">
        <w:rPr>
          <w:rFonts w:ascii="Garamond" w:hAnsi="Garamond"/>
          <w:lang w:val="pt-PT"/>
        </w:rPr>
        <w:t>VBG</w:t>
      </w:r>
      <w:proofErr w:type="spellEnd"/>
      <w:r w:rsidRPr="001C50C8">
        <w:rPr>
          <w:rFonts w:ascii="Garamond" w:hAnsi="Garamond"/>
          <w:lang w:val="pt-PT"/>
        </w:rPr>
        <w:t xml:space="preserve"> e, de forma geral, para promover o acesso </w:t>
      </w:r>
      <w:r w:rsidRPr="00992DE8">
        <w:rPr>
          <w:rFonts w:ascii="Garamond" w:hAnsi="Garamond"/>
          <w:lang w:val="pt-PT"/>
        </w:rPr>
        <w:t xml:space="preserve">das mulheres à justiça.   </w:t>
      </w:r>
    </w:p>
    <w:p w14:paraId="43CBC2E2" w14:textId="77777777" w:rsidR="00541FA6" w:rsidRPr="001C50C8" w:rsidRDefault="00541FA6" w:rsidP="00541FA6">
      <w:pPr>
        <w:jc w:val="both"/>
        <w:rPr>
          <w:rFonts w:ascii="Garamond" w:hAnsi="Garamond"/>
          <w:lang w:val="pt-PT"/>
        </w:rPr>
      </w:pPr>
      <w:r w:rsidRPr="00BE46E6">
        <w:rPr>
          <w:rFonts w:ascii="Garamond" w:hAnsi="Garamond"/>
          <w:lang w:val="pt-PT"/>
        </w:rPr>
        <w:t xml:space="preserve">Concomitantemente ao enfraquecimento dos serviços de apoio às vítimas de </w:t>
      </w:r>
      <w:proofErr w:type="spellStart"/>
      <w:r w:rsidRPr="00BE46E6">
        <w:rPr>
          <w:rFonts w:ascii="Garamond" w:hAnsi="Garamond"/>
          <w:lang w:val="pt-PT"/>
        </w:rPr>
        <w:t>VBG</w:t>
      </w:r>
      <w:proofErr w:type="spellEnd"/>
      <w:r w:rsidRPr="00BE46E6">
        <w:rPr>
          <w:rFonts w:ascii="Garamond" w:hAnsi="Garamond"/>
          <w:lang w:val="pt-PT"/>
        </w:rPr>
        <w:t xml:space="preserve">, verifica-se um </w:t>
      </w:r>
      <w:r w:rsidRPr="001C50C8">
        <w:rPr>
          <w:rFonts w:ascii="Garamond" w:hAnsi="Garamond"/>
          <w:lang w:val="pt-PT"/>
        </w:rPr>
        <w:t>retrocesso no número de Gabinetes de Atendimento às Vítimas (</w:t>
      </w:r>
      <w:proofErr w:type="spellStart"/>
      <w:r w:rsidRPr="001C50C8">
        <w:rPr>
          <w:rFonts w:ascii="Garamond" w:hAnsi="Garamond"/>
          <w:lang w:val="pt-PT"/>
        </w:rPr>
        <w:t>GAV</w:t>
      </w:r>
      <w:proofErr w:type="spellEnd"/>
      <w:r w:rsidRPr="001C50C8">
        <w:rPr>
          <w:rFonts w:ascii="Garamond" w:hAnsi="Garamond"/>
          <w:lang w:val="pt-PT"/>
        </w:rPr>
        <w:t xml:space="preserve">) nas Esquadras Policiais do país. Os </w:t>
      </w:r>
      <w:proofErr w:type="spellStart"/>
      <w:r w:rsidRPr="001C50C8">
        <w:rPr>
          <w:rFonts w:ascii="Garamond" w:hAnsi="Garamond"/>
          <w:lang w:val="pt-PT"/>
        </w:rPr>
        <w:t>GAV</w:t>
      </w:r>
      <w:proofErr w:type="spellEnd"/>
      <w:r w:rsidRPr="001C50C8">
        <w:rPr>
          <w:rFonts w:ascii="Garamond" w:hAnsi="Garamond"/>
          <w:lang w:val="pt-PT"/>
        </w:rPr>
        <w:t xml:space="preserve">, que são estruturas de atendimento especializado às vítimas de </w:t>
      </w:r>
      <w:proofErr w:type="spellStart"/>
      <w:r w:rsidRPr="001C50C8">
        <w:rPr>
          <w:rFonts w:ascii="Garamond" w:hAnsi="Garamond"/>
          <w:lang w:val="pt-PT"/>
        </w:rPr>
        <w:t>VBG</w:t>
      </w:r>
      <w:proofErr w:type="spellEnd"/>
      <w:r w:rsidRPr="001C50C8">
        <w:rPr>
          <w:rFonts w:ascii="Garamond" w:hAnsi="Garamond"/>
          <w:lang w:val="pt-PT"/>
        </w:rPr>
        <w:t xml:space="preserve"> dentro das Esquadras de Polícia, eram 12 em 2016, passando para 9 em 2018, cobrindo apenas 5 das 9 ilhas do país e 8 dos 22 Municípios.</w:t>
      </w:r>
    </w:p>
    <w:p w14:paraId="7B002978" w14:textId="77777777" w:rsidR="00541FA6" w:rsidRPr="001C50C8" w:rsidRDefault="00541FA6" w:rsidP="002A62A2">
      <w:pPr>
        <w:pStyle w:val="PargrafodaLista"/>
        <w:numPr>
          <w:ilvl w:val="0"/>
          <w:numId w:val="70"/>
        </w:numPr>
        <w:jc w:val="both"/>
        <w:rPr>
          <w:rFonts w:ascii="Garamond" w:hAnsi="Garamond"/>
          <w:lang w:val="pt-PT"/>
        </w:rPr>
      </w:pPr>
      <w:r w:rsidRPr="001C50C8">
        <w:rPr>
          <w:rFonts w:ascii="Garamond" w:hAnsi="Garamond"/>
          <w:lang w:val="pt-PT"/>
        </w:rPr>
        <w:t xml:space="preserve">Apesar do engajamento notório da PN com a assistência e protecção às vítimas de </w:t>
      </w:r>
      <w:proofErr w:type="spellStart"/>
      <w:r w:rsidRPr="001C50C8">
        <w:rPr>
          <w:rFonts w:ascii="Garamond" w:hAnsi="Garamond"/>
          <w:lang w:val="pt-PT"/>
        </w:rPr>
        <w:t>VBG</w:t>
      </w:r>
      <w:proofErr w:type="spellEnd"/>
      <w:r w:rsidRPr="001C50C8">
        <w:rPr>
          <w:rFonts w:ascii="Garamond" w:hAnsi="Garamond"/>
          <w:lang w:val="pt-PT"/>
        </w:rPr>
        <w:t xml:space="preserve">, existem desafios com a mobilidade do pessoal, sendo necessário voltar a formar agentes para (i) ministrar de forma </w:t>
      </w:r>
      <w:proofErr w:type="spellStart"/>
      <w:r w:rsidRPr="001C50C8">
        <w:rPr>
          <w:rFonts w:ascii="Garamond" w:hAnsi="Garamond"/>
          <w:lang w:val="pt-PT"/>
        </w:rPr>
        <w:t>sistematica</w:t>
      </w:r>
      <w:proofErr w:type="spellEnd"/>
      <w:r w:rsidRPr="001C50C8">
        <w:rPr>
          <w:rFonts w:ascii="Garamond" w:hAnsi="Garamond"/>
          <w:lang w:val="pt-PT"/>
        </w:rPr>
        <w:t xml:space="preserve"> o módulo de </w:t>
      </w:r>
      <w:proofErr w:type="spellStart"/>
      <w:r w:rsidRPr="001C50C8">
        <w:rPr>
          <w:rFonts w:ascii="Garamond" w:hAnsi="Garamond"/>
          <w:lang w:val="pt-PT"/>
        </w:rPr>
        <w:t>VBG</w:t>
      </w:r>
      <w:proofErr w:type="spellEnd"/>
      <w:r w:rsidRPr="001C50C8">
        <w:rPr>
          <w:rFonts w:ascii="Garamond" w:hAnsi="Garamond"/>
          <w:lang w:val="pt-PT"/>
        </w:rPr>
        <w:t xml:space="preserve"> na formação inicial da Escola Nacional da PN e (ii) para o atendimento especializado às vítimas nas esquadras, bem como nos Hospitais centrais (Praia e Mindelo), em sintonia com o </w:t>
      </w:r>
      <w:r w:rsidRPr="001C50C8">
        <w:rPr>
          <w:rFonts w:ascii="Garamond" w:hAnsi="Garamond"/>
          <w:i/>
          <w:iCs/>
          <w:lang w:val="pt-PT"/>
        </w:rPr>
        <w:t xml:space="preserve">Protocolo de Procedimentos Policiais nos casos de Denúncias de </w:t>
      </w:r>
      <w:proofErr w:type="spellStart"/>
      <w:r w:rsidRPr="001C50C8">
        <w:rPr>
          <w:rFonts w:ascii="Garamond" w:hAnsi="Garamond"/>
          <w:i/>
          <w:iCs/>
          <w:lang w:val="pt-PT"/>
        </w:rPr>
        <w:t>VBG</w:t>
      </w:r>
      <w:proofErr w:type="spellEnd"/>
      <w:r w:rsidRPr="001C50C8">
        <w:rPr>
          <w:rFonts w:ascii="Garamond" w:hAnsi="Garamond"/>
          <w:lang w:val="pt-PT"/>
        </w:rPr>
        <w:t xml:space="preserve">: deve ser traçado um plano de formação, parcerias e de seguimento das capacidades de género de que a PN dispõe.  </w:t>
      </w:r>
    </w:p>
    <w:p w14:paraId="5043EAD6" w14:textId="77777777" w:rsidR="00541FA6" w:rsidRPr="001C50C8" w:rsidRDefault="00541FA6" w:rsidP="002A62A2">
      <w:pPr>
        <w:pStyle w:val="PargrafodaLista"/>
        <w:numPr>
          <w:ilvl w:val="0"/>
          <w:numId w:val="70"/>
        </w:numPr>
        <w:spacing w:after="240"/>
        <w:ind w:left="782" w:hanging="357"/>
        <w:contextualSpacing w:val="0"/>
        <w:jc w:val="both"/>
        <w:rPr>
          <w:rFonts w:ascii="Garamond" w:hAnsi="Garamond"/>
          <w:lang w:val="pt-PT"/>
        </w:rPr>
      </w:pPr>
      <w:r w:rsidRPr="001C50C8">
        <w:rPr>
          <w:rFonts w:ascii="Garamond" w:hAnsi="Garamond"/>
          <w:lang w:val="pt-PT"/>
        </w:rPr>
        <w:t xml:space="preserve">Por outro lado, para que mais esquadras tenham </w:t>
      </w:r>
      <w:proofErr w:type="spellStart"/>
      <w:r w:rsidRPr="001C50C8">
        <w:rPr>
          <w:rFonts w:ascii="Garamond" w:hAnsi="Garamond"/>
          <w:lang w:val="pt-PT"/>
        </w:rPr>
        <w:t>GAVs</w:t>
      </w:r>
      <w:proofErr w:type="spellEnd"/>
      <w:r w:rsidRPr="001C50C8">
        <w:rPr>
          <w:rFonts w:ascii="Garamond" w:hAnsi="Garamond"/>
          <w:lang w:val="pt-PT"/>
        </w:rPr>
        <w:t xml:space="preserve"> será necessário fazer um levantamento das condições necessárias para a sua instalação e traçar prioridades.</w:t>
      </w:r>
    </w:p>
    <w:p w14:paraId="5894F286" w14:textId="77777777" w:rsidR="00541FA6" w:rsidRPr="00BE46E6" w:rsidRDefault="00541FA6" w:rsidP="00541FA6">
      <w:pPr>
        <w:jc w:val="both"/>
        <w:rPr>
          <w:rFonts w:ascii="Garamond" w:hAnsi="Garamond"/>
          <w:lang w:val="pt-PT"/>
        </w:rPr>
      </w:pPr>
      <w:r w:rsidRPr="001C50C8">
        <w:rPr>
          <w:rFonts w:ascii="Garamond" w:hAnsi="Garamond"/>
          <w:lang w:val="pt-PT"/>
        </w:rPr>
        <w:t xml:space="preserve">A nível da saúde, foram feitos investimentos no reforço das capacidades do(a)s prestadores do </w:t>
      </w:r>
      <w:proofErr w:type="spellStart"/>
      <w:r w:rsidRPr="001C50C8">
        <w:rPr>
          <w:rFonts w:ascii="Garamond" w:hAnsi="Garamond"/>
          <w:lang w:val="pt-PT"/>
        </w:rPr>
        <w:t>setor</w:t>
      </w:r>
      <w:proofErr w:type="spellEnd"/>
      <w:r w:rsidRPr="001C50C8">
        <w:rPr>
          <w:rFonts w:ascii="Garamond" w:hAnsi="Garamond"/>
          <w:lang w:val="pt-PT"/>
        </w:rPr>
        <w:t>, incluindo a elaboraç</w:t>
      </w:r>
      <w:r w:rsidRPr="00BE46E6">
        <w:rPr>
          <w:rFonts w:ascii="Garamond" w:hAnsi="Garamond"/>
          <w:lang w:val="pt-PT"/>
        </w:rPr>
        <w:t xml:space="preserve">ão de um </w:t>
      </w:r>
      <w:r w:rsidRPr="00BE46E6">
        <w:rPr>
          <w:rFonts w:ascii="Garamond" w:hAnsi="Garamond"/>
          <w:i/>
          <w:iCs/>
          <w:lang w:val="pt-PT"/>
        </w:rPr>
        <w:t>Manual de Procedimentos para os Profissionais e Serviços de Saúde</w:t>
      </w:r>
      <w:r w:rsidRPr="00BE46E6">
        <w:rPr>
          <w:rFonts w:ascii="Garamond" w:hAnsi="Garamond"/>
          <w:lang w:val="pt-PT"/>
        </w:rPr>
        <w:t xml:space="preserve">, em 2016, para apoiar a identificação das situações de </w:t>
      </w:r>
      <w:proofErr w:type="spellStart"/>
      <w:r w:rsidRPr="00BE46E6">
        <w:rPr>
          <w:rFonts w:ascii="Garamond" w:hAnsi="Garamond"/>
          <w:lang w:val="pt-PT"/>
        </w:rPr>
        <w:t>VBG</w:t>
      </w:r>
      <w:proofErr w:type="spellEnd"/>
      <w:r w:rsidRPr="00BE46E6">
        <w:rPr>
          <w:rFonts w:ascii="Garamond" w:hAnsi="Garamond"/>
          <w:lang w:val="pt-PT"/>
        </w:rPr>
        <w:t xml:space="preserve"> e uniformização dos procedimentos. Contudo, a </w:t>
      </w:r>
      <w:r w:rsidRPr="00BE46E6">
        <w:rPr>
          <w:rFonts w:ascii="Garamond" w:hAnsi="Garamond"/>
          <w:i/>
          <w:iCs/>
          <w:lang w:val="pt-PT"/>
        </w:rPr>
        <w:t xml:space="preserve">Avaliação do grau da implementação da Lei </w:t>
      </w:r>
      <w:proofErr w:type="spellStart"/>
      <w:r w:rsidRPr="00BE46E6">
        <w:rPr>
          <w:rFonts w:ascii="Garamond" w:hAnsi="Garamond"/>
          <w:i/>
          <w:iCs/>
          <w:lang w:val="pt-PT"/>
        </w:rPr>
        <w:t>VBG</w:t>
      </w:r>
      <w:proofErr w:type="spellEnd"/>
      <w:r w:rsidRPr="00BE46E6">
        <w:rPr>
          <w:rFonts w:ascii="Garamond" w:hAnsi="Garamond"/>
          <w:lang w:val="pt-PT"/>
        </w:rPr>
        <w:t xml:space="preserve"> (2017) notou que ainda não são visíveis os resultados em termos de institucionalização das respostas à </w:t>
      </w:r>
      <w:proofErr w:type="spellStart"/>
      <w:r w:rsidRPr="00BE46E6">
        <w:rPr>
          <w:rFonts w:ascii="Garamond" w:hAnsi="Garamond"/>
          <w:lang w:val="pt-PT"/>
        </w:rPr>
        <w:t>VBG</w:t>
      </w:r>
      <w:proofErr w:type="spellEnd"/>
      <w:r w:rsidRPr="00BE46E6">
        <w:rPr>
          <w:rFonts w:ascii="Garamond" w:hAnsi="Garamond"/>
          <w:lang w:val="pt-PT"/>
        </w:rPr>
        <w:t xml:space="preserve"> no sector. </w:t>
      </w:r>
      <w:bookmarkStart w:id="69" w:name="_Hlk31267157"/>
      <w:r w:rsidRPr="00BE46E6">
        <w:rPr>
          <w:rFonts w:ascii="Garamond" w:hAnsi="Garamond"/>
          <w:lang w:val="pt-PT"/>
        </w:rPr>
        <w:t xml:space="preserve">Por outro lado, o </w:t>
      </w:r>
      <w:r w:rsidRPr="00BE46E6">
        <w:rPr>
          <w:rFonts w:ascii="Garamond" w:hAnsi="Garamond"/>
          <w:i/>
          <w:iCs/>
          <w:lang w:val="pt-PT"/>
        </w:rPr>
        <w:t xml:space="preserve">Plano Estratégico </w:t>
      </w:r>
      <w:proofErr w:type="spellStart"/>
      <w:r w:rsidRPr="00BE46E6">
        <w:rPr>
          <w:rFonts w:ascii="Garamond" w:hAnsi="Garamond"/>
          <w:i/>
          <w:iCs/>
          <w:lang w:val="pt-PT"/>
        </w:rPr>
        <w:t>Multisetorial</w:t>
      </w:r>
      <w:proofErr w:type="spellEnd"/>
      <w:r w:rsidRPr="00BE46E6">
        <w:rPr>
          <w:rFonts w:ascii="Garamond" w:hAnsi="Garamond"/>
          <w:i/>
          <w:iCs/>
          <w:lang w:val="pt-PT"/>
        </w:rPr>
        <w:t xml:space="preserve"> de Combate aos Problemas Ligados ao Álcool</w:t>
      </w:r>
      <w:r w:rsidRPr="00BE46E6">
        <w:rPr>
          <w:rFonts w:ascii="Garamond" w:hAnsi="Garamond"/>
          <w:lang w:val="pt-PT"/>
        </w:rPr>
        <w:t xml:space="preserve"> (2016-2020) reconhece a forte associação entre álcool e violência doméstica e a Comissão de Coordenação ao Álcool e de outras Drogas (</w:t>
      </w:r>
      <w:proofErr w:type="spellStart"/>
      <w:r w:rsidRPr="00BE46E6">
        <w:rPr>
          <w:rFonts w:ascii="Garamond" w:hAnsi="Garamond"/>
          <w:lang w:val="pt-PT"/>
        </w:rPr>
        <w:t>CCAD</w:t>
      </w:r>
      <w:proofErr w:type="spellEnd"/>
      <w:r w:rsidRPr="00BE46E6">
        <w:rPr>
          <w:rFonts w:ascii="Garamond" w:hAnsi="Garamond"/>
          <w:lang w:val="pt-PT"/>
        </w:rPr>
        <w:t xml:space="preserve">), criada em 2017, que funciona sob a superintendência do Ministério da Saúde, reconhece o uso de bebidas alcoólicas como um dos principais problemas de saúde pública do país. Socialmente, a aceitabilidade da </w:t>
      </w:r>
      <w:proofErr w:type="spellStart"/>
      <w:r w:rsidRPr="00BE46E6">
        <w:rPr>
          <w:rFonts w:ascii="Garamond" w:hAnsi="Garamond"/>
          <w:lang w:val="pt-PT"/>
        </w:rPr>
        <w:t>VBG</w:t>
      </w:r>
      <w:proofErr w:type="spellEnd"/>
      <w:r w:rsidRPr="00BE46E6">
        <w:rPr>
          <w:rFonts w:ascii="Garamond" w:hAnsi="Garamond"/>
          <w:lang w:val="pt-PT"/>
        </w:rPr>
        <w:t xml:space="preserve"> decorre da cultura machista profundamente enraizada, contudo na prática diária, vislumbram-se também associações a questões de saúde mental, entre as quais o suicídio dos autores de violência.</w:t>
      </w:r>
      <w:r w:rsidRPr="00705EA1">
        <w:rPr>
          <w:rStyle w:val="Refdenotaderodap"/>
          <w:rFonts w:ascii="Garamond" w:hAnsi="Garamond"/>
        </w:rPr>
        <w:footnoteReference w:id="79"/>
      </w:r>
      <w:r w:rsidRPr="00BE46E6">
        <w:rPr>
          <w:rFonts w:ascii="Garamond" w:hAnsi="Garamond"/>
          <w:lang w:val="pt-PT"/>
        </w:rPr>
        <w:t xml:space="preserve"> </w:t>
      </w:r>
    </w:p>
    <w:p w14:paraId="6528F643" w14:textId="77777777" w:rsidR="00541FA6" w:rsidRPr="001C50C8" w:rsidRDefault="00541FA6" w:rsidP="002A62A2">
      <w:pPr>
        <w:pStyle w:val="PargrafodaLista"/>
        <w:numPr>
          <w:ilvl w:val="0"/>
          <w:numId w:val="70"/>
        </w:numPr>
        <w:jc w:val="both"/>
        <w:rPr>
          <w:rFonts w:ascii="Garamond" w:hAnsi="Garamond"/>
          <w:lang w:val="pt-PT"/>
        </w:rPr>
      </w:pPr>
      <w:r w:rsidRPr="00705EA1">
        <w:rPr>
          <w:rFonts w:ascii="Garamond" w:hAnsi="Garamond"/>
          <w:lang w:val="pt-PT"/>
        </w:rPr>
        <w:t xml:space="preserve">É importante trabalhar para a institucionalização das respostas à </w:t>
      </w:r>
      <w:proofErr w:type="spellStart"/>
      <w:r w:rsidRPr="00705EA1">
        <w:rPr>
          <w:rFonts w:ascii="Garamond" w:hAnsi="Garamond"/>
          <w:lang w:val="pt-PT"/>
        </w:rPr>
        <w:t>VBG</w:t>
      </w:r>
      <w:proofErr w:type="spellEnd"/>
      <w:r w:rsidRPr="00705EA1">
        <w:rPr>
          <w:rFonts w:ascii="Garamond" w:hAnsi="Garamond"/>
          <w:lang w:val="pt-PT"/>
        </w:rPr>
        <w:t xml:space="preserve"> no </w:t>
      </w:r>
      <w:proofErr w:type="spellStart"/>
      <w:r w:rsidRPr="00705EA1">
        <w:rPr>
          <w:rFonts w:ascii="Garamond" w:hAnsi="Garamond"/>
          <w:lang w:val="pt-PT"/>
        </w:rPr>
        <w:t>setor</w:t>
      </w:r>
      <w:proofErr w:type="spellEnd"/>
      <w:r w:rsidRPr="00705EA1">
        <w:rPr>
          <w:rFonts w:ascii="Garamond" w:hAnsi="Garamond"/>
          <w:lang w:val="pt-PT"/>
        </w:rPr>
        <w:t xml:space="preserve"> da saúde, com directivas claras de nível superior e seguimento a todos os níveis da hierarquia, no sentido do cumprimento dos procedimentos definidos para as situações de </w:t>
      </w:r>
      <w:proofErr w:type="spellStart"/>
      <w:r w:rsidRPr="00705EA1">
        <w:rPr>
          <w:rFonts w:ascii="Garamond" w:hAnsi="Garamond"/>
          <w:lang w:val="pt-PT"/>
        </w:rPr>
        <w:t>VBG</w:t>
      </w:r>
      <w:proofErr w:type="spellEnd"/>
      <w:r w:rsidRPr="00705EA1">
        <w:rPr>
          <w:rFonts w:ascii="Garamond" w:hAnsi="Garamond"/>
          <w:lang w:val="pt-PT"/>
        </w:rPr>
        <w:t xml:space="preserve"> e da prestação às vítimas de atendimento adequado, gratuito, urgente e isento do pagamento de taxas </w:t>
      </w:r>
      <w:r w:rsidRPr="001C50C8">
        <w:rPr>
          <w:rFonts w:ascii="Garamond" w:hAnsi="Garamond"/>
          <w:lang w:val="pt-PT"/>
        </w:rPr>
        <w:t xml:space="preserve">nos serviços de urgência, bem como em outros serviços que se tornam necessários como consequência da </w:t>
      </w:r>
      <w:proofErr w:type="spellStart"/>
      <w:r w:rsidRPr="001C50C8">
        <w:rPr>
          <w:rFonts w:ascii="Garamond" w:hAnsi="Garamond"/>
          <w:lang w:val="pt-PT"/>
        </w:rPr>
        <w:t>VBG</w:t>
      </w:r>
      <w:proofErr w:type="spellEnd"/>
      <w:r w:rsidRPr="001C50C8">
        <w:rPr>
          <w:rFonts w:ascii="Garamond" w:hAnsi="Garamond"/>
          <w:lang w:val="pt-PT"/>
        </w:rPr>
        <w:t>.</w:t>
      </w:r>
    </w:p>
    <w:p w14:paraId="6F7C64A5" w14:textId="77777777" w:rsidR="00541FA6" w:rsidRPr="00705EA1" w:rsidRDefault="00541FA6" w:rsidP="002A62A2">
      <w:pPr>
        <w:pStyle w:val="PargrafodaLista"/>
        <w:numPr>
          <w:ilvl w:val="0"/>
          <w:numId w:val="70"/>
        </w:numPr>
        <w:jc w:val="both"/>
        <w:rPr>
          <w:rFonts w:ascii="Garamond" w:hAnsi="Garamond"/>
          <w:lang w:val="pt-PT"/>
        </w:rPr>
      </w:pPr>
      <w:r>
        <w:rPr>
          <w:rFonts w:ascii="Garamond" w:hAnsi="Garamond"/>
          <w:lang w:val="pt-PT"/>
        </w:rPr>
        <w:t>Além das medidas já referenciadas em termos de consumo de álcool e saúde mental.</w:t>
      </w:r>
    </w:p>
    <w:bookmarkEnd w:id="69"/>
    <w:p w14:paraId="122DF4E5" w14:textId="77777777" w:rsidR="00541FA6" w:rsidRDefault="00541FA6" w:rsidP="00541FA6">
      <w:pPr>
        <w:pStyle w:val="PargrafodaLista"/>
        <w:ind w:left="788"/>
        <w:jc w:val="both"/>
        <w:rPr>
          <w:rFonts w:ascii="Garamond" w:hAnsi="Garamond"/>
          <w:lang w:val="pt-PT"/>
        </w:rPr>
      </w:pPr>
    </w:p>
    <w:p w14:paraId="0818BEDA" w14:textId="77777777" w:rsidR="00541FA6" w:rsidRPr="001C50C8" w:rsidRDefault="00541FA6" w:rsidP="00541FA6">
      <w:pPr>
        <w:jc w:val="both"/>
        <w:rPr>
          <w:rFonts w:ascii="Garamond" w:hAnsi="Garamond"/>
          <w:lang w:val="pt-PT"/>
        </w:rPr>
      </w:pPr>
      <w:r w:rsidRPr="00BE46E6">
        <w:rPr>
          <w:rFonts w:ascii="Garamond" w:hAnsi="Garamond"/>
          <w:lang w:val="pt-PT"/>
        </w:rPr>
        <w:t xml:space="preserve">Em termos de casas de abrigo, foram recentemente postas em funcionamento 2 casas de abrigo (uma na Praia, outra no Fogo), prevendo a Regulamentação da Lei </w:t>
      </w:r>
      <w:proofErr w:type="spellStart"/>
      <w:r w:rsidRPr="00BE46E6">
        <w:rPr>
          <w:rFonts w:ascii="Garamond" w:hAnsi="Garamond"/>
          <w:lang w:val="pt-PT"/>
        </w:rPr>
        <w:t>VBG</w:t>
      </w:r>
      <w:proofErr w:type="spellEnd"/>
      <w:r w:rsidRPr="00BE46E6">
        <w:rPr>
          <w:rFonts w:ascii="Garamond" w:hAnsi="Garamond"/>
          <w:lang w:val="pt-PT"/>
        </w:rPr>
        <w:t xml:space="preserve"> também a modalidade de Espaços de Passagem, que poderão ser estabelecidos mediante acordos com entidades hoteleiras. Por outro lado, o </w:t>
      </w:r>
      <w:r w:rsidRPr="00BE46E6">
        <w:rPr>
          <w:rFonts w:ascii="Garamond" w:hAnsi="Garamond"/>
          <w:i/>
          <w:iCs/>
          <w:lang w:val="pt-PT"/>
        </w:rPr>
        <w:t>Plano Nacional de combate ao Tráfico de Pessoas</w:t>
      </w:r>
      <w:r w:rsidRPr="00BE46E6">
        <w:rPr>
          <w:rFonts w:ascii="Garamond" w:hAnsi="Garamond"/>
          <w:lang w:val="pt-PT"/>
        </w:rPr>
        <w:t xml:space="preserve"> (</w:t>
      </w:r>
      <w:proofErr w:type="spellStart"/>
      <w:r w:rsidRPr="00BE46E6">
        <w:rPr>
          <w:rFonts w:ascii="Garamond" w:hAnsi="Garamond"/>
          <w:lang w:val="pt-PT"/>
        </w:rPr>
        <w:t>PNCTP</w:t>
      </w:r>
      <w:proofErr w:type="spellEnd"/>
      <w:r w:rsidRPr="00BE46E6">
        <w:rPr>
          <w:rFonts w:ascii="Garamond" w:hAnsi="Garamond"/>
          <w:lang w:val="pt-PT"/>
        </w:rPr>
        <w:t xml:space="preserve"> 2018-2021) também prevê medidas de </w:t>
      </w:r>
      <w:proofErr w:type="spellStart"/>
      <w:r w:rsidRPr="00BE46E6">
        <w:rPr>
          <w:rFonts w:ascii="Garamond" w:hAnsi="Garamond"/>
          <w:lang w:val="pt-PT"/>
        </w:rPr>
        <w:t>proteção</w:t>
      </w:r>
      <w:proofErr w:type="spellEnd"/>
      <w:r w:rsidRPr="00BE46E6">
        <w:rPr>
          <w:rFonts w:ascii="Garamond" w:hAnsi="Garamond"/>
          <w:lang w:val="pt-PT"/>
        </w:rPr>
        <w:t xml:space="preserve"> para as vítimas, sendo de se estudar as sinergias que poderiam ser criadas a </w:t>
      </w:r>
      <w:r w:rsidRPr="001C50C8">
        <w:rPr>
          <w:rFonts w:ascii="Garamond" w:hAnsi="Garamond"/>
          <w:lang w:val="pt-PT"/>
        </w:rPr>
        <w:t xml:space="preserve">este nível. </w:t>
      </w:r>
    </w:p>
    <w:p w14:paraId="385E5383" w14:textId="77777777" w:rsidR="00541FA6" w:rsidRPr="001C50C8" w:rsidRDefault="00541FA6" w:rsidP="002A62A2">
      <w:pPr>
        <w:pStyle w:val="PargrafodaLista"/>
        <w:numPr>
          <w:ilvl w:val="0"/>
          <w:numId w:val="70"/>
        </w:numPr>
        <w:ind w:left="782" w:hanging="357"/>
        <w:contextualSpacing w:val="0"/>
        <w:jc w:val="both"/>
        <w:rPr>
          <w:rFonts w:ascii="Garamond" w:hAnsi="Garamond"/>
          <w:lang w:val="pt-PT"/>
        </w:rPr>
      </w:pPr>
      <w:r w:rsidRPr="001C50C8">
        <w:rPr>
          <w:rFonts w:ascii="Garamond" w:hAnsi="Garamond"/>
          <w:lang w:val="pt-PT"/>
        </w:rPr>
        <w:t xml:space="preserve">Os mecanismos previstos para apoiar a manutenção dos </w:t>
      </w:r>
      <w:proofErr w:type="spellStart"/>
      <w:r w:rsidRPr="001C50C8">
        <w:rPr>
          <w:rFonts w:ascii="Garamond" w:hAnsi="Garamond"/>
          <w:lang w:val="pt-PT"/>
        </w:rPr>
        <w:t>CAV</w:t>
      </w:r>
      <w:proofErr w:type="spellEnd"/>
      <w:r w:rsidRPr="001C50C8">
        <w:rPr>
          <w:rFonts w:ascii="Garamond" w:hAnsi="Garamond"/>
          <w:lang w:val="pt-PT"/>
        </w:rPr>
        <w:t xml:space="preserve"> e casas de abrigo – o Fundo de Apoio à Vítima de </w:t>
      </w:r>
      <w:proofErr w:type="spellStart"/>
      <w:r w:rsidRPr="001C50C8">
        <w:rPr>
          <w:rFonts w:ascii="Garamond" w:hAnsi="Garamond"/>
          <w:lang w:val="pt-PT"/>
        </w:rPr>
        <w:t>VBG</w:t>
      </w:r>
      <w:proofErr w:type="spellEnd"/>
      <w:r w:rsidRPr="001C50C8">
        <w:rPr>
          <w:rFonts w:ascii="Garamond" w:hAnsi="Garamond"/>
          <w:lang w:val="pt-PT"/>
        </w:rPr>
        <w:t>, apesar de criado,</w:t>
      </w:r>
      <w:r w:rsidRPr="001C50C8">
        <w:rPr>
          <w:rStyle w:val="Refdenotaderodap"/>
          <w:rFonts w:ascii="Garamond" w:hAnsi="Garamond"/>
          <w:lang w:val="pt-PT"/>
        </w:rPr>
        <w:footnoteReference w:id="80"/>
      </w:r>
      <w:r w:rsidRPr="001C50C8">
        <w:rPr>
          <w:rFonts w:ascii="Garamond" w:hAnsi="Garamond"/>
          <w:lang w:val="pt-PT"/>
        </w:rPr>
        <w:t xml:space="preserve"> ainda não foi implementado. Será assim importante realizar uma análise abrangente dos custos da </w:t>
      </w:r>
      <w:proofErr w:type="spellStart"/>
      <w:r w:rsidRPr="001C50C8">
        <w:rPr>
          <w:rFonts w:ascii="Garamond" w:hAnsi="Garamond"/>
          <w:lang w:val="pt-PT"/>
        </w:rPr>
        <w:t>VBG</w:t>
      </w:r>
      <w:proofErr w:type="spellEnd"/>
      <w:r w:rsidRPr="001C50C8">
        <w:rPr>
          <w:rFonts w:ascii="Garamond" w:hAnsi="Garamond"/>
          <w:lang w:val="pt-PT"/>
        </w:rPr>
        <w:t xml:space="preserve"> e propor cenários para tornar os investimentos necessários sustentáveis (análise dos custos-benefícios da </w:t>
      </w:r>
      <w:proofErr w:type="gramStart"/>
      <w:r w:rsidRPr="001C50C8">
        <w:rPr>
          <w:rFonts w:ascii="Garamond" w:hAnsi="Garamond"/>
          <w:lang w:val="pt-PT"/>
        </w:rPr>
        <w:t>alocação/não</w:t>
      </w:r>
      <w:proofErr w:type="gramEnd"/>
      <w:r w:rsidRPr="001C50C8">
        <w:rPr>
          <w:rFonts w:ascii="Garamond" w:hAnsi="Garamond"/>
          <w:lang w:val="pt-PT"/>
        </w:rPr>
        <w:t xml:space="preserve"> alocação de recursos, tendo em conta o impacto da </w:t>
      </w:r>
      <w:proofErr w:type="spellStart"/>
      <w:r w:rsidRPr="001C50C8">
        <w:rPr>
          <w:rFonts w:ascii="Garamond" w:hAnsi="Garamond"/>
          <w:lang w:val="pt-PT"/>
        </w:rPr>
        <w:t>VBG</w:t>
      </w:r>
      <w:proofErr w:type="spellEnd"/>
      <w:r w:rsidRPr="001C50C8">
        <w:rPr>
          <w:rFonts w:ascii="Garamond" w:hAnsi="Garamond"/>
          <w:lang w:val="pt-PT"/>
        </w:rPr>
        <w:t xml:space="preserve"> nos diversos serviços, na economia e na sociedade, bem como aferir as necessidades de recursos dos diversos serviços implicados).</w:t>
      </w:r>
    </w:p>
    <w:p w14:paraId="15B6A9C6" w14:textId="77777777" w:rsidR="00541FA6" w:rsidRPr="001C50C8" w:rsidRDefault="00541FA6" w:rsidP="002A62A2">
      <w:pPr>
        <w:pStyle w:val="PargrafodaLista"/>
        <w:numPr>
          <w:ilvl w:val="0"/>
          <w:numId w:val="70"/>
        </w:numPr>
        <w:spacing w:after="240"/>
        <w:ind w:left="782" w:hanging="357"/>
        <w:contextualSpacing w:val="0"/>
        <w:jc w:val="both"/>
        <w:rPr>
          <w:rFonts w:ascii="Garamond" w:hAnsi="Garamond"/>
          <w:lang w:val="pt-PT"/>
        </w:rPr>
      </w:pPr>
      <w:r w:rsidRPr="001C50C8">
        <w:rPr>
          <w:rFonts w:ascii="Garamond" w:hAnsi="Garamond"/>
          <w:lang w:val="pt-PT"/>
        </w:rPr>
        <w:t>No sentido de estabelecer um cenário viável para a operacionalização de casas de abrigo, incluindo espaços de passagem, é importante identificar e conhecer modelos bem-sucedidos de territórios afins do nosso, já que os desafios que Cabo Verde enfrenta enquanto país arquipelágico não são únicos no mundo.</w:t>
      </w:r>
    </w:p>
    <w:p w14:paraId="1B9BDAF6" w14:textId="3C5CD699" w:rsidR="00541FA6" w:rsidRDefault="00541FA6" w:rsidP="00541FA6">
      <w:pPr>
        <w:spacing w:after="240"/>
        <w:jc w:val="both"/>
        <w:rPr>
          <w:rFonts w:ascii="Garamond" w:hAnsi="Garamond"/>
          <w:lang w:val="pt-PT"/>
        </w:rPr>
      </w:pPr>
      <w:r w:rsidRPr="001C50C8">
        <w:rPr>
          <w:rFonts w:ascii="Garamond" w:hAnsi="Garamond"/>
          <w:lang w:val="pt-PT"/>
        </w:rPr>
        <w:t xml:space="preserve">É importante referir que o Comité </w:t>
      </w:r>
      <w:proofErr w:type="spellStart"/>
      <w:r w:rsidRPr="001C50C8">
        <w:rPr>
          <w:rFonts w:ascii="Garamond" w:hAnsi="Garamond"/>
          <w:lang w:val="pt-PT"/>
        </w:rPr>
        <w:t>CEDAW</w:t>
      </w:r>
      <w:proofErr w:type="spellEnd"/>
      <w:r w:rsidRPr="001C50C8">
        <w:rPr>
          <w:rFonts w:ascii="Garamond" w:hAnsi="Garamond"/>
          <w:lang w:val="pt-PT"/>
        </w:rPr>
        <w:t xml:space="preserve"> recomendou a Cabo Verde que afecte os recursos necessários para a implementação da Lei </w:t>
      </w:r>
      <w:proofErr w:type="spellStart"/>
      <w:r w:rsidRPr="001C50C8">
        <w:rPr>
          <w:rFonts w:ascii="Garamond" w:hAnsi="Garamond"/>
          <w:lang w:val="pt-PT"/>
        </w:rPr>
        <w:t>VBG</w:t>
      </w:r>
      <w:proofErr w:type="spellEnd"/>
      <w:r w:rsidRPr="001C50C8">
        <w:rPr>
          <w:rFonts w:ascii="Garamond" w:hAnsi="Garamond"/>
          <w:lang w:val="pt-PT"/>
        </w:rPr>
        <w:t xml:space="preserve"> e sua regulamentação, mediante dotações orçamentais específicas para a justiça, polícia, saúde e educação, e para o fundo de apoio às vítimas e que o país deverá submeter informações por escrito ao Comité em </w:t>
      </w:r>
      <w:proofErr w:type="spellStart"/>
      <w:r w:rsidRPr="001C50C8">
        <w:rPr>
          <w:rFonts w:ascii="Garamond" w:hAnsi="Garamond"/>
          <w:lang w:val="pt-PT"/>
        </w:rPr>
        <w:t>junho</w:t>
      </w:r>
      <w:proofErr w:type="spellEnd"/>
      <w:r w:rsidRPr="001C50C8">
        <w:rPr>
          <w:rFonts w:ascii="Garamond" w:hAnsi="Garamond"/>
          <w:lang w:val="pt-PT"/>
        </w:rPr>
        <w:t xml:space="preserve"> de 2021 sobre as medidas tomadas para implementar esta recomendação.</w:t>
      </w:r>
      <w:r w:rsidRPr="001C50C8">
        <w:rPr>
          <w:rStyle w:val="Refdenotaderodap"/>
          <w:rFonts w:ascii="Garamond" w:hAnsi="Garamond"/>
          <w:lang w:val="pt-PT"/>
        </w:rPr>
        <w:footnoteReference w:id="81"/>
      </w:r>
    </w:p>
    <w:p w14:paraId="452BD487" w14:textId="77777777" w:rsidR="00541FA6" w:rsidRPr="00BE46E6" w:rsidRDefault="00541FA6" w:rsidP="00541FA6">
      <w:pPr>
        <w:jc w:val="both"/>
        <w:rPr>
          <w:rFonts w:ascii="Garamond" w:hAnsi="Garamond"/>
          <w:lang w:val="pt-PT"/>
        </w:rPr>
      </w:pPr>
      <w:r w:rsidRPr="00BE46E6">
        <w:rPr>
          <w:rFonts w:ascii="Garamond" w:hAnsi="Garamond"/>
          <w:lang w:val="pt-PT"/>
        </w:rPr>
        <w:t xml:space="preserve">A linha telefónica especial gratuita SOS </w:t>
      </w:r>
      <w:proofErr w:type="spellStart"/>
      <w:r w:rsidRPr="00BE46E6">
        <w:rPr>
          <w:rFonts w:ascii="Garamond" w:hAnsi="Garamond"/>
          <w:lang w:val="pt-PT"/>
        </w:rPr>
        <w:t>VBG</w:t>
      </w:r>
      <w:proofErr w:type="spellEnd"/>
      <w:r w:rsidRPr="00BE46E6">
        <w:rPr>
          <w:rFonts w:ascii="Garamond" w:hAnsi="Garamond"/>
          <w:lang w:val="pt-PT"/>
        </w:rPr>
        <w:t xml:space="preserve"> 8001818 foi descontinuada, sendo absorvida </w:t>
      </w:r>
      <w:proofErr w:type="spellStart"/>
      <w:r w:rsidRPr="00BE46E6">
        <w:rPr>
          <w:rFonts w:ascii="Garamond" w:hAnsi="Garamond"/>
          <w:lang w:val="pt-PT"/>
        </w:rPr>
        <w:t>pela</w:t>
      </w:r>
      <w:proofErr w:type="spellEnd"/>
      <w:r w:rsidRPr="00BE46E6">
        <w:rPr>
          <w:rFonts w:ascii="Garamond" w:hAnsi="Garamond"/>
          <w:lang w:val="pt-PT"/>
        </w:rPr>
        <w:t xml:space="preserve"> linha de emergência da PN (132), que tem a vantagem de permitir chamadas de qualquer tipo</w:t>
      </w:r>
      <w:r>
        <w:rPr>
          <w:rFonts w:ascii="Garamond" w:hAnsi="Garamond"/>
          <w:lang w:val="pt-PT"/>
        </w:rPr>
        <w:t xml:space="preserve"> </w:t>
      </w:r>
      <w:r w:rsidRPr="00BE46E6">
        <w:rPr>
          <w:rFonts w:ascii="Garamond" w:hAnsi="Garamond"/>
          <w:lang w:val="pt-PT"/>
        </w:rPr>
        <w:t>sem custos (telefones fixos e da rede móvel). Contudo</w:t>
      </w:r>
      <w:r>
        <w:rPr>
          <w:rFonts w:ascii="Garamond" w:hAnsi="Garamond"/>
          <w:lang w:val="pt-PT"/>
        </w:rPr>
        <w:t>,</w:t>
      </w:r>
      <w:r w:rsidRPr="00BE46E6">
        <w:rPr>
          <w:rFonts w:ascii="Garamond" w:hAnsi="Garamond"/>
          <w:lang w:val="pt-PT"/>
        </w:rPr>
        <w:t xml:space="preserve"> não tem sido possível garantir o atendimento por agentes formados em atendimento a vítimas de </w:t>
      </w:r>
      <w:proofErr w:type="spellStart"/>
      <w:r w:rsidRPr="00BE46E6">
        <w:rPr>
          <w:rFonts w:ascii="Garamond" w:hAnsi="Garamond"/>
          <w:lang w:val="pt-PT"/>
        </w:rPr>
        <w:t>VBG</w:t>
      </w:r>
      <w:proofErr w:type="spellEnd"/>
      <w:r w:rsidRPr="00BE46E6">
        <w:rPr>
          <w:rFonts w:ascii="Garamond" w:hAnsi="Garamond"/>
          <w:lang w:val="pt-PT"/>
        </w:rPr>
        <w:t xml:space="preserve">, devido à mobilidade do pessoal. Por outro lado, a linha 132 tem um limite de dois minutos para a duração das chamadas, o que pode ser insuficiente para casos de </w:t>
      </w:r>
      <w:proofErr w:type="spellStart"/>
      <w:r w:rsidRPr="00BE46E6">
        <w:rPr>
          <w:rFonts w:ascii="Garamond" w:hAnsi="Garamond"/>
          <w:lang w:val="pt-PT"/>
        </w:rPr>
        <w:t>VBG</w:t>
      </w:r>
      <w:proofErr w:type="spellEnd"/>
      <w:r w:rsidRPr="00BE46E6">
        <w:rPr>
          <w:rFonts w:ascii="Garamond" w:hAnsi="Garamond"/>
          <w:lang w:val="pt-PT"/>
        </w:rPr>
        <w:t xml:space="preserve">, e deixando de fora muitas outras situações que, não sendo emergenciais, carecem de informação e orientação/encaminhamento. A PN está a estabelecer o Novo Centro de Comando e Controlo (videovigilância) na Praia, São Vicente e Sal, cujo pessoal necessitará de formação em </w:t>
      </w:r>
      <w:proofErr w:type="spellStart"/>
      <w:r w:rsidRPr="00BE46E6">
        <w:rPr>
          <w:rFonts w:ascii="Garamond" w:hAnsi="Garamond"/>
          <w:lang w:val="pt-PT"/>
        </w:rPr>
        <w:t>VBG</w:t>
      </w:r>
      <w:proofErr w:type="spellEnd"/>
      <w:r w:rsidRPr="00BE46E6">
        <w:rPr>
          <w:rFonts w:ascii="Garamond" w:hAnsi="Garamond"/>
          <w:lang w:val="pt-PT"/>
        </w:rPr>
        <w:t xml:space="preserve">. Existem planos para o estabelecimento da linha 112, para emergências em geral, de várias ordens, funcionando de forma integrada com as linhas emergenciais já existentes. </w:t>
      </w:r>
    </w:p>
    <w:p w14:paraId="3D850B9F" w14:textId="77777777" w:rsidR="00541FA6" w:rsidRPr="001C50C8" w:rsidRDefault="00541FA6" w:rsidP="002A62A2">
      <w:pPr>
        <w:pStyle w:val="PargrafodaLista"/>
        <w:numPr>
          <w:ilvl w:val="0"/>
          <w:numId w:val="70"/>
        </w:numPr>
        <w:jc w:val="both"/>
        <w:rPr>
          <w:rFonts w:ascii="Garamond" w:hAnsi="Garamond"/>
          <w:lang w:val="pt-PT"/>
        </w:rPr>
      </w:pPr>
      <w:r w:rsidRPr="00705EA1">
        <w:rPr>
          <w:rFonts w:ascii="Garamond" w:hAnsi="Garamond"/>
          <w:lang w:val="pt-PT"/>
        </w:rPr>
        <w:t xml:space="preserve">Estabelecer um plano de formação sobre atendimento a vítimas de </w:t>
      </w:r>
      <w:proofErr w:type="spellStart"/>
      <w:r w:rsidRPr="00705EA1">
        <w:rPr>
          <w:rFonts w:ascii="Garamond" w:hAnsi="Garamond"/>
          <w:lang w:val="pt-PT"/>
        </w:rPr>
        <w:t>VBG</w:t>
      </w:r>
      <w:proofErr w:type="spellEnd"/>
      <w:r w:rsidRPr="00705EA1">
        <w:rPr>
          <w:rFonts w:ascii="Garamond" w:hAnsi="Garamond"/>
          <w:lang w:val="pt-PT"/>
        </w:rPr>
        <w:t xml:space="preserve"> para </w:t>
      </w:r>
      <w:r>
        <w:rPr>
          <w:rFonts w:ascii="Garamond" w:hAnsi="Garamond"/>
          <w:lang w:val="pt-PT"/>
        </w:rPr>
        <w:t xml:space="preserve">o pessoal da </w:t>
      </w:r>
      <w:r w:rsidRPr="001C50C8">
        <w:rPr>
          <w:rFonts w:ascii="Garamond" w:hAnsi="Garamond"/>
          <w:lang w:val="pt-PT"/>
        </w:rPr>
        <w:t xml:space="preserve">linha emergencial 132 e demais serviços em curso de implementação e assegurar que as necessidades das vítimas de </w:t>
      </w:r>
      <w:proofErr w:type="spellStart"/>
      <w:r w:rsidRPr="001C50C8">
        <w:rPr>
          <w:rFonts w:ascii="Garamond" w:hAnsi="Garamond"/>
          <w:lang w:val="pt-PT"/>
        </w:rPr>
        <w:t>VBG</w:t>
      </w:r>
      <w:proofErr w:type="spellEnd"/>
      <w:r w:rsidRPr="001C50C8">
        <w:rPr>
          <w:rFonts w:ascii="Garamond" w:hAnsi="Garamond"/>
          <w:lang w:val="pt-PT"/>
        </w:rPr>
        <w:t xml:space="preserve"> são tidas em conta na futura linha emergencial 112.</w:t>
      </w:r>
    </w:p>
    <w:p w14:paraId="341B9EAA" w14:textId="77777777" w:rsidR="00541FA6" w:rsidRDefault="00541FA6" w:rsidP="002A62A2">
      <w:pPr>
        <w:pStyle w:val="PargrafodaLista"/>
        <w:numPr>
          <w:ilvl w:val="0"/>
          <w:numId w:val="70"/>
        </w:numPr>
        <w:spacing w:after="240"/>
        <w:ind w:left="782" w:hanging="357"/>
        <w:contextualSpacing w:val="0"/>
        <w:jc w:val="both"/>
        <w:rPr>
          <w:rFonts w:ascii="Garamond" w:hAnsi="Garamond"/>
          <w:lang w:val="pt-PT"/>
        </w:rPr>
      </w:pPr>
      <w:r w:rsidRPr="001C50C8">
        <w:rPr>
          <w:rFonts w:ascii="Garamond" w:hAnsi="Garamond"/>
          <w:lang w:val="pt-PT"/>
        </w:rPr>
        <w:t xml:space="preserve">Estudar as experiências existentes em Cabo Verde e no estrangeiro de linhas telefónicas específicas de apoio grátis e definir as necessidades para o funcionamento de uma linha de apoio gratuita, com pessoal formado, para prestar informações/conselhos sobre </w:t>
      </w:r>
      <w:proofErr w:type="spellStart"/>
      <w:r w:rsidRPr="001C50C8">
        <w:rPr>
          <w:rFonts w:ascii="Garamond" w:hAnsi="Garamond"/>
          <w:lang w:val="pt-PT"/>
        </w:rPr>
        <w:t>VBG</w:t>
      </w:r>
      <w:proofErr w:type="spellEnd"/>
      <w:r w:rsidRPr="001C50C8">
        <w:rPr>
          <w:rFonts w:ascii="Garamond" w:hAnsi="Garamond"/>
          <w:lang w:val="pt-PT"/>
        </w:rPr>
        <w:t>.</w:t>
      </w:r>
    </w:p>
    <w:p w14:paraId="22A2B9AD" w14:textId="77777777" w:rsidR="00541FA6" w:rsidRPr="001C50C8" w:rsidRDefault="00541FA6" w:rsidP="00541FA6">
      <w:pPr>
        <w:jc w:val="both"/>
        <w:rPr>
          <w:rFonts w:ascii="Garamond" w:hAnsi="Garamond"/>
          <w:b/>
          <w:bCs/>
          <w:lang w:val="pt-PT"/>
        </w:rPr>
      </w:pPr>
      <w:r w:rsidRPr="001C50C8">
        <w:rPr>
          <w:rFonts w:ascii="Garamond" w:hAnsi="Garamond"/>
          <w:b/>
          <w:bCs/>
          <w:lang w:val="pt-PT"/>
        </w:rPr>
        <w:t xml:space="preserve">Programa de reinserção de homens condenados por </w:t>
      </w:r>
      <w:proofErr w:type="spellStart"/>
      <w:r w:rsidRPr="001C50C8">
        <w:rPr>
          <w:rFonts w:ascii="Garamond" w:hAnsi="Garamond"/>
          <w:b/>
          <w:bCs/>
          <w:lang w:val="pt-PT"/>
        </w:rPr>
        <w:t>VBG</w:t>
      </w:r>
      <w:proofErr w:type="spellEnd"/>
    </w:p>
    <w:p w14:paraId="57B9D420" w14:textId="77777777" w:rsidR="00541FA6" w:rsidRPr="00BE46E6" w:rsidRDefault="00541FA6" w:rsidP="00541FA6">
      <w:pPr>
        <w:spacing w:after="240"/>
        <w:jc w:val="both"/>
        <w:rPr>
          <w:rFonts w:ascii="Garamond" w:hAnsi="Garamond"/>
          <w:lang w:val="pt-PT"/>
        </w:rPr>
      </w:pPr>
      <w:r w:rsidRPr="00BE46E6">
        <w:rPr>
          <w:rFonts w:ascii="Garamond" w:hAnsi="Garamond"/>
          <w:lang w:val="pt-PT"/>
        </w:rPr>
        <w:t xml:space="preserve">Este Programa, considerado como uma boa prática </w:t>
      </w:r>
      <w:proofErr w:type="spellStart"/>
      <w:r w:rsidRPr="00BE46E6">
        <w:rPr>
          <w:rFonts w:ascii="Garamond" w:hAnsi="Garamond"/>
          <w:lang w:val="pt-PT"/>
        </w:rPr>
        <w:t>pela</w:t>
      </w:r>
      <w:proofErr w:type="spellEnd"/>
      <w:r w:rsidRPr="00BE46E6">
        <w:rPr>
          <w:rFonts w:ascii="Garamond" w:hAnsi="Garamond"/>
          <w:lang w:val="pt-PT"/>
        </w:rPr>
        <w:t xml:space="preserve"> </w:t>
      </w:r>
      <w:r w:rsidRPr="00BE46E6">
        <w:rPr>
          <w:rFonts w:ascii="Garamond" w:hAnsi="Garamond"/>
          <w:i/>
          <w:iCs/>
          <w:lang w:val="pt-PT"/>
        </w:rPr>
        <w:t xml:space="preserve">Avaliação do grau de implementação da Lei </w:t>
      </w:r>
      <w:proofErr w:type="spellStart"/>
      <w:r w:rsidRPr="00BE46E6">
        <w:rPr>
          <w:rFonts w:ascii="Garamond" w:hAnsi="Garamond"/>
          <w:i/>
          <w:iCs/>
          <w:lang w:val="pt-PT"/>
        </w:rPr>
        <w:t>VBG</w:t>
      </w:r>
      <w:proofErr w:type="spellEnd"/>
      <w:r w:rsidRPr="00BE46E6">
        <w:rPr>
          <w:rFonts w:ascii="Garamond" w:hAnsi="Garamond"/>
          <w:lang w:val="pt-PT"/>
        </w:rPr>
        <w:t xml:space="preserve"> (2017), contou com uma avaliação em 2018, cujas recomendações estão sendo implementadas </w:t>
      </w:r>
      <w:proofErr w:type="spellStart"/>
      <w:r w:rsidRPr="00BE46E6">
        <w:rPr>
          <w:rFonts w:ascii="Garamond" w:hAnsi="Garamond"/>
          <w:lang w:val="pt-PT"/>
        </w:rPr>
        <w:t>pela</w:t>
      </w:r>
      <w:proofErr w:type="spellEnd"/>
      <w:r w:rsidRPr="00BE46E6">
        <w:rPr>
          <w:rFonts w:ascii="Garamond" w:hAnsi="Garamond"/>
          <w:lang w:val="pt-PT"/>
        </w:rPr>
        <w:t xml:space="preserve"> </w:t>
      </w:r>
      <w:proofErr w:type="spellStart"/>
      <w:r w:rsidRPr="00BE46E6">
        <w:rPr>
          <w:rFonts w:ascii="Garamond" w:hAnsi="Garamond"/>
          <w:lang w:val="pt-PT"/>
        </w:rPr>
        <w:t>DGSPRS</w:t>
      </w:r>
      <w:proofErr w:type="spellEnd"/>
      <w:r w:rsidRPr="00BE46E6">
        <w:rPr>
          <w:rFonts w:ascii="Garamond" w:hAnsi="Garamond"/>
          <w:lang w:val="pt-PT"/>
        </w:rPr>
        <w:t xml:space="preserve">: foram realizadas acções de divulgação e sensibilização sobre o Programa, que permitiram aumentar os encaminhamentos por parte dos tribunais onde se registavam poucos encaminhamentos, e que permitiu também a melhoria na aplicação da suspensão provisória dos processos; foi trabalhada a uniformização dos procedimentos para o encaminhamento nas secretarias judiciais, em parceria com o </w:t>
      </w:r>
      <w:proofErr w:type="spellStart"/>
      <w:r w:rsidRPr="00BE46E6">
        <w:rPr>
          <w:rFonts w:ascii="Garamond" w:hAnsi="Garamond"/>
          <w:lang w:val="pt-PT"/>
        </w:rPr>
        <w:t>CSMJ</w:t>
      </w:r>
      <w:proofErr w:type="spellEnd"/>
      <w:r w:rsidRPr="00BE46E6">
        <w:rPr>
          <w:rFonts w:ascii="Garamond" w:hAnsi="Garamond"/>
          <w:lang w:val="pt-PT"/>
        </w:rPr>
        <w:t xml:space="preserve">. Está em curso o recrutamento de técnicos de reinserção social para algumas cadeias, bem como a reciclagem dos facilitadores e a formação de novos facilitadores para </w:t>
      </w:r>
      <w:r>
        <w:rPr>
          <w:rFonts w:ascii="Garamond" w:hAnsi="Garamond"/>
          <w:lang w:val="pt-PT"/>
        </w:rPr>
        <w:t xml:space="preserve">os </w:t>
      </w:r>
      <w:r w:rsidRPr="00BE46E6">
        <w:rPr>
          <w:rFonts w:ascii="Garamond" w:hAnsi="Garamond"/>
          <w:lang w:val="pt-PT"/>
        </w:rPr>
        <w:t>grupos reflexivos</w:t>
      </w:r>
      <w:r>
        <w:rPr>
          <w:rFonts w:ascii="Garamond" w:hAnsi="Garamond"/>
          <w:lang w:val="pt-PT"/>
        </w:rPr>
        <w:t xml:space="preserve"> do Programa</w:t>
      </w:r>
      <w:r w:rsidRPr="00BE46E6">
        <w:rPr>
          <w:rFonts w:ascii="Garamond" w:hAnsi="Garamond"/>
          <w:lang w:val="pt-PT"/>
        </w:rPr>
        <w:t xml:space="preserve">, permitindo a </w:t>
      </w:r>
      <w:r>
        <w:rPr>
          <w:rFonts w:ascii="Garamond" w:hAnsi="Garamond"/>
          <w:lang w:val="pt-PT"/>
        </w:rPr>
        <w:t xml:space="preserve">sua </w:t>
      </w:r>
      <w:r w:rsidRPr="00BE46E6">
        <w:rPr>
          <w:rFonts w:ascii="Garamond" w:hAnsi="Garamond"/>
          <w:lang w:val="pt-PT"/>
        </w:rPr>
        <w:t xml:space="preserve">implementação em todas comarcas. </w:t>
      </w:r>
    </w:p>
    <w:p w14:paraId="0F0BA4E6" w14:textId="77777777" w:rsidR="00541FA6" w:rsidRPr="00BE46E6" w:rsidRDefault="00541FA6" w:rsidP="00541FA6">
      <w:pPr>
        <w:shd w:val="clear" w:color="auto" w:fill="D9D9D9" w:themeFill="background1" w:themeFillShade="D9"/>
        <w:ind w:left="284" w:right="284"/>
        <w:jc w:val="center"/>
        <w:rPr>
          <w:rFonts w:ascii="Garamond" w:hAnsi="Garamond"/>
          <w:b/>
          <w:sz w:val="20"/>
          <w:szCs w:val="20"/>
          <w:lang w:val="pt-PT"/>
        </w:rPr>
      </w:pPr>
      <w:r w:rsidRPr="00BE46E6">
        <w:rPr>
          <w:rFonts w:ascii="Garamond" w:hAnsi="Garamond"/>
          <w:b/>
          <w:sz w:val="20"/>
          <w:szCs w:val="20"/>
          <w:lang w:val="pt-PT"/>
        </w:rPr>
        <w:t>Breve Historial do Programa &amp; Principais Resultados</w:t>
      </w:r>
    </w:p>
    <w:p w14:paraId="4CC1B3CA" w14:textId="77777777" w:rsidR="00541FA6" w:rsidRPr="00BE46E6" w:rsidRDefault="00541FA6" w:rsidP="00541FA6">
      <w:pPr>
        <w:shd w:val="clear" w:color="auto" w:fill="D9D9D9" w:themeFill="background1" w:themeFillShade="D9"/>
        <w:ind w:left="284" w:right="284"/>
        <w:jc w:val="center"/>
        <w:rPr>
          <w:rFonts w:ascii="Garamond" w:hAnsi="Garamond"/>
          <w:b/>
          <w:sz w:val="20"/>
          <w:szCs w:val="20"/>
          <w:lang w:val="pt-PT"/>
        </w:rPr>
      </w:pPr>
    </w:p>
    <w:p w14:paraId="3E1B3AFA"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hAnsi="Garamond" w:cs="Calibri"/>
          <w:b/>
          <w:i/>
          <w:sz w:val="20"/>
          <w:szCs w:val="20"/>
          <w:lang w:val="pt-PT"/>
        </w:rPr>
        <w:t>Início do Programa</w:t>
      </w:r>
      <w:r w:rsidRPr="00BE46E6">
        <w:rPr>
          <w:rFonts w:ascii="Garamond" w:hAnsi="Garamond" w:cs="Calibri"/>
          <w:sz w:val="20"/>
          <w:szCs w:val="20"/>
          <w:lang w:val="pt-PT"/>
        </w:rPr>
        <w:t xml:space="preserve">: </w:t>
      </w:r>
      <w:r w:rsidRPr="00BE46E6">
        <w:rPr>
          <w:rFonts w:ascii="Garamond" w:eastAsia="Times New Roman" w:hAnsi="Garamond" w:cs="Calibri"/>
          <w:sz w:val="20"/>
          <w:szCs w:val="20"/>
          <w:lang w:val="pt-PT"/>
        </w:rPr>
        <w:t xml:space="preserve">Em 2013, foram iniciados 2 grupos-piloto em Santa Cruz e na Cidade da Praia, culminando na elaboração do Programa. No mesmo ano procedeu-se à capacitação de mais técnicos/as facilitadores dos grupos reflexivos e à ampliação do Programa a mais 5 comarcas (50% das que existem no país). No ano seguinte, o Programa foi ampliado a nível nacional com a capacitação de técnicos/as em todas as comarcas do país (com </w:t>
      </w:r>
      <w:proofErr w:type="spellStart"/>
      <w:r w:rsidRPr="00BE46E6">
        <w:rPr>
          <w:rFonts w:ascii="Garamond" w:eastAsia="Times New Roman" w:hAnsi="Garamond" w:cs="Calibri"/>
          <w:sz w:val="20"/>
          <w:szCs w:val="20"/>
          <w:lang w:val="pt-PT"/>
        </w:rPr>
        <w:t>exceção</w:t>
      </w:r>
      <w:proofErr w:type="spellEnd"/>
      <w:r w:rsidRPr="00BE46E6">
        <w:rPr>
          <w:rFonts w:ascii="Garamond" w:eastAsia="Times New Roman" w:hAnsi="Garamond" w:cs="Calibri"/>
          <w:sz w:val="20"/>
          <w:szCs w:val="20"/>
          <w:lang w:val="pt-PT"/>
        </w:rPr>
        <w:t xml:space="preserve"> da ilha de São Nicolau), e foi publicado o </w:t>
      </w:r>
      <w:r w:rsidRPr="00BE46E6">
        <w:rPr>
          <w:rFonts w:ascii="Garamond" w:eastAsia="Times New Roman" w:hAnsi="Garamond" w:cs="Calibri"/>
          <w:i/>
          <w:sz w:val="20"/>
          <w:szCs w:val="20"/>
          <w:lang w:val="pt-PT"/>
        </w:rPr>
        <w:t xml:space="preserve">Guia Metodológico - Programa de Reinserção de Homens Arguidos por </w:t>
      </w:r>
      <w:proofErr w:type="spellStart"/>
      <w:r w:rsidRPr="00BE46E6">
        <w:rPr>
          <w:rFonts w:ascii="Garamond" w:eastAsia="Times New Roman" w:hAnsi="Garamond" w:cs="Calibri"/>
          <w:i/>
          <w:sz w:val="20"/>
          <w:szCs w:val="20"/>
          <w:lang w:val="pt-PT"/>
        </w:rPr>
        <w:t>VBG</w:t>
      </w:r>
      <w:proofErr w:type="spellEnd"/>
      <w:r w:rsidRPr="00BE46E6">
        <w:rPr>
          <w:rFonts w:ascii="Garamond" w:eastAsia="Times New Roman" w:hAnsi="Garamond" w:cs="Calibri"/>
          <w:sz w:val="20"/>
          <w:szCs w:val="20"/>
          <w:lang w:val="pt-PT"/>
        </w:rPr>
        <w:t>, como material de apoio para técnicos/as.</w:t>
      </w:r>
    </w:p>
    <w:p w14:paraId="35B2668E"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b/>
          <w:i/>
          <w:sz w:val="20"/>
          <w:szCs w:val="20"/>
          <w:lang w:val="pt-PT"/>
        </w:rPr>
      </w:pPr>
    </w:p>
    <w:p w14:paraId="18153858"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b/>
          <w:i/>
          <w:sz w:val="20"/>
          <w:szCs w:val="20"/>
          <w:lang w:val="pt-PT"/>
        </w:rPr>
        <w:t>Principais resultados da avaliação</w:t>
      </w:r>
      <w:r w:rsidRPr="00BE46E6">
        <w:rPr>
          <w:rFonts w:ascii="Garamond" w:eastAsia="Times New Roman" w:hAnsi="Garamond" w:cs="Calibri"/>
          <w:sz w:val="20"/>
          <w:szCs w:val="20"/>
          <w:lang w:val="pt-PT"/>
        </w:rPr>
        <w:t>: Desde o início do Programa (2013) a Fevereiro 2018, foram realizados:</w:t>
      </w:r>
    </w:p>
    <w:p w14:paraId="011F4AE2" w14:textId="77777777" w:rsidR="00541FA6" w:rsidRPr="0094576D" w:rsidRDefault="00541FA6" w:rsidP="002A62A2">
      <w:pPr>
        <w:pStyle w:val="PargrafodaLista"/>
        <w:numPr>
          <w:ilvl w:val="0"/>
          <w:numId w:val="71"/>
        </w:numPr>
        <w:shd w:val="clear" w:color="auto" w:fill="D9D9D9" w:themeFill="background1" w:themeFillShade="D9"/>
        <w:ind w:right="284"/>
        <w:jc w:val="both"/>
        <w:rPr>
          <w:rFonts w:ascii="Garamond" w:eastAsia="Times New Roman" w:hAnsi="Garamond" w:cs="Calibri"/>
          <w:sz w:val="20"/>
          <w:szCs w:val="20"/>
          <w:lang w:val="pt-PT"/>
        </w:rPr>
      </w:pPr>
      <w:r w:rsidRPr="0094576D">
        <w:rPr>
          <w:rFonts w:ascii="Garamond" w:eastAsia="Times New Roman" w:hAnsi="Garamond" w:cs="Calibri"/>
          <w:sz w:val="20"/>
          <w:szCs w:val="20"/>
          <w:lang w:val="pt-PT"/>
        </w:rPr>
        <w:t>38 grupos reflexivos</w:t>
      </w:r>
      <w:r>
        <w:rPr>
          <w:rStyle w:val="Refdenotaderodap"/>
          <w:rFonts w:ascii="Garamond" w:eastAsia="Times New Roman" w:hAnsi="Garamond" w:cs="Calibri"/>
          <w:lang w:val="pt-PT"/>
        </w:rPr>
        <w:footnoteReference w:id="82"/>
      </w:r>
      <w:r w:rsidRPr="0094576D">
        <w:rPr>
          <w:rFonts w:ascii="Garamond" w:eastAsia="Times New Roman" w:hAnsi="Garamond" w:cs="Calibri"/>
          <w:sz w:val="20"/>
          <w:szCs w:val="20"/>
          <w:lang w:val="pt-PT"/>
        </w:rPr>
        <w:t xml:space="preserve"> </w:t>
      </w:r>
    </w:p>
    <w:p w14:paraId="28887B72" w14:textId="77777777" w:rsidR="00541FA6" w:rsidRPr="0094576D" w:rsidRDefault="00541FA6" w:rsidP="002A62A2">
      <w:pPr>
        <w:pStyle w:val="PargrafodaLista"/>
        <w:numPr>
          <w:ilvl w:val="0"/>
          <w:numId w:val="71"/>
        </w:numPr>
        <w:shd w:val="clear" w:color="auto" w:fill="D9D9D9" w:themeFill="background1" w:themeFillShade="D9"/>
        <w:ind w:right="284"/>
        <w:jc w:val="both"/>
        <w:rPr>
          <w:rFonts w:ascii="Garamond" w:eastAsia="Times New Roman" w:hAnsi="Garamond" w:cs="Calibri"/>
          <w:sz w:val="20"/>
          <w:szCs w:val="20"/>
        </w:rPr>
      </w:pPr>
      <w:r w:rsidRPr="0094576D">
        <w:rPr>
          <w:rFonts w:ascii="Garamond" w:eastAsia="Times New Roman" w:hAnsi="Garamond" w:cs="Calibri"/>
          <w:sz w:val="20"/>
          <w:szCs w:val="20"/>
        </w:rPr>
        <w:t xml:space="preserve">360 </w:t>
      </w:r>
      <w:proofErr w:type="spellStart"/>
      <w:r w:rsidRPr="0094576D">
        <w:rPr>
          <w:rFonts w:ascii="Garamond" w:eastAsia="Times New Roman" w:hAnsi="Garamond" w:cs="Calibri"/>
          <w:sz w:val="20"/>
          <w:szCs w:val="20"/>
        </w:rPr>
        <w:t>participantes</w:t>
      </w:r>
      <w:proofErr w:type="spellEnd"/>
    </w:p>
    <w:p w14:paraId="16F498DD" w14:textId="77777777" w:rsidR="00541FA6" w:rsidRPr="0094576D" w:rsidRDefault="00541FA6" w:rsidP="002A62A2">
      <w:pPr>
        <w:pStyle w:val="PargrafodaLista"/>
        <w:numPr>
          <w:ilvl w:val="0"/>
          <w:numId w:val="71"/>
        </w:numPr>
        <w:shd w:val="clear" w:color="auto" w:fill="D9D9D9" w:themeFill="background1" w:themeFillShade="D9"/>
        <w:ind w:right="284"/>
        <w:jc w:val="both"/>
        <w:rPr>
          <w:rFonts w:ascii="Garamond" w:eastAsia="Times New Roman" w:hAnsi="Garamond" w:cs="Calibri"/>
          <w:sz w:val="20"/>
          <w:szCs w:val="20"/>
          <w:lang w:val="pt-PT"/>
        </w:rPr>
      </w:pPr>
      <w:r w:rsidRPr="0094576D">
        <w:rPr>
          <w:rFonts w:ascii="Garamond" w:eastAsia="Times New Roman" w:hAnsi="Garamond" w:cs="Calibri"/>
          <w:sz w:val="20"/>
          <w:szCs w:val="20"/>
          <w:lang w:val="pt-PT"/>
        </w:rPr>
        <w:t>336 cumpriram na totalidade as sessões</w:t>
      </w:r>
    </w:p>
    <w:p w14:paraId="40990A19" w14:textId="77777777" w:rsidR="00541FA6" w:rsidRPr="0094576D" w:rsidRDefault="00541FA6" w:rsidP="002A62A2">
      <w:pPr>
        <w:pStyle w:val="PargrafodaLista"/>
        <w:numPr>
          <w:ilvl w:val="0"/>
          <w:numId w:val="71"/>
        </w:numPr>
        <w:shd w:val="clear" w:color="auto" w:fill="D9D9D9" w:themeFill="background1" w:themeFillShade="D9"/>
        <w:ind w:right="284"/>
        <w:jc w:val="both"/>
        <w:rPr>
          <w:rFonts w:ascii="Garamond" w:eastAsia="Times New Roman" w:hAnsi="Garamond" w:cs="Calibri"/>
          <w:sz w:val="20"/>
          <w:szCs w:val="20"/>
          <w:lang w:val="pt-PT"/>
        </w:rPr>
      </w:pPr>
      <w:r w:rsidRPr="0094576D">
        <w:rPr>
          <w:rFonts w:ascii="Garamond" w:eastAsia="Times New Roman" w:hAnsi="Garamond" w:cs="Calibri"/>
          <w:sz w:val="20"/>
          <w:szCs w:val="20"/>
          <w:lang w:val="pt-PT"/>
        </w:rPr>
        <w:t xml:space="preserve">Impacto da participação nos grupos reflexivos: </w:t>
      </w:r>
    </w:p>
    <w:p w14:paraId="4A253EEE"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sz w:val="20"/>
          <w:szCs w:val="20"/>
          <w:lang w:val="pt-PT"/>
        </w:rPr>
        <w:t xml:space="preserve">         </w:t>
      </w:r>
      <w:r w:rsidRPr="00BE46E6">
        <w:rPr>
          <w:rFonts w:ascii="Garamond" w:eastAsia="Times New Roman" w:hAnsi="Garamond" w:cs="Courier New"/>
          <w:sz w:val="20"/>
          <w:szCs w:val="20"/>
          <w:lang w:val="pt-PT"/>
        </w:rPr>
        <w:t xml:space="preserve">→ </w:t>
      </w:r>
      <w:r w:rsidRPr="00BE46E6">
        <w:rPr>
          <w:rFonts w:ascii="Garamond" w:eastAsia="Times New Roman" w:hAnsi="Garamond" w:cs="Calibri"/>
          <w:sz w:val="20"/>
          <w:szCs w:val="20"/>
          <w:lang w:val="pt-PT"/>
        </w:rPr>
        <w:t xml:space="preserve">Maior consciencialização dos autores de </w:t>
      </w:r>
      <w:proofErr w:type="spellStart"/>
      <w:r w:rsidRPr="00BE46E6">
        <w:rPr>
          <w:rFonts w:ascii="Garamond" w:eastAsia="Times New Roman" w:hAnsi="Garamond" w:cs="Calibri"/>
          <w:sz w:val="20"/>
          <w:szCs w:val="20"/>
          <w:lang w:val="pt-PT"/>
        </w:rPr>
        <w:t>VBG</w:t>
      </w:r>
      <w:proofErr w:type="spellEnd"/>
      <w:r w:rsidRPr="00BE46E6">
        <w:rPr>
          <w:rFonts w:ascii="Garamond" w:eastAsia="Times New Roman" w:hAnsi="Garamond" w:cs="Calibri"/>
          <w:sz w:val="20"/>
          <w:szCs w:val="20"/>
          <w:lang w:val="pt-PT"/>
        </w:rPr>
        <w:t xml:space="preserve"> quanto aos seus </w:t>
      </w:r>
      <w:proofErr w:type="spellStart"/>
      <w:r w:rsidRPr="00BE46E6">
        <w:rPr>
          <w:rFonts w:ascii="Garamond" w:eastAsia="Times New Roman" w:hAnsi="Garamond" w:cs="Calibri"/>
          <w:sz w:val="20"/>
          <w:szCs w:val="20"/>
          <w:lang w:val="pt-PT"/>
        </w:rPr>
        <w:t>atos</w:t>
      </w:r>
      <w:proofErr w:type="spellEnd"/>
    </w:p>
    <w:p w14:paraId="11EC0A87"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sz w:val="20"/>
          <w:szCs w:val="20"/>
          <w:lang w:val="pt-PT"/>
        </w:rPr>
        <w:t xml:space="preserve">         </w:t>
      </w:r>
      <w:r w:rsidRPr="00BE46E6">
        <w:rPr>
          <w:rFonts w:ascii="Garamond" w:eastAsia="Times New Roman" w:hAnsi="Garamond" w:cs="Courier New"/>
          <w:sz w:val="20"/>
          <w:szCs w:val="20"/>
          <w:lang w:val="pt-PT"/>
        </w:rPr>
        <w:t xml:space="preserve">→ </w:t>
      </w:r>
      <w:r w:rsidRPr="00BE46E6">
        <w:rPr>
          <w:rFonts w:ascii="Garamond" w:eastAsia="Times New Roman" w:hAnsi="Garamond" w:cs="Calibri"/>
          <w:sz w:val="20"/>
          <w:szCs w:val="20"/>
          <w:lang w:val="pt-PT"/>
        </w:rPr>
        <w:t>Domínio de técnicas não-conflituosas nas relações interpessoais</w:t>
      </w:r>
    </w:p>
    <w:p w14:paraId="275C9D42"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sz w:val="20"/>
          <w:szCs w:val="20"/>
          <w:lang w:val="pt-PT"/>
        </w:rPr>
        <w:t xml:space="preserve">         </w:t>
      </w:r>
      <w:r w:rsidRPr="00BE46E6">
        <w:rPr>
          <w:rFonts w:ascii="Garamond" w:eastAsia="Times New Roman" w:hAnsi="Garamond" w:cs="Courier New"/>
          <w:sz w:val="20"/>
          <w:szCs w:val="20"/>
          <w:lang w:val="pt-PT"/>
        </w:rPr>
        <w:t xml:space="preserve">→ </w:t>
      </w:r>
      <w:r w:rsidRPr="00BE46E6">
        <w:rPr>
          <w:rFonts w:ascii="Garamond" w:eastAsia="Times New Roman" w:hAnsi="Garamond" w:cs="Calibri"/>
          <w:sz w:val="20"/>
          <w:szCs w:val="20"/>
          <w:lang w:val="pt-PT"/>
        </w:rPr>
        <w:t xml:space="preserve">Baixa taxa de desistência do programa, muito valorizado </w:t>
      </w:r>
      <w:proofErr w:type="spellStart"/>
      <w:r w:rsidRPr="00BE46E6">
        <w:rPr>
          <w:rFonts w:ascii="Garamond" w:eastAsia="Times New Roman" w:hAnsi="Garamond" w:cs="Calibri"/>
          <w:sz w:val="20"/>
          <w:szCs w:val="20"/>
          <w:lang w:val="pt-PT"/>
        </w:rPr>
        <w:t>pelos</w:t>
      </w:r>
      <w:proofErr w:type="spellEnd"/>
      <w:r w:rsidRPr="00BE46E6">
        <w:rPr>
          <w:rFonts w:ascii="Garamond" w:eastAsia="Times New Roman" w:hAnsi="Garamond" w:cs="Calibri"/>
          <w:sz w:val="20"/>
          <w:szCs w:val="20"/>
          <w:lang w:val="pt-PT"/>
        </w:rPr>
        <w:t xml:space="preserve"> participantes </w:t>
      </w:r>
    </w:p>
    <w:p w14:paraId="2709BA01"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sz w:val="20"/>
          <w:szCs w:val="20"/>
          <w:lang w:val="pt-PT"/>
        </w:rPr>
        <w:t xml:space="preserve">         </w:t>
      </w:r>
      <w:r w:rsidRPr="00BE46E6">
        <w:rPr>
          <w:rFonts w:ascii="Garamond" w:eastAsia="Times New Roman" w:hAnsi="Garamond" w:cs="Courier New"/>
          <w:sz w:val="20"/>
          <w:szCs w:val="20"/>
          <w:lang w:val="pt-PT"/>
        </w:rPr>
        <w:t xml:space="preserve">→ </w:t>
      </w:r>
      <w:r w:rsidRPr="00BE46E6">
        <w:rPr>
          <w:rFonts w:ascii="Garamond" w:eastAsia="Times New Roman" w:hAnsi="Garamond" w:cs="Calibri"/>
          <w:sz w:val="20"/>
          <w:szCs w:val="20"/>
          <w:lang w:val="pt-PT"/>
        </w:rPr>
        <w:t>Assunção de um papel multiplicador na comunidade, após o término dos grupos</w:t>
      </w:r>
    </w:p>
    <w:p w14:paraId="3B3187B7" w14:textId="77777777" w:rsidR="00541FA6" w:rsidRPr="00BE46E6" w:rsidRDefault="00541FA6" w:rsidP="00541FA6">
      <w:pPr>
        <w:shd w:val="clear" w:color="auto" w:fill="D9D9D9" w:themeFill="background1" w:themeFillShade="D9"/>
        <w:ind w:left="284" w:right="284"/>
        <w:jc w:val="both"/>
        <w:rPr>
          <w:rFonts w:ascii="Garamond" w:eastAsia="Times New Roman" w:hAnsi="Garamond" w:cs="Calibri"/>
          <w:sz w:val="20"/>
          <w:szCs w:val="20"/>
          <w:lang w:val="pt-PT"/>
        </w:rPr>
      </w:pPr>
      <w:r w:rsidRPr="00BE46E6">
        <w:rPr>
          <w:rFonts w:ascii="Garamond" w:eastAsia="Times New Roman" w:hAnsi="Garamond" w:cs="Calibri"/>
          <w:sz w:val="20"/>
          <w:szCs w:val="20"/>
          <w:lang w:val="pt-PT"/>
        </w:rPr>
        <w:t xml:space="preserve">         </w:t>
      </w:r>
      <w:r w:rsidRPr="00BE46E6">
        <w:rPr>
          <w:rFonts w:ascii="Garamond" w:eastAsia="Times New Roman" w:hAnsi="Garamond" w:cs="Courier New"/>
          <w:sz w:val="20"/>
          <w:szCs w:val="20"/>
          <w:lang w:val="pt-PT"/>
        </w:rPr>
        <w:t xml:space="preserve">→ </w:t>
      </w:r>
      <w:r w:rsidRPr="00BE46E6">
        <w:rPr>
          <w:rFonts w:ascii="Garamond" w:eastAsia="Times New Roman" w:hAnsi="Garamond" w:cs="Calibri"/>
          <w:sz w:val="20"/>
          <w:szCs w:val="20"/>
          <w:lang w:val="pt-PT"/>
        </w:rPr>
        <w:t xml:space="preserve">Programa tido como proveitoso para a redução do consumo de álcool </w:t>
      </w:r>
    </w:p>
    <w:p w14:paraId="763038AA" w14:textId="77777777" w:rsidR="00541FA6" w:rsidRPr="0094576D" w:rsidRDefault="00541FA6" w:rsidP="002A62A2">
      <w:pPr>
        <w:pStyle w:val="PargrafodaLista"/>
        <w:numPr>
          <w:ilvl w:val="0"/>
          <w:numId w:val="72"/>
        </w:numPr>
        <w:shd w:val="clear" w:color="auto" w:fill="D9D9D9" w:themeFill="background1" w:themeFillShade="D9"/>
        <w:ind w:right="284"/>
        <w:jc w:val="both"/>
        <w:rPr>
          <w:rFonts w:ascii="Garamond" w:eastAsia="Times New Roman" w:hAnsi="Garamond" w:cs="Calibri"/>
          <w:sz w:val="20"/>
          <w:szCs w:val="20"/>
          <w:lang w:val="pt-PT"/>
        </w:rPr>
      </w:pPr>
      <w:r w:rsidRPr="0094576D">
        <w:rPr>
          <w:rFonts w:ascii="Garamond" w:eastAsia="Times New Roman" w:hAnsi="Garamond" w:cs="Calibri"/>
          <w:sz w:val="20"/>
          <w:szCs w:val="20"/>
          <w:lang w:val="pt-PT"/>
        </w:rPr>
        <w:t xml:space="preserve">Programa pouco dispendioso, assente em parcerias institucionais </w:t>
      </w:r>
    </w:p>
    <w:p w14:paraId="32FAD303" w14:textId="77777777" w:rsidR="00541FA6" w:rsidRPr="00345138" w:rsidRDefault="00541FA6" w:rsidP="002A62A2">
      <w:pPr>
        <w:pStyle w:val="PargrafodaLista"/>
        <w:numPr>
          <w:ilvl w:val="0"/>
          <w:numId w:val="72"/>
        </w:numPr>
        <w:shd w:val="clear" w:color="auto" w:fill="D9D9D9" w:themeFill="background1" w:themeFillShade="D9"/>
        <w:ind w:right="284"/>
        <w:jc w:val="both"/>
        <w:rPr>
          <w:rFonts w:ascii="Garamond" w:eastAsia="Times New Roman" w:hAnsi="Garamond" w:cs="Calibri"/>
          <w:sz w:val="20"/>
          <w:szCs w:val="20"/>
          <w:lang w:val="pt-PT"/>
        </w:rPr>
      </w:pPr>
      <w:r w:rsidRPr="0094576D">
        <w:rPr>
          <w:rFonts w:ascii="Garamond" w:eastAsia="Times New Roman" w:hAnsi="Garamond" w:cs="Calibri"/>
          <w:sz w:val="20"/>
          <w:szCs w:val="20"/>
          <w:lang w:val="pt-PT"/>
        </w:rPr>
        <w:t>Metodologia dos grupos reflexivos consistente e estruturada, motivadora para técnicos/as facilitadores</w:t>
      </w:r>
    </w:p>
    <w:p w14:paraId="5B7DDA4D" w14:textId="77777777" w:rsidR="00541FA6" w:rsidRPr="00BE46E6" w:rsidRDefault="00541FA6" w:rsidP="00541FA6">
      <w:pPr>
        <w:shd w:val="clear" w:color="auto" w:fill="D9D9D9" w:themeFill="background1" w:themeFillShade="D9"/>
        <w:ind w:left="284" w:right="284"/>
        <w:jc w:val="right"/>
        <w:rPr>
          <w:rFonts w:ascii="Garamond" w:hAnsi="Garamond"/>
          <w:b/>
          <w:i/>
          <w:sz w:val="20"/>
          <w:szCs w:val="20"/>
          <w:lang w:val="pt-PT"/>
        </w:rPr>
      </w:pPr>
      <w:r w:rsidRPr="00BE46E6">
        <w:rPr>
          <w:rFonts w:ascii="Garamond" w:hAnsi="Garamond"/>
          <w:b/>
          <w:i/>
          <w:sz w:val="20"/>
          <w:szCs w:val="20"/>
          <w:lang w:val="pt-PT"/>
        </w:rPr>
        <w:t xml:space="preserve">Avaliação do Programa de Reinserção de Homens </w:t>
      </w:r>
      <w:r>
        <w:rPr>
          <w:rFonts w:ascii="Garamond" w:hAnsi="Garamond"/>
          <w:b/>
          <w:i/>
          <w:sz w:val="20"/>
          <w:szCs w:val="20"/>
          <w:lang w:val="pt-PT"/>
        </w:rPr>
        <w:t xml:space="preserve">Condenados </w:t>
      </w:r>
      <w:r w:rsidRPr="00BE46E6">
        <w:rPr>
          <w:rFonts w:ascii="Garamond" w:hAnsi="Garamond"/>
          <w:b/>
          <w:i/>
          <w:sz w:val="20"/>
          <w:szCs w:val="20"/>
          <w:lang w:val="pt-PT"/>
        </w:rPr>
        <w:t xml:space="preserve">por </w:t>
      </w:r>
      <w:proofErr w:type="spellStart"/>
      <w:r w:rsidRPr="00BE46E6">
        <w:rPr>
          <w:rFonts w:ascii="Garamond" w:hAnsi="Garamond"/>
          <w:b/>
          <w:i/>
          <w:sz w:val="20"/>
          <w:szCs w:val="20"/>
          <w:lang w:val="pt-PT"/>
        </w:rPr>
        <w:t>VBG</w:t>
      </w:r>
      <w:proofErr w:type="spellEnd"/>
    </w:p>
    <w:p w14:paraId="062CAF5E" w14:textId="77777777" w:rsidR="00541FA6" w:rsidRPr="00BE46E6" w:rsidRDefault="00541FA6" w:rsidP="00541FA6">
      <w:pPr>
        <w:shd w:val="clear" w:color="auto" w:fill="D9D9D9" w:themeFill="background1" w:themeFillShade="D9"/>
        <w:ind w:left="284" w:right="284"/>
        <w:jc w:val="right"/>
        <w:rPr>
          <w:sz w:val="20"/>
          <w:szCs w:val="20"/>
          <w:lang w:val="pt-PT"/>
        </w:rPr>
      </w:pPr>
      <w:proofErr w:type="spellStart"/>
      <w:r w:rsidRPr="00BE46E6">
        <w:rPr>
          <w:rFonts w:ascii="Garamond" w:hAnsi="Garamond"/>
          <w:sz w:val="20"/>
          <w:szCs w:val="20"/>
          <w:lang w:val="pt-PT"/>
        </w:rPr>
        <w:t>DGSPRS</w:t>
      </w:r>
      <w:proofErr w:type="spellEnd"/>
      <w:r w:rsidRPr="00BE46E6">
        <w:rPr>
          <w:rFonts w:ascii="Garamond" w:hAnsi="Garamond"/>
          <w:sz w:val="20"/>
          <w:szCs w:val="20"/>
          <w:lang w:val="pt-PT"/>
        </w:rPr>
        <w:t xml:space="preserve">/MJ, </w:t>
      </w:r>
      <w:proofErr w:type="spellStart"/>
      <w:r w:rsidRPr="00BE46E6">
        <w:rPr>
          <w:rFonts w:ascii="Garamond" w:hAnsi="Garamond"/>
          <w:sz w:val="20"/>
          <w:szCs w:val="20"/>
          <w:lang w:val="pt-PT"/>
        </w:rPr>
        <w:t>ICIEG</w:t>
      </w:r>
      <w:proofErr w:type="spellEnd"/>
      <w:r w:rsidRPr="00BE46E6">
        <w:rPr>
          <w:rFonts w:ascii="Garamond" w:hAnsi="Garamond"/>
          <w:sz w:val="20"/>
          <w:szCs w:val="20"/>
          <w:lang w:val="pt-PT"/>
        </w:rPr>
        <w:t xml:space="preserve"> &amp; ONU Mulheres (2018</w:t>
      </w:r>
      <w:r w:rsidRPr="00BE46E6">
        <w:rPr>
          <w:sz w:val="20"/>
          <w:szCs w:val="20"/>
          <w:lang w:val="pt-PT"/>
        </w:rPr>
        <w:t>)</w:t>
      </w:r>
    </w:p>
    <w:p w14:paraId="7B505222" w14:textId="77777777" w:rsidR="00541FA6" w:rsidRDefault="00541FA6" w:rsidP="00541FA6">
      <w:pPr>
        <w:jc w:val="both"/>
        <w:rPr>
          <w:rFonts w:ascii="Garamond" w:hAnsi="Garamond"/>
          <w:lang w:val="pt-PT"/>
        </w:rPr>
      </w:pPr>
    </w:p>
    <w:p w14:paraId="536BC9E7" w14:textId="77777777" w:rsidR="00541FA6" w:rsidRPr="00BE46E6" w:rsidRDefault="00541FA6" w:rsidP="00541FA6">
      <w:pPr>
        <w:jc w:val="both"/>
        <w:rPr>
          <w:rFonts w:ascii="Garamond" w:hAnsi="Garamond"/>
          <w:lang w:val="pt-PT"/>
        </w:rPr>
      </w:pPr>
      <w:r w:rsidRPr="00BE46E6">
        <w:rPr>
          <w:rFonts w:ascii="Garamond" w:hAnsi="Garamond"/>
          <w:lang w:val="pt-PT"/>
        </w:rPr>
        <w:t xml:space="preserve">Está, por outro lado, em curso a montagem de um Programa de reabilitação para autores de </w:t>
      </w:r>
      <w:r w:rsidRPr="001C50C8">
        <w:rPr>
          <w:rFonts w:ascii="Garamond" w:hAnsi="Garamond"/>
          <w:lang w:val="pt-PT"/>
        </w:rPr>
        <w:t xml:space="preserve">violência sexual, mediante uma parceria entre a </w:t>
      </w:r>
      <w:proofErr w:type="spellStart"/>
      <w:r w:rsidRPr="001C50C8">
        <w:rPr>
          <w:rFonts w:ascii="Garamond" w:hAnsi="Garamond"/>
          <w:lang w:val="pt-PT"/>
        </w:rPr>
        <w:t>CNDHC</w:t>
      </w:r>
      <w:proofErr w:type="spellEnd"/>
      <w:r w:rsidRPr="001C50C8">
        <w:rPr>
          <w:rFonts w:ascii="Garamond" w:hAnsi="Garamond"/>
          <w:lang w:val="pt-PT"/>
        </w:rPr>
        <w:t xml:space="preserve"> e a </w:t>
      </w:r>
      <w:proofErr w:type="spellStart"/>
      <w:r w:rsidRPr="001C50C8">
        <w:rPr>
          <w:rFonts w:ascii="Garamond" w:hAnsi="Garamond"/>
          <w:lang w:val="pt-PT"/>
        </w:rPr>
        <w:t>DGSPRS</w:t>
      </w:r>
      <w:proofErr w:type="spellEnd"/>
      <w:r w:rsidRPr="001C50C8">
        <w:rPr>
          <w:rFonts w:ascii="Garamond" w:hAnsi="Garamond"/>
          <w:lang w:val="pt-PT"/>
        </w:rPr>
        <w:t xml:space="preserve">. O Programa destina se a reclusos condenados por violência sexual e poderá vir a contemplar também arguidos por violência </w:t>
      </w:r>
      <w:r w:rsidRPr="00BE46E6">
        <w:rPr>
          <w:rFonts w:ascii="Garamond" w:hAnsi="Garamond"/>
          <w:lang w:val="pt-PT"/>
        </w:rPr>
        <w:t xml:space="preserve">sexual. Também se encontra em fase de finalização o Plano Nacional de Reinserção Social, que prevê medidas específicas para os adolescentes – de 12-16 anos e 17-21, sabendo-se da vulnerabilidade dos jovens do sexo masculino à criminalidade, enquanto </w:t>
      </w:r>
      <w:proofErr w:type="gramStart"/>
      <w:r w:rsidRPr="00BE46E6">
        <w:rPr>
          <w:rFonts w:ascii="Garamond" w:hAnsi="Garamond"/>
          <w:lang w:val="pt-PT"/>
        </w:rPr>
        <w:t>autores</w:t>
      </w:r>
      <w:proofErr w:type="gramEnd"/>
      <w:r w:rsidRPr="00BE46E6">
        <w:rPr>
          <w:rFonts w:ascii="Garamond" w:hAnsi="Garamond"/>
          <w:lang w:val="pt-PT"/>
        </w:rPr>
        <w:t xml:space="preserve"> mas também enquanto vítimas de várias tipologias de crimes</w:t>
      </w:r>
    </w:p>
    <w:p w14:paraId="692D7DF4" w14:textId="77777777" w:rsidR="00541FA6" w:rsidRDefault="00541FA6" w:rsidP="00541FA6">
      <w:pPr>
        <w:pStyle w:val="PargrafodaLista"/>
        <w:numPr>
          <w:ilvl w:val="0"/>
          <w:numId w:val="17"/>
        </w:numPr>
        <w:jc w:val="both"/>
        <w:rPr>
          <w:rFonts w:ascii="Garamond" w:hAnsi="Garamond"/>
          <w:lang w:val="pt-PT"/>
        </w:rPr>
      </w:pPr>
      <w:r w:rsidRPr="00D87EE7">
        <w:rPr>
          <w:rFonts w:ascii="Garamond" w:hAnsi="Garamond"/>
          <w:lang w:val="pt-PT"/>
        </w:rPr>
        <w:t>Aumentar o número de grupos reflexivos para dar resposta às necessidades e dar continuidade à implementação das recomendações da Avaliação do Programa.</w:t>
      </w:r>
    </w:p>
    <w:p w14:paraId="1145EE15" w14:textId="77777777" w:rsidR="00541FA6" w:rsidRPr="00032FDF" w:rsidRDefault="00541FA6" w:rsidP="00541FA6">
      <w:pPr>
        <w:pStyle w:val="PargrafodaLista"/>
        <w:numPr>
          <w:ilvl w:val="0"/>
          <w:numId w:val="17"/>
        </w:numPr>
        <w:jc w:val="both"/>
        <w:rPr>
          <w:rFonts w:ascii="Garamond" w:hAnsi="Garamond"/>
          <w:lang w:val="pt-PT"/>
        </w:rPr>
      </w:pPr>
      <w:bookmarkStart w:id="70" w:name="_Hlk31536506"/>
      <w:r w:rsidRPr="00032FDF">
        <w:rPr>
          <w:rFonts w:ascii="Garamond" w:hAnsi="Garamond"/>
          <w:lang w:val="pt-PT"/>
        </w:rPr>
        <w:t>Deve ser assegurado o apoio e seguimento sistemático às vítimas cujos agressores participaram no programa de reabilitação, desenvolvendo inclusivamente grupos reflexivos com estas (prática experimentada na Comarca do Paul).</w:t>
      </w:r>
    </w:p>
    <w:bookmarkEnd w:id="70"/>
    <w:p w14:paraId="42CB5972" w14:textId="77777777" w:rsidR="00541FA6" w:rsidRPr="00D87EE7" w:rsidRDefault="00541FA6" w:rsidP="00541FA6">
      <w:pPr>
        <w:pStyle w:val="PargrafodaLista"/>
        <w:numPr>
          <w:ilvl w:val="0"/>
          <w:numId w:val="17"/>
        </w:numPr>
        <w:jc w:val="both"/>
        <w:rPr>
          <w:rFonts w:ascii="Garamond" w:hAnsi="Garamond"/>
          <w:lang w:val="pt-PT"/>
        </w:rPr>
      </w:pPr>
      <w:r w:rsidRPr="00D87EE7">
        <w:rPr>
          <w:rFonts w:ascii="Garamond" w:hAnsi="Garamond"/>
          <w:lang w:val="pt-PT"/>
        </w:rPr>
        <w:t>Deverá ser acompanhada a montagem e implementação do novo Programa de reabilitação para autores de violência sexual, assegurando a integração da abordagem de género em todos os instrumentos e formação do(a)s técnico(a)s, tendo em conta as dimensões de género deste tipo de crime.</w:t>
      </w:r>
    </w:p>
    <w:p w14:paraId="0E333EA3" w14:textId="77777777" w:rsidR="00541FA6" w:rsidRPr="00D87EE7" w:rsidRDefault="00541FA6" w:rsidP="00541FA6">
      <w:pPr>
        <w:pStyle w:val="PargrafodaLista"/>
        <w:numPr>
          <w:ilvl w:val="0"/>
          <w:numId w:val="17"/>
        </w:numPr>
        <w:spacing w:after="240"/>
        <w:ind w:left="714" w:hanging="357"/>
        <w:contextualSpacing w:val="0"/>
        <w:jc w:val="both"/>
        <w:rPr>
          <w:rFonts w:ascii="Garamond" w:hAnsi="Garamond"/>
          <w:lang w:val="pt-PT"/>
        </w:rPr>
      </w:pPr>
      <w:r w:rsidRPr="00D87EE7">
        <w:rPr>
          <w:rFonts w:ascii="Garamond" w:hAnsi="Garamond"/>
          <w:lang w:val="pt-PT"/>
        </w:rPr>
        <w:t>Deverá ser analisada a forma de integrar o género nas medidas do Plano Nacional de Reinserção Social, em particular para trabalhar as representações da masculinidade nas faixas etárias dos jovens e integrar conteúdos e competências de género nas capacitações previstas no âmbito do Plano, para diferentes grupos alvo, entre os quais os reclusos, agentes de segurança prisional e técnicos de reinserção social, tendo em conta as problemáticas de género relevantes para cada um.</w:t>
      </w:r>
    </w:p>
    <w:p w14:paraId="5EF6ACFC" w14:textId="77777777" w:rsidR="00541FA6" w:rsidRPr="00BE46E6" w:rsidRDefault="00541FA6" w:rsidP="00541FA6">
      <w:pPr>
        <w:jc w:val="both"/>
        <w:rPr>
          <w:rFonts w:ascii="Garamond" w:hAnsi="Garamond"/>
          <w:b/>
          <w:bCs/>
          <w:lang w:val="pt-PT"/>
        </w:rPr>
      </w:pPr>
      <w:r w:rsidRPr="00BE46E6">
        <w:rPr>
          <w:rFonts w:ascii="Garamond" w:hAnsi="Garamond"/>
          <w:b/>
          <w:bCs/>
          <w:lang w:val="pt-PT"/>
        </w:rPr>
        <w:t xml:space="preserve">Outras formas de violência contra as mulheres </w:t>
      </w:r>
    </w:p>
    <w:p w14:paraId="38571B1C" w14:textId="77777777" w:rsidR="00541FA6" w:rsidRPr="001C50C8" w:rsidRDefault="00541FA6" w:rsidP="00541FA6">
      <w:pPr>
        <w:jc w:val="both"/>
        <w:rPr>
          <w:rFonts w:ascii="Garamond" w:hAnsi="Garamond"/>
          <w:lang w:val="pt-PT"/>
        </w:rPr>
      </w:pPr>
      <w:r w:rsidRPr="00BE46E6">
        <w:rPr>
          <w:rFonts w:ascii="Garamond" w:hAnsi="Garamond"/>
          <w:lang w:val="pt-PT"/>
        </w:rPr>
        <w:t xml:space="preserve">Duas metas do </w:t>
      </w:r>
      <w:proofErr w:type="spellStart"/>
      <w:r w:rsidRPr="00BE46E6">
        <w:rPr>
          <w:rFonts w:ascii="Garamond" w:hAnsi="Garamond"/>
          <w:lang w:val="pt-PT"/>
        </w:rPr>
        <w:t>ODS</w:t>
      </w:r>
      <w:proofErr w:type="spellEnd"/>
      <w:r w:rsidRPr="00BE46E6">
        <w:rPr>
          <w:rFonts w:ascii="Garamond" w:hAnsi="Garamond"/>
          <w:lang w:val="pt-PT"/>
        </w:rPr>
        <w:t xml:space="preserve"> 5 colocam enfase sobre todas as formas a violência contra as mulheres no espaço público e privado, com referências explicitas ao tráfico, exploração sexual e outros tipos de exploração (meta 5.2) e as práticas nocivas, como casamento precoce e mutilação genital feminina (</w:t>
      </w:r>
      <w:proofErr w:type="spellStart"/>
      <w:r w:rsidRPr="00BE46E6">
        <w:rPr>
          <w:rFonts w:ascii="Garamond" w:hAnsi="Garamond"/>
          <w:lang w:val="pt-PT"/>
        </w:rPr>
        <w:t>MGF</w:t>
      </w:r>
      <w:proofErr w:type="spellEnd"/>
      <w:r w:rsidRPr="00BE46E6">
        <w:rPr>
          <w:rFonts w:ascii="Garamond" w:hAnsi="Garamond"/>
          <w:lang w:val="pt-PT"/>
        </w:rPr>
        <w:t xml:space="preserve">) (meta 5.3). Além destas formas de violência, também o assédio sexual carece de visibilidade e atenção em Cabo Verde, considerado </w:t>
      </w:r>
      <w:r>
        <w:rPr>
          <w:rFonts w:ascii="Garamond" w:hAnsi="Garamond"/>
          <w:lang w:val="pt-PT"/>
        </w:rPr>
        <w:t>como crime tanto no Código Penal, como na</w:t>
      </w:r>
      <w:r w:rsidRPr="00BE46E6">
        <w:rPr>
          <w:rFonts w:ascii="Garamond" w:hAnsi="Garamond"/>
          <w:lang w:val="pt-PT"/>
        </w:rPr>
        <w:t xml:space="preserve"> Lei </w:t>
      </w:r>
      <w:proofErr w:type="spellStart"/>
      <w:r w:rsidRPr="00BE46E6">
        <w:rPr>
          <w:rFonts w:ascii="Garamond" w:hAnsi="Garamond"/>
          <w:lang w:val="pt-PT"/>
        </w:rPr>
        <w:t>VBG</w:t>
      </w:r>
      <w:proofErr w:type="spellEnd"/>
      <w:r>
        <w:rPr>
          <w:rFonts w:ascii="Garamond" w:hAnsi="Garamond"/>
          <w:lang w:val="pt-PT"/>
        </w:rPr>
        <w:t>, e parte integrante do Código do Trabalho</w:t>
      </w:r>
      <w:r w:rsidRPr="00BE46E6">
        <w:rPr>
          <w:rFonts w:ascii="Garamond" w:hAnsi="Garamond"/>
          <w:lang w:val="pt-PT"/>
        </w:rPr>
        <w:t xml:space="preserve">. São conhecidos </w:t>
      </w:r>
      <w:r w:rsidRPr="001C50C8">
        <w:rPr>
          <w:rFonts w:ascii="Garamond" w:hAnsi="Garamond"/>
          <w:lang w:val="pt-PT"/>
        </w:rPr>
        <w:t xml:space="preserve">relatos de casos de </w:t>
      </w:r>
      <w:r w:rsidRPr="001C50C8">
        <w:rPr>
          <w:rFonts w:ascii="Garamond" w:hAnsi="Garamond"/>
          <w:b/>
          <w:bCs/>
          <w:lang w:val="pt-PT"/>
        </w:rPr>
        <w:t>assédio sexual</w:t>
      </w:r>
      <w:r w:rsidRPr="001C50C8">
        <w:rPr>
          <w:rFonts w:ascii="Garamond" w:hAnsi="Garamond"/>
          <w:lang w:val="pt-PT"/>
        </w:rPr>
        <w:t xml:space="preserve"> contra meninas nas escolas e mulheres em contexto de trabalho (este último assunto, já tratado no Eixo anterior). O Ministério da Educação reforçou as orientações no sentido da tolerância zero ao assédio sexual por parte dos professores, sendo instaurados </w:t>
      </w:r>
      <w:r w:rsidRPr="00BE46E6">
        <w:rPr>
          <w:rFonts w:ascii="Garamond" w:hAnsi="Garamond"/>
          <w:lang w:val="pt-PT"/>
        </w:rPr>
        <w:t xml:space="preserve">processos disciplinares aos professores nos casos identificados e notificada a situação ao Ministério Público. O </w:t>
      </w:r>
      <w:r w:rsidRPr="00BE46E6">
        <w:rPr>
          <w:rFonts w:ascii="Garamond" w:hAnsi="Garamond"/>
          <w:i/>
          <w:iCs/>
          <w:lang w:val="pt-PT"/>
        </w:rPr>
        <w:t>Diagnóstico sobre a Violência no Meio Escolar</w:t>
      </w:r>
      <w:r w:rsidRPr="00BE46E6">
        <w:rPr>
          <w:rFonts w:ascii="Garamond" w:hAnsi="Garamond"/>
          <w:lang w:val="pt-PT"/>
        </w:rPr>
        <w:t xml:space="preserve"> (</w:t>
      </w:r>
      <w:r w:rsidRPr="002224C8">
        <w:rPr>
          <w:rFonts w:ascii="Garamond" w:hAnsi="Garamond"/>
          <w:color w:val="FF0000"/>
          <w:highlight w:val="yellow"/>
          <w:lang w:val="pt-PT"/>
        </w:rPr>
        <w:t>2018</w:t>
      </w:r>
      <w:r w:rsidRPr="00BE46E6">
        <w:rPr>
          <w:rFonts w:ascii="Garamond" w:hAnsi="Garamond"/>
          <w:lang w:val="pt-PT"/>
        </w:rPr>
        <w:t xml:space="preserve">) mostra que o assédio sexual nas escolas é considerado frequente, sobretudo </w:t>
      </w:r>
      <w:proofErr w:type="spellStart"/>
      <w:r w:rsidRPr="00BE46E6">
        <w:rPr>
          <w:rFonts w:ascii="Garamond" w:hAnsi="Garamond"/>
          <w:lang w:val="pt-PT"/>
        </w:rPr>
        <w:t>pelos</w:t>
      </w:r>
      <w:proofErr w:type="spellEnd"/>
      <w:r w:rsidRPr="00BE46E6">
        <w:rPr>
          <w:rFonts w:ascii="Garamond" w:hAnsi="Garamond"/>
          <w:lang w:val="pt-PT"/>
        </w:rPr>
        <w:t xml:space="preserve"> alunos: 44,5% dos alunos afirmam ocorre</w:t>
      </w:r>
      <w:r>
        <w:rPr>
          <w:rFonts w:ascii="Garamond" w:hAnsi="Garamond"/>
          <w:lang w:val="pt-PT"/>
        </w:rPr>
        <w:t>r</w:t>
      </w:r>
      <w:r w:rsidRPr="00BE46E6">
        <w:rPr>
          <w:rFonts w:ascii="Garamond" w:hAnsi="Garamond"/>
          <w:lang w:val="pt-PT"/>
        </w:rPr>
        <w:t xml:space="preserve"> na sua escola por parte de alunos e 29,1% por parte de professores, enquanto os professores destacam sobretudo o assédio por parte de alunos (26%) e quase 1 em cada 10 professores não reconhece o assédio </w:t>
      </w:r>
      <w:r w:rsidRPr="001C50C8">
        <w:rPr>
          <w:rFonts w:ascii="Garamond" w:hAnsi="Garamond"/>
          <w:lang w:val="pt-PT"/>
        </w:rPr>
        <w:t xml:space="preserve">sexual como comportamento violento (9,7%). </w:t>
      </w:r>
    </w:p>
    <w:p w14:paraId="00B7D9AB" w14:textId="77777777" w:rsidR="00541FA6" w:rsidRPr="001C50C8" w:rsidRDefault="00541FA6" w:rsidP="00541FA6">
      <w:pPr>
        <w:pStyle w:val="PargrafodaLista"/>
        <w:numPr>
          <w:ilvl w:val="0"/>
          <w:numId w:val="17"/>
        </w:numPr>
        <w:ind w:left="714" w:hanging="357"/>
        <w:jc w:val="both"/>
        <w:rPr>
          <w:rFonts w:ascii="Garamond" w:hAnsi="Garamond"/>
          <w:lang w:val="pt-PT"/>
        </w:rPr>
      </w:pPr>
      <w:r w:rsidRPr="001C50C8">
        <w:rPr>
          <w:rFonts w:ascii="Garamond" w:hAnsi="Garamond"/>
          <w:lang w:val="pt-PT"/>
        </w:rPr>
        <w:t xml:space="preserve">Tratar as questões de assédio sexual de forma integrada </w:t>
      </w:r>
      <w:r>
        <w:rPr>
          <w:rFonts w:ascii="Garamond" w:hAnsi="Garamond"/>
          <w:lang w:val="pt-PT"/>
        </w:rPr>
        <w:t>nas iniciativas de prevenção e</w:t>
      </w:r>
      <w:r w:rsidRPr="001C50C8">
        <w:rPr>
          <w:rFonts w:ascii="Garamond" w:hAnsi="Garamond"/>
          <w:lang w:val="pt-PT"/>
        </w:rPr>
        <w:t xml:space="preserve"> combate à violência no meio escolar, junto com demais temáticas, junto de professores, alunos e comunidade escolar (medida que fará parte do Eixo </w:t>
      </w:r>
      <w:r w:rsidRPr="001C50C8">
        <w:rPr>
          <w:rFonts w:ascii="Garamond" w:hAnsi="Garamond"/>
          <w:highlight w:val="yellow"/>
          <w:lang w:val="pt-PT"/>
        </w:rPr>
        <w:t>3</w:t>
      </w:r>
      <w:r w:rsidRPr="001C50C8">
        <w:rPr>
          <w:rFonts w:ascii="Garamond" w:hAnsi="Garamond"/>
          <w:lang w:val="pt-PT"/>
        </w:rPr>
        <w:t xml:space="preserve">). </w:t>
      </w:r>
    </w:p>
    <w:p w14:paraId="28261617" w14:textId="77777777" w:rsidR="00541FA6" w:rsidRPr="001C50C8" w:rsidRDefault="00541FA6" w:rsidP="00541FA6">
      <w:pPr>
        <w:pStyle w:val="PargrafodaLista"/>
        <w:numPr>
          <w:ilvl w:val="0"/>
          <w:numId w:val="17"/>
        </w:numPr>
        <w:ind w:left="714" w:hanging="357"/>
        <w:jc w:val="both"/>
        <w:rPr>
          <w:rFonts w:ascii="Garamond" w:hAnsi="Garamond"/>
          <w:lang w:val="pt-PT"/>
        </w:rPr>
      </w:pPr>
      <w:r w:rsidRPr="001C50C8">
        <w:rPr>
          <w:rFonts w:ascii="Garamond" w:hAnsi="Garamond"/>
          <w:lang w:val="pt-PT"/>
        </w:rPr>
        <w:t xml:space="preserve">Integrar a temática em toda a formação profissional e ensino superior (medida que fará parte do Eixo </w:t>
      </w:r>
      <w:r w:rsidRPr="001C50C8">
        <w:rPr>
          <w:rFonts w:ascii="Garamond" w:hAnsi="Garamond"/>
          <w:highlight w:val="yellow"/>
          <w:lang w:val="pt-PT"/>
        </w:rPr>
        <w:t>3</w:t>
      </w:r>
      <w:r w:rsidRPr="001C50C8">
        <w:rPr>
          <w:rFonts w:ascii="Garamond" w:hAnsi="Garamond"/>
          <w:lang w:val="pt-PT"/>
        </w:rPr>
        <w:t xml:space="preserve">). </w:t>
      </w:r>
    </w:p>
    <w:p w14:paraId="582A4733" w14:textId="77777777" w:rsidR="00541FA6" w:rsidRPr="00AB7041" w:rsidRDefault="00541FA6" w:rsidP="00541FA6">
      <w:pPr>
        <w:pStyle w:val="PargrafodaLista"/>
        <w:ind w:left="714"/>
        <w:jc w:val="both"/>
        <w:rPr>
          <w:rFonts w:ascii="Garamond" w:hAnsi="Garamond"/>
          <w:color w:val="7030A0"/>
          <w:lang w:val="pt-PT"/>
        </w:rPr>
      </w:pPr>
    </w:p>
    <w:p w14:paraId="68FA4282" w14:textId="77777777" w:rsidR="00541FA6" w:rsidRDefault="00541FA6" w:rsidP="00541FA6">
      <w:pPr>
        <w:jc w:val="both"/>
        <w:rPr>
          <w:rFonts w:ascii="Garamond" w:hAnsi="Garamond"/>
          <w:lang w:val="pt-PT"/>
        </w:rPr>
      </w:pPr>
      <w:r w:rsidRPr="00BE46E6">
        <w:rPr>
          <w:rFonts w:ascii="Garamond" w:hAnsi="Garamond"/>
          <w:lang w:val="pt-PT"/>
        </w:rPr>
        <w:t xml:space="preserve">Relativamente à </w:t>
      </w:r>
      <w:r w:rsidRPr="006A59C2">
        <w:rPr>
          <w:rFonts w:ascii="Garamond" w:hAnsi="Garamond"/>
          <w:b/>
          <w:bCs/>
          <w:lang w:val="pt-PT"/>
        </w:rPr>
        <w:t>mutilação genital feminina</w:t>
      </w:r>
      <w:r>
        <w:rPr>
          <w:rFonts w:ascii="Garamond" w:hAnsi="Garamond"/>
          <w:lang w:val="pt-PT"/>
        </w:rPr>
        <w:t xml:space="preserve"> (</w:t>
      </w:r>
      <w:proofErr w:type="spellStart"/>
      <w:r>
        <w:rPr>
          <w:rFonts w:ascii="Garamond" w:hAnsi="Garamond"/>
          <w:lang w:val="pt-PT"/>
        </w:rPr>
        <w:t>MGF</w:t>
      </w:r>
      <w:proofErr w:type="spellEnd"/>
      <w:r>
        <w:rPr>
          <w:rFonts w:ascii="Garamond" w:hAnsi="Garamond"/>
          <w:lang w:val="pt-PT"/>
        </w:rPr>
        <w:t>)</w:t>
      </w:r>
      <w:r w:rsidRPr="00BE46E6">
        <w:rPr>
          <w:rFonts w:ascii="Garamond" w:hAnsi="Garamond"/>
          <w:lang w:val="pt-PT"/>
        </w:rPr>
        <w:t xml:space="preserve">, cabe lembrar que é considerada crime de </w:t>
      </w:r>
      <w:proofErr w:type="spellStart"/>
      <w:r w:rsidRPr="00BE46E6">
        <w:rPr>
          <w:rFonts w:ascii="Garamond" w:hAnsi="Garamond"/>
          <w:lang w:val="pt-PT"/>
        </w:rPr>
        <w:t>VBG</w:t>
      </w:r>
      <w:proofErr w:type="spellEnd"/>
      <w:r w:rsidRPr="00BE46E6">
        <w:rPr>
          <w:rFonts w:ascii="Garamond" w:hAnsi="Garamond"/>
          <w:lang w:val="pt-PT"/>
        </w:rPr>
        <w:t xml:space="preserve">, punida </w:t>
      </w:r>
      <w:proofErr w:type="spellStart"/>
      <w:r w:rsidRPr="00BE46E6">
        <w:rPr>
          <w:rFonts w:ascii="Garamond" w:hAnsi="Garamond"/>
          <w:lang w:val="pt-PT"/>
        </w:rPr>
        <w:t>pela</w:t>
      </w:r>
      <w:proofErr w:type="spellEnd"/>
      <w:r w:rsidRPr="00BE46E6">
        <w:rPr>
          <w:rFonts w:ascii="Garamond" w:hAnsi="Garamond"/>
          <w:lang w:val="pt-PT"/>
        </w:rPr>
        <w:t xml:space="preserve"> Lei </w:t>
      </w:r>
      <w:proofErr w:type="spellStart"/>
      <w:r w:rsidRPr="00BE46E6">
        <w:rPr>
          <w:rFonts w:ascii="Garamond" w:hAnsi="Garamond"/>
          <w:lang w:val="pt-PT"/>
        </w:rPr>
        <w:t>VBG</w:t>
      </w:r>
      <w:proofErr w:type="spellEnd"/>
      <w:r w:rsidRPr="00BE46E6">
        <w:rPr>
          <w:rFonts w:ascii="Garamond" w:hAnsi="Garamond"/>
          <w:lang w:val="pt-PT"/>
        </w:rPr>
        <w:t xml:space="preserve"> como ofensa grave à integridade física (artigo 23º, nº 2), sendo, inclusive, possível a punição dos agentes mesmo quando o facto não tenha ocorrido em Cabo Verde, mas estes aqui se encontrem e, o Código Penal revisto em </w:t>
      </w:r>
      <w:r w:rsidRPr="002224C8">
        <w:rPr>
          <w:rFonts w:ascii="Garamond" w:hAnsi="Garamond"/>
          <w:lang w:val="pt-PT"/>
        </w:rPr>
        <w:t xml:space="preserve">2015, integrou </w:t>
      </w:r>
      <w:r w:rsidRPr="00BE46E6">
        <w:rPr>
          <w:rFonts w:ascii="Garamond" w:hAnsi="Garamond"/>
          <w:lang w:val="pt-PT"/>
        </w:rPr>
        <w:t xml:space="preserve">essa mesma disposição (4º, nº 1, al. d)). Não há registos de denúncias quanto a práticas da </w:t>
      </w:r>
      <w:proofErr w:type="spellStart"/>
      <w:r w:rsidRPr="00BE46E6">
        <w:rPr>
          <w:rFonts w:ascii="Garamond" w:hAnsi="Garamond"/>
          <w:lang w:val="pt-PT"/>
        </w:rPr>
        <w:t>MGF</w:t>
      </w:r>
      <w:proofErr w:type="spellEnd"/>
      <w:r w:rsidRPr="00BE46E6">
        <w:rPr>
          <w:rFonts w:ascii="Garamond" w:hAnsi="Garamond"/>
          <w:lang w:val="pt-PT"/>
        </w:rPr>
        <w:t xml:space="preserve"> realizadas no país, que de qualquer forma dariam entrada na PN e Procuradorias como </w:t>
      </w:r>
      <w:proofErr w:type="spellStart"/>
      <w:r w:rsidRPr="00BE46E6">
        <w:rPr>
          <w:rFonts w:ascii="Garamond" w:hAnsi="Garamond"/>
          <w:lang w:val="pt-PT"/>
        </w:rPr>
        <w:t>VBG</w:t>
      </w:r>
      <w:proofErr w:type="spellEnd"/>
      <w:r>
        <w:rPr>
          <w:rFonts w:ascii="Garamond" w:hAnsi="Garamond"/>
          <w:lang w:val="pt-PT"/>
        </w:rPr>
        <w:t xml:space="preserve"> ou ofensa qualificada à integridade</w:t>
      </w:r>
      <w:r w:rsidRPr="00BE46E6">
        <w:rPr>
          <w:rFonts w:ascii="Garamond" w:hAnsi="Garamond"/>
          <w:lang w:val="pt-PT"/>
        </w:rPr>
        <w:t xml:space="preserve">, nem foram denunciadas </w:t>
      </w:r>
      <w:proofErr w:type="spellStart"/>
      <w:r w:rsidRPr="00BE46E6">
        <w:rPr>
          <w:rFonts w:ascii="Garamond" w:hAnsi="Garamond"/>
          <w:lang w:val="pt-PT"/>
        </w:rPr>
        <w:t>pelos</w:t>
      </w:r>
      <w:proofErr w:type="spellEnd"/>
      <w:r w:rsidRPr="00BE46E6">
        <w:rPr>
          <w:rFonts w:ascii="Garamond" w:hAnsi="Garamond"/>
          <w:lang w:val="pt-PT"/>
        </w:rPr>
        <w:t xml:space="preserve"> </w:t>
      </w:r>
      <w:proofErr w:type="spellStart"/>
      <w:r w:rsidRPr="00BE46E6">
        <w:rPr>
          <w:rFonts w:ascii="Garamond" w:hAnsi="Garamond"/>
          <w:lang w:val="pt-PT"/>
        </w:rPr>
        <w:t>atores</w:t>
      </w:r>
      <w:proofErr w:type="spellEnd"/>
      <w:r w:rsidRPr="00BE46E6">
        <w:rPr>
          <w:rFonts w:ascii="Garamond" w:hAnsi="Garamond"/>
          <w:lang w:val="pt-PT"/>
        </w:rPr>
        <w:t xml:space="preserve"> que trabalham com comunidades imigrantes. Relativamente ao </w:t>
      </w:r>
      <w:r w:rsidRPr="009F29E6">
        <w:rPr>
          <w:rFonts w:ascii="Garamond" w:hAnsi="Garamond"/>
          <w:b/>
          <w:bCs/>
          <w:lang w:val="pt-PT"/>
        </w:rPr>
        <w:t>casamento precoce</w:t>
      </w:r>
      <w:r w:rsidRPr="00BE46E6">
        <w:rPr>
          <w:rFonts w:ascii="Garamond" w:hAnsi="Garamond"/>
          <w:lang w:val="pt-PT"/>
        </w:rPr>
        <w:t xml:space="preserve">, o Censo de 2010 indica que 238 crianças dos 12 aos 14 anos se encontravam em união de fato, situação semelhante ao casamento infantil e proibida por lei. </w:t>
      </w:r>
    </w:p>
    <w:p w14:paraId="63D6689D" w14:textId="77777777" w:rsidR="00541FA6" w:rsidRPr="003C3A4E" w:rsidRDefault="00541FA6" w:rsidP="002A62A2">
      <w:pPr>
        <w:pStyle w:val="PargrafodaLista"/>
        <w:numPr>
          <w:ilvl w:val="0"/>
          <w:numId w:val="73"/>
        </w:numPr>
        <w:jc w:val="both"/>
        <w:rPr>
          <w:rFonts w:ascii="Garamond" w:hAnsi="Garamond"/>
          <w:lang w:val="pt-PT"/>
        </w:rPr>
      </w:pPr>
      <w:bookmarkStart w:id="71" w:name="_Hlk19371667"/>
      <w:r w:rsidRPr="00D87EE7">
        <w:rPr>
          <w:rFonts w:ascii="Garamond" w:hAnsi="Garamond"/>
          <w:lang w:val="pt-PT"/>
        </w:rPr>
        <w:t xml:space="preserve">O </w:t>
      </w:r>
      <w:proofErr w:type="spellStart"/>
      <w:r w:rsidRPr="003C3A4E">
        <w:rPr>
          <w:rFonts w:ascii="Garamond" w:hAnsi="Garamond"/>
          <w:lang w:val="pt-PT"/>
        </w:rPr>
        <w:t>IDSR</w:t>
      </w:r>
      <w:proofErr w:type="spellEnd"/>
      <w:r w:rsidRPr="003C3A4E">
        <w:rPr>
          <w:rFonts w:ascii="Garamond" w:hAnsi="Garamond"/>
          <w:lang w:val="pt-PT"/>
        </w:rPr>
        <w:t xml:space="preserve"> III recolheu informações sobre práticas nefastas (</w:t>
      </w:r>
      <w:proofErr w:type="spellStart"/>
      <w:r w:rsidRPr="003C3A4E">
        <w:rPr>
          <w:rFonts w:ascii="Garamond" w:hAnsi="Garamond"/>
          <w:lang w:val="pt-PT"/>
        </w:rPr>
        <w:t>MGF</w:t>
      </w:r>
      <w:proofErr w:type="spellEnd"/>
      <w:r w:rsidRPr="003C3A4E">
        <w:rPr>
          <w:rFonts w:ascii="Garamond" w:hAnsi="Garamond"/>
          <w:lang w:val="pt-PT"/>
        </w:rPr>
        <w:t xml:space="preserve">) </w:t>
      </w:r>
      <w:proofErr w:type="spellStart"/>
      <w:r w:rsidRPr="003C3A4E">
        <w:rPr>
          <w:rFonts w:ascii="Garamond" w:hAnsi="Garamond"/>
          <w:lang w:val="pt-PT"/>
        </w:rPr>
        <w:t>pela</w:t>
      </w:r>
      <w:proofErr w:type="spellEnd"/>
      <w:r w:rsidRPr="003C3A4E">
        <w:rPr>
          <w:rFonts w:ascii="Garamond" w:hAnsi="Garamond"/>
          <w:lang w:val="pt-PT"/>
        </w:rPr>
        <w:t xml:space="preserve"> primeira vez, que deverão ser exploradas (medida que fará parte do Eixo </w:t>
      </w:r>
      <w:r w:rsidRPr="003C3A4E">
        <w:rPr>
          <w:rFonts w:ascii="Garamond" w:hAnsi="Garamond"/>
          <w:highlight w:val="yellow"/>
          <w:lang w:val="pt-PT"/>
        </w:rPr>
        <w:t>6</w:t>
      </w:r>
      <w:r w:rsidRPr="003C3A4E">
        <w:rPr>
          <w:rFonts w:ascii="Garamond" w:hAnsi="Garamond"/>
          <w:lang w:val="pt-PT"/>
        </w:rPr>
        <w:t xml:space="preserve">). </w:t>
      </w:r>
    </w:p>
    <w:p w14:paraId="337844C0" w14:textId="77777777" w:rsidR="00541FA6" w:rsidRPr="001C50C8" w:rsidRDefault="00541FA6" w:rsidP="002A62A2">
      <w:pPr>
        <w:pStyle w:val="PargrafodaLista"/>
        <w:numPr>
          <w:ilvl w:val="0"/>
          <w:numId w:val="73"/>
        </w:numPr>
        <w:jc w:val="both"/>
        <w:rPr>
          <w:rFonts w:ascii="Garamond" w:hAnsi="Garamond"/>
          <w:lang w:val="pt-PT"/>
        </w:rPr>
      </w:pPr>
      <w:r w:rsidRPr="001C50C8">
        <w:rPr>
          <w:rFonts w:ascii="Garamond" w:hAnsi="Garamond"/>
          <w:lang w:val="pt-PT"/>
        </w:rPr>
        <w:t xml:space="preserve">Será importante trabalhar para o registo em separado das situações de </w:t>
      </w:r>
      <w:proofErr w:type="spellStart"/>
      <w:r w:rsidRPr="001C50C8">
        <w:rPr>
          <w:rFonts w:ascii="Garamond" w:hAnsi="Garamond"/>
          <w:lang w:val="pt-PT"/>
        </w:rPr>
        <w:t>MGF</w:t>
      </w:r>
      <w:proofErr w:type="spellEnd"/>
      <w:r w:rsidRPr="001C50C8">
        <w:rPr>
          <w:rFonts w:ascii="Garamond" w:hAnsi="Garamond"/>
          <w:lang w:val="pt-PT"/>
        </w:rPr>
        <w:t xml:space="preserve">, caso contrário eventuais situações identificadas </w:t>
      </w:r>
      <w:r>
        <w:rPr>
          <w:rFonts w:ascii="Garamond" w:hAnsi="Garamond"/>
          <w:lang w:val="pt-PT"/>
        </w:rPr>
        <w:t>constam</w:t>
      </w:r>
      <w:r w:rsidRPr="001C50C8">
        <w:rPr>
          <w:rFonts w:ascii="Garamond" w:hAnsi="Garamond"/>
          <w:lang w:val="pt-PT"/>
        </w:rPr>
        <w:t xml:space="preserve"> como </w:t>
      </w:r>
      <w:proofErr w:type="spellStart"/>
      <w:r w:rsidRPr="001C50C8">
        <w:rPr>
          <w:rFonts w:ascii="Garamond" w:hAnsi="Garamond"/>
          <w:lang w:val="pt-PT"/>
        </w:rPr>
        <w:t>VBG</w:t>
      </w:r>
      <w:proofErr w:type="spellEnd"/>
      <w:r w:rsidRPr="009F29E6">
        <w:rPr>
          <w:rFonts w:ascii="Garamond" w:hAnsi="Garamond"/>
          <w:lang w:val="pt-PT"/>
        </w:rPr>
        <w:t xml:space="preserve"> </w:t>
      </w:r>
      <w:r>
        <w:rPr>
          <w:rFonts w:ascii="Garamond" w:hAnsi="Garamond"/>
          <w:lang w:val="pt-PT"/>
        </w:rPr>
        <w:t>ou ofensa qualificada à integridade</w:t>
      </w:r>
      <w:r w:rsidRPr="001C50C8">
        <w:rPr>
          <w:rFonts w:ascii="Garamond" w:hAnsi="Garamond"/>
          <w:lang w:val="pt-PT"/>
        </w:rPr>
        <w:t>, sem especificação.</w:t>
      </w:r>
    </w:p>
    <w:p w14:paraId="27F23AF0" w14:textId="77777777" w:rsidR="00541FA6" w:rsidRDefault="00541FA6" w:rsidP="002A62A2">
      <w:pPr>
        <w:pStyle w:val="PargrafodaLista"/>
        <w:numPr>
          <w:ilvl w:val="0"/>
          <w:numId w:val="73"/>
        </w:numPr>
        <w:jc w:val="both"/>
        <w:rPr>
          <w:rFonts w:ascii="Garamond" w:hAnsi="Garamond"/>
          <w:lang w:val="pt-PT"/>
        </w:rPr>
      </w:pPr>
      <w:r>
        <w:rPr>
          <w:rFonts w:ascii="Garamond" w:hAnsi="Garamond"/>
          <w:lang w:val="pt-PT"/>
        </w:rPr>
        <w:t>O</w:t>
      </w:r>
      <w:r w:rsidRPr="00BE46E6">
        <w:rPr>
          <w:rFonts w:ascii="Garamond" w:hAnsi="Garamond"/>
          <w:lang w:val="pt-PT"/>
        </w:rPr>
        <w:t xml:space="preserve"> </w:t>
      </w:r>
      <w:r w:rsidRPr="00BE46E6">
        <w:rPr>
          <w:rFonts w:ascii="Garamond" w:hAnsi="Garamond"/>
          <w:i/>
          <w:iCs/>
          <w:lang w:val="pt-PT"/>
        </w:rPr>
        <w:t xml:space="preserve">IIº Plano de </w:t>
      </w:r>
      <w:proofErr w:type="spellStart"/>
      <w:r w:rsidRPr="00BE46E6">
        <w:rPr>
          <w:rFonts w:ascii="Garamond" w:hAnsi="Garamond"/>
          <w:i/>
          <w:iCs/>
          <w:lang w:val="pt-PT"/>
        </w:rPr>
        <w:t>Ação</w:t>
      </w:r>
      <w:proofErr w:type="spellEnd"/>
      <w:r w:rsidRPr="00BE46E6">
        <w:rPr>
          <w:rFonts w:ascii="Garamond" w:hAnsi="Garamond"/>
          <w:i/>
          <w:iCs/>
          <w:lang w:val="pt-PT"/>
        </w:rPr>
        <w:t xml:space="preserve"> </w:t>
      </w:r>
      <w:bookmarkStart w:id="72" w:name="_Hlk19373370"/>
      <w:r w:rsidRPr="00BE46E6">
        <w:rPr>
          <w:rFonts w:ascii="Garamond" w:hAnsi="Garamond"/>
          <w:i/>
          <w:iCs/>
          <w:lang w:val="pt-PT"/>
        </w:rPr>
        <w:t>da Imigração e Inclusão Social de Imigrante</w:t>
      </w:r>
      <w:r w:rsidRPr="00BE46E6">
        <w:rPr>
          <w:rFonts w:ascii="Garamond" w:hAnsi="Garamond"/>
          <w:lang w:val="pt-PT"/>
        </w:rPr>
        <w:t>s</w:t>
      </w:r>
      <w:bookmarkEnd w:id="72"/>
      <w:r w:rsidRPr="00BE46E6">
        <w:rPr>
          <w:rFonts w:ascii="Garamond" w:hAnsi="Garamond"/>
          <w:lang w:val="pt-PT"/>
        </w:rPr>
        <w:t xml:space="preserve"> (2018-2020), coordenado </w:t>
      </w:r>
      <w:proofErr w:type="spellStart"/>
      <w:r w:rsidRPr="00BE46E6">
        <w:rPr>
          <w:rFonts w:ascii="Garamond" w:hAnsi="Garamond"/>
          <w:lang w:val="pt-PT"/>
        </w:rPr>
        <w:t>pela</w:t>
      </w:r>
      <w:proofErr w:type="spellEnd"/>
      <w:r w:rsidRPr="00BE46E6">
        <w:rPr>
          <w:rFonts w:ascii="Garamond" w:hAnsi="Garamond"/>
          <w:lang w:val="pt-PT"/>
        </w:rPr>
        <w:t xml:space="preserve"> </w:t>
      </w:r>
      <w:proofErr w:type="spellStart"/>
      <w:r w:rsidRPr="00BE46E6">
        <w:rPr>
          <w:rFonts w:ascii="Garamond" w:hAnsi="Garamond"/>
          <w:lang w:val="pt-PT"/>
        </w:rPr>
        <w:t>DGI</w:t>
      </w:r>
      <w:proofErr w:type="spellEnd"/>
      <w:r w:rsidRPr="00BE46E6">
        <w:rPr>
          <w:rFonts w:ascii="Garamond" w:hAnsi="Garamond"/>
          <w:lang w:val="pt-PT"/>
        </w:rPr>
        <w:t xml:space="preserve">, prevê a </w:t>
      </w:r>
      <w:r w:rsidRPr="001C50C8">
        <w:rPr>
          <w:rFonts w:ascii="Garamond" w:hAnsi="Garamond"/>
          <w:lang w:val="pt-PT"/>
        </w:rPr>
        <w:t xml:space="preserve">realização de um estudo para melhor conhecer as práticas culturais e nefastas no seio das comunidades imigradas, em particular da sub-região africana, que </w:t>
      </w:r>
      <w:r>
        <w:rPr>
          <w:rFonts w:ascii="Garamond" w:hAnsi="Garamond"/>
          <w:lang w:val="pt-PT"/>
        </w:rPr>
        <w:t xml:space="preserve">é </w:t>
      </w:r>
      <w:r w:rsidRPr="001C50C8">
        <w:rPr>
          <w:rFonts w:ascii="Garamond" w:hAnsi="Garamond"/>
          <w:lang w:val="pt-PT"/>
        </w:rPr>
        <w:t>fundamental para defini</w:t>
      </w:r>
      <w:r>
        <w:rPr>
          <w:rFonts w:ascii="Garamond" w:hAnsi="Garamond"/>
          <w:lang w:val="pt-PT"/>
        </w:rPr>
        <w:t>r</w:t>
      </w:r>
      <w:r w:rsidRPr="001C50C8">
        <w:rPr>
          <w:rFonts w:ascii="Garamond" w:hAnsi="Garamond"/>
          <w:lang w:val="pt-PT"/>
        </w:rPr>
        <w:t xml:space="preserve"> uma estratégia de informação e prevenção da </w:t>
      </w:r>
      <w:proofErr w:type="spellStart"/>
      <w:r w:rsidRPr="001C50C8">
        <w:rPr>
          <w:rFonts w:ascii="Garamond" w:hAnsi="Garamond"/>
          <w:lang w:val="pt-PT"/>
        </w:rPr>
        <w:t>MGF</w:t>
      </w:r>
      <w:proofErr w:type="spellEnd"/>
      <w:r>
        <w:rPr>
          <w:rFonts w:ascii="Garamond" w:hAnsi="Garamond"/>
          <w:lang w:val="pt-PT"/>
        </w:rPr>
        <w:t xml:space="preserve">, bem como da violência nas relações conjugais, entre outras formas de </w:t>
      </w:r>
      <w:proofErr w:type="spellStart"/>
      <w:r>
        <w:rPr>
          <w:rFonts w:ascii="Garamond" w:hAnsi="Garamond"/>
          <w:lang w:val="pt-PT"/>
        </w:rPr>
        <w:t>VBG</w:t>
      </w:r>
      <w:proofErr w:type="spellEnd"/>
      <w:r w:rsidRPr="001C50C8">
        <w:rPr>
          <w:rFonts w:ascii="Garamond" w:hAnsi="Garamond"/>
          <w:lang w:val="pt-PT"/>
        </w:rPr>
        <w:t>.</w:t>
      </w:r>
      <w:r w:rsidRPr="00646553">
        <w:rPr>
          <w:rFonts w:ascii="Garamond" w:hAnsi="Garamond"/>
          <w:lang w:val="pt-PT"/>
        </w:rPr>
        <w:t xml:space="preserve"> </w:t>
      </w:r>
    </w:p>
    <w:p w14:paraId="12CBE414" w14:textId="77777777" w:rsidR="00541FA6" w:rsidRPr="001C50C8" w:rsidRDefault="00541FA6" w:rsidP="002A62A2">
      <w:pPr>
        <w:pStyle w:val="PargrafodaLista"/>
        <w:numPr>
          <w:ilvl w:val="0"/>
          <w:numId w:val="73"/>
        </w:numPr>
        <w:jc w:val="both"/>
        <w:rPr>
          <w:rFonts w:ascii="Garamond" w:hAnsi="Garamond"/>
          <w:lang w:val="pt-PT"/>
        </w:rPr>
      </w:pPr>
      <w:bookmarkStart w:id="73" w:name="_Hlk31486724"/>
      <w:r w:rsidRPr="001C50C8">
        <w:rPr>
          <w:rFonts w:ascii="Garamond" w:hAnsi="Garamond"/>
          <w:lang w:val="pt-PT"/>
        </w:rPr>
        <w:t xml:space="preserve">Tendo em conta a experiência de vários países na prevenção e combate à </w:t>
      </w:r>
      <w:proofErr w:type="spellStart"/>
      <w:r w:rsidRPr="001C50C8">
        <w:rPr>
          <w:rFonts w:ascii="Garamond" w:hAnsi="Garamond"/>
          <w:lang w:val="pt-PT"/>
        </w:rPr>
        <w:t>MGF</w:t>
      </w:r>
      <w:proofErr w:type="spellEnd"/>
      <w:r w:rsidRPr="001C50C8">
        <w:rPr>
          <w:rFonts w:ascii="Garamond" w:hAnsi="Garamond"/>
          <w:lang w:val="pt-PT"/>
        </w:rPr>
        <w:t xml:space="preserve"> no contexto de comunidades imigradas, poderá ser perspectivada uma troca de experiências sobre abordagens</w:t>
      </w:r>
      <w:r>
        <w:rPr>
          <w:rFonts w:ascii="Garamond" w:hAnsi="Garamond"/>
          <w:lang w:val="pt-PT"/>
        </w:rPr>
        <w:t xml:space="preserve">, procedimentos e instrumentos de trabalho, em particular para a prevenção da </w:t>
      </w:r>
      <w:proofErr w:type="spellStart"/>
      <w:r>
        <w:rPr>
          <w:rFonts w:ascii="Garamond" w:hAnsi="Garamond"/>
          <w:lang w:val="pt-PT"/>
        </w:rPr>
        <w:t>MGF</w:t>
      </w:r>
      <w:proofErr w:type="spellEnd"/>
      <w:r>
        <w:rPr>
          <w:rFonts w:ascii="Garamond" w:hAnsi="Garamond"/>
          <w:lang w:val="pt-PT"/>
        </w:rPr>
        <w:t xml:space="preserve">, com a participação de um grupo de trabalho constituído para o efeito (ex. </w:t>
      </w:r>
      <w:proofErr w:type="spellStart"/>
      <w:r>
        <w:rPr>
          <w:rFonts w:ascii="Garamond" w:hAnsi="Garamond"/>
          <w:lang w:val="pt-PT"/>
        </w:rPr>
        <w:t>DGI</w:t>
      </w:r>
      <w:proofErr w:type="spellEnd"/>
      <w:r>
        <w:rPr>
          <w:rFonts w:ascii="Garamond" w:hAnsi="Garamond"/>
          <w:lang w:val="pt-PT"/>
        </w:rPr>
        <w:t xml:space="preserve">, Saúde, </w:t>
      </w:r>
      <w:proofErr w:type="spellStart"/>
      <w:r>
        <w:rPr>
          <w:rFonts w:ascii="Garamond" w:hAnsi="Garamond"/>
          <w:lang w:val="pt-PT"/>
        </w:rPr>
        <w:t>CAV</w:t>
      </w:r>
      <w:proofErr w:type="spellEnd"/>
      <w:r>
        <w:rPr>
          <w:rFonts w:ascii="Garamond" w:hAnsi="Garamond"/>
          <w:lang w:val="pt-PT"/>
        </w:rPr>
        <w:t xml:space="preserve">, </w:t>
      </w:r>
      <w:proofErr w:type="spellStart"/>
      <w:r>
        <w:rPr>
          <w:rFonts w:ascii="Garamond" w:hAnsi="Garamond"/>
          <w:lang w:val="pt-PT"/>
        </w:rPr>
        <w:t>OSC</w:t>
      </w:r>
      <w:proofErr w:type="spellEnd"/>
      <w:r>
        <w:rPr>
          <w:rFonts w:ascii="Garamond" w:hAnsi="Garamond"/>
          <w:lang w:val="pt-PT"/>
        </w:rPr>
        <w:t xml:space="preserve">, </w:t>
      </w:r>
      <w:proofErr w:type="spellStart"/>
      <w:r>
        <w:rPr>
          <w:rFonts w:ascii="Garamond" w:hAnsi="Garamond"/>
          <w:lang w:val="pt-PT"/>
        </w:rPr>
        <w:t>ator</w:t>
      </w:r>
      <w:proofErr w:type="spellEnd"/>
      <w:r>
        <w:rPr>
          <w:rFonts w:ascii="Garamond" w:hAnsi="Garamond"/>
          <w:lang w:val="pt-PT"/>
        </w:rPr>
        <w:t xml:space="preserve"> municipal da Boavista) </w:t>
      </w:r>
    </w:p>
    <w:p w14:paraId="32F99368" w14:textId="77777777" w:rsidR="00541FA6" w:rsidRDefault="00541FA6" w:rsidP="002A62A2">
      <w:pPr>
        <w:pStyle w:val="PargrafodaLista"/>
        <w:numPr>
          <w:ilvl w:val="0"/>
          <w:numId w:val="73"/>
        </w:numPr>
        <w:autoSpaceDE w:val="0"/>
        <w:autoSpaceDN w:val="0"/>
        <w:adjustRightInd w:val="0"/>
        <w:jc w:val="both"/>
        <w:rPr>
          <w:rFonts w:ascii="Garamond" w:hAnsi="Garamond"/>
          <w:lang w:val="pt-PT"/>
        </w:rPr>
      </w:pPr>
      <w:bookmarkStart w:id="74" w:name="_Hlk31486907"/>
      <w:bookmarkEnd w:id="73"/>
      <w:r w:rsidRPr="008D4D28">
        <w:rPr>
          <w:rFonts w:ascii="Garamond" w:hAnsi="Garamond"/>
          <w:lang w:val="pt-PT"/>
        </w:rPr>
        <w:t xml:space="preserve">Deve se dar continuidade às sessões de formação previstas </w:t>
      </w:r>
      <w:proofErr w:type="spellStart"/>
      <w:r w:rsidRPr="008D4D28">
        <w:rPr>
          <w:rFonts w:ascii="Garamond" w:hAnsi="Garamond"/>
          <w:lang w:val="pt-PT"/>
        </w:rPr>
        <w:t>pela</w:t>
      </w:r>
      <w:proofErr w:type="spellEnd"/>
      <w:r w:rsidRPr="008D4D28">
        <w:rPr>
          <w:rFonts w:ascii="Garamond" w:hAnsi="Garamond"/>
          <w:lang w:val="pt-PT"/>
        </w:rPr>
        <w:t xml:space="preserve"> </w:t>
      </w:r>
      <w:proofErr w:type="spellStart"/>
      <w:r w:rsidRPr="008D4D28">
        <w:rPr>
          <w:rFonts w:ascii="Garamond" w:hAnsi="Garamond"/>
          <w:lang w:val="pt-PT"/>
        </w:rPr>
        <w:t>DGI</w:t>
      </w:r>
      <w:proofErr w:type="spellEnd"/>
      <w:r w:rsidRPr="008D4D28">
        <w:rPr>
          <w:rFonts w:ascii="Garamond" w:hAnsi="Garamond"/>
          <w:lang w:val="pt-PT"/>
        </w:rPr>
        <w:t>, dirigidas às lideranças comunitárias e associativas (homens e mulheres) sobre a promoção da igualdade de género, direitos humanos</w:t>
      </w:r>
      <w:r>
        <w:rPr>
          <w:rFonts w:ascii="Garamond" w:hAnsi="Garamond"/>
          <w:lang w:val="pt-PT"/>
        </w:rPr>
        <w:t xml:space="preserve">, combate </w:t>
      </w:r>
      <w:r w:rsidRPr="008D4D28">
        <w:rPr>
          <w:rFonts w:ascii="Garamond" w:hAnsi="Garamond"/>
          <w:lang w:val="pt-PT"/>
        </w:rPr>
        <w:t xml:space="preserve">à </w:t>
      </w:r>
      <w:proofErr w:type="spellStart"/>
      <w:r w:rsidRPr="008D4D28">
        <w:rPr>
          <w:rFonts w:ascii="Garamond" w:hAnsi="Garamond"/>
          <w:lang w:val="pt-PT"/>
        </w:rPr>
        <w:t>VBG</w:t>
      </w:r>
      <w:proofErr w:type="spellEnd"/>
      <w:r>
        <w:rPr>
          <w:rFonts w:ascii="Garamond" w:hAnsi="Garamond"/>
          <w:lang w:val="pt-PT"/>
        </w:rPr>
        <w:t xml:space="preserve"> e </w:t>
      </w:r>
      <w:proofErr w:type="spellStart"/>
      <w:r>
        <w:rPr>
          <w:rFonts w:ascii="Garamond" w:hAnsi="Garamond"/>
          <w:lang w:val="pt-PT"/>
        </w:rPr>
        <w:t>SSR</w:t>
      </w:r>
      <w:proofErr w:type="spellEnd"/>
      <w:r w:rsidRPr="008D4D28">
        <w:rPr>
          <w:rFonts w:ascii="Garamond" w:hAnsi="Garamond"/>
          <w:lang w:val="pt-PT"/>
        </w:rPr>
        <w:t xml:space="preserve">, onde as questões da </w:t>
      </w:r>
      <w:proofErr w:type="spellStart"/>
      <w:r w:rsidRPr="008D4D28">
        <w:rPr>
          <w:rFonts w:ascii="Garamond" w:hAnsi="Garamond"/>
          <w:lang w:val="pt-PT"/>
        </w:rPr>
        <w:t>MGF</w:t>
      </w:r>
      <w:proofErr w:type="spellEnd"/>
      <w:r w:rsidRPr="008D4D28">
        <w:rPr>
          <w:rFonts w:ascii="Garamond" w:hAnsi="Garamond"/>
          <w:lang w:val="pt-PT"/>
        </w:rPr>
        <w:t xml:space="preserve"> e o casamento precoce são abordados</w:t>
      </w:r>
      <w:r>
        <w:rPr>
          <w:rFonts w:ascii="Garamond" w:hAnsi="Garamond"/>
          <w:lang w:val="pt-PT"/>
        </w:rPr>
        <w:t xml:space="preserve">; adicionalmente deve se </w:t>
      </w:r>
      <w:r w:rsidRPr="008D4D28">
        <w:rPr>
          <w:rFonts w:ascii="Garamond" w:hAnsi="Garamond"/>
          <w:lang w:val="pt-PT"/>
        </w:rPr>
        <w:t>estabelecer uma bolsa de mediadores/mediadoras comunitários formados (pertencentes a grupos praticantes) para a sensibilização de homens e mulheres das comunidades imigradas</w:t>
      </w:r>
      <w:r>
        <w:rPr>
          <w:rFonts w:ascii="Garamond" w:hAnsi="Garamond"/>
          <w:lang w:val="pt-PT"/>
        </w:rPr>
        <w:t xml:space="preserve">, bem como de jovens de ambos os sexos (metodologia reflexiva sobre direitos, feminilidade, masculinidade e </w:t>
      </w:r>
      <w:proofErr w:type="spellStart"/>
      <w:r>
        <w:rPr>
          <w:rFonts w:ascii="Garamond" w:hAnsi="Garamond"/>
          <w:lang w:val="pt-PT"/>
        </w:rPr>
        <w:t>SSR</w:t>
      </w:r>
      <w:proofErr w:type="spellEnd"/>
      <w:r>
        <w:rPr>
          <w:rFonts w:ascii="Garamond" w:hAnsi="Garamond"/>
          <w:lang w:val="pt-PT"/>
        </w:rPr>
        <w:t>).</w:t>
      </w:r>
    </w:p>
    <w:p w14:paraId="2B98C2D7" w14:textId="77777777" w:rsidR="00541FA6" w:rsidRPr="006B0045" w:rsidRDefault="00541FA6" w:rsidP="002A62A2">
      <w:pPr>
        <w:pStyle w:val="PargrafodaLista"/>
        <w:numPr>
          <w:ilvl w:val="0"/>
          <w:numId w:val="73"/>
        </w:numPr>
        <w:autoSpaceDE w:val="0"/>
        <w:autoSpaceDN w:val="0"/>
        <w:adjustRightInd w:val="0"/>
        <w:jc w:val="both"/>
        <w:rPr>
          <w:rFonts w:ascii="Garamond" w:hAnsi="Garamond"/>
          <w:lang w:val="pt-PT"/>
        </w:rPr>
      </w:pPr>
      <w:r w:rsidRPr="00792253">
        <w:rPr>
          <w:rFonts w:ascii="Garamond" w:hAnsi="Garamond"/>
          <w:lang w:val="pt-PT"/>
        </w:rPr>
        <w:t xml:space="preserve">É importante que sejam reforçadas as capacidades dos prestadores de saúde para a abordagem da </w:t>
      </w:r>
      <w:proofErr w:type="spellStart"/>
      <w:r w:rsidRPr="00792253">
        <w:rPr>
          <w:rFonts w:ascii="Garamond" w:hAnsi="Garamond"/>
          <w:lang w:val="pt-PT"/>
        </w:rPr>
        <w:t>MGF</w:t>
      </w:r>
      <w:proofErr w:type="spellEnd"/>
      <w:r w:rsidRPr="00792253">
        <w:rPr>
          <w:rFonts w:ascii="Garamond" w:hAnsi="Garamond"/>
          <w:lang w:val="pt-PT"/>
        </w:rPr>
        <w:t xml:space="preserve">, </w:t>
      </w:r>
      <w:r>
        <w:rPr>
          <w:rFonts w:ascii="Garamond" w:hAnsi="Garamond"/>
          <w:lang w:val="pt-PT"/>
        </w:rPr>
        <w:t xml:space="preserve">tendo em conta em particular que a </w:t>
      </w:r>
      <w:proofErr w:type="spellStart"/>
      <w:r>
        <w:rPr>
          <w:rFonts w:ascii="Garamond" w:hAnsi="Garamond"/>
          <w:lang w:val="pt-PT"/>
        </w:rPr>
        <w:t>SSR</w:t>
      </w:r>
      <w:proofErr w:type="spellEnd"/>
      <w:r>
        <w:rPr>
          <w:rFonts w:ascii="Garamond" w:hAnsi="Garamond"/>
          <w:lang w:val="pt-PT"/>
        </w:rPr>
        <w:t xml:space="preserve"> é uma das melhores portas de entrada para trabalhar a temática da </w:t>
      </w:r>
      <w:proofErr w:type="spellStart"/>
      <w:r>
        <w:rPr>
          <w:rFonts w:ascii="Garamond" w:hAnsi="Garamond"/>
          <w:lang w:val="pt-PT"/>
        </w:rPr>
        <w:t>MGF</w:t>
      </w:r>
      <w:proofErr w:type="spellEnd"/>
      <w:r>
        <w:rPr>
          <w:rFonts w:ascii="Garamond" w:hAnsi="Garamond"/>
          <w:lang w:val="pt-PT"/>
        </w:rPr>
        <w:t xml:space="preserve"> </w:t>
      </w:r>
      <w:r w:rsidRPr="001C50C8">
        <w:rPr>
          <w:rFonts w:ascii="Garamond" w:hAnsi="Garamond"/>
          <w:lang w:val="pt-PT"/>
        </w:rPr>
        <w:t xml:space="preserve">(medida do Eixo </w:t>
      </w:r>
      <w:r w:rsidRPr="001C50C8">
        <w:rPr>
          <w:rFonts w:ascii="Garamond" w:hAnsi="Garamond"/>
          <w:highlight w:val="yellow"/>
          <w:lang w:val="pt-PT"/>
        </w:rPr>
        <w:t>4</w:t>
      </w:r>
      <w:r w:rsidRPr="001C50C8">
        <w:rPr>
          <w:rFonts w:ascii="Garamond" w:hAnsi="Garamond"/>
          <w:lang w:val="pt-PT"/>
        </w:rPr>
        <w:t>)</w:t>
      </w:r>
      <w:r w:rsidRPr="006B0045">
        <w:rPr>
          <w:rFonts w:ascii="Garamond" w:hAnsi="Garamond"/>
          <w:lang w:val="pt-PT"/>
        </w:rPr>
        <w:t>.</w:t>
      </w:r>
    </w:p>
    <w:bookmarkEnd w:id="74"/>
    <w:p w14:paraId="1E778594" w14:textId="77777777" w:rsidR="00541FA6" w:rsidRDefault="00541FA6" w:rsidP="002A62A2">
      <w:pPr>
        <w:pStyle w:val="PargrafodaLista"/>
        <w:numPr>
          <w:ilvl w:val="0"/>
          <w:numId w:val="73"/>
        </w:numPr>
        <w:jc w:val="both"/>
        <w:rPr>
          <w:rFonts w:ascii="Garamond" w:hAnsi="Garamond"/>
          <w:lang w:val="pt-PT"/>
        </w:rPr>
      </w:pPr>
      <w:r>
        <w:rPr>
          <w:rFonts w:ascii="Garamond" w:hAnsi="Garamond"/>
          <w:lang w:val="pt-PT"/>
        </w:rPr>
        <w:t>F</w:t>
      </w:r>
      <w:r w:rsidRPr="00D87EE7">
        <w:rPr>
          <w:rFonts w:ascii="Garamond" w:hAnsi="Garamond"/>
          <w:lang w:val="pt-PT"/>
        </w:rPr>
        <w:t>orma</w:t>
      </w:r>
      <w:r>
        <w:rPr>
          <w:rFonts w:ascii="Garamond" w:hAnsi="Garamond"/>
          <w:lang w:val="pt-PT"/>
        </w:rPr>
        <w:t>r</w:t>
      </w:r>
      <w:r w:rsidRPr="00D87EE7">
        <w:rPr>
          <w:rFonts w:ascii="Garamond" w:hAnsi="Garamond"/>
          <w:lang w:val="pt-PT"/>
        </w:rPr>
        <w:t xml:space="preserve"> em igualdade de género, </w:t>
      </w:r>
      <w:proofErr w:type="spellStart"/>
      <w:r w:rsidRPr="00D87EE7">
        <w:rPr>
          <w:rFonts w:ascii="Garamond" w:hAnsi="Garamond"/>
          <w:lang w:val="pt-PT"/>
        </w:rPr>
        <w:t>VBG</w:t>
      </w:r>
      <w:proofErr w:type="spellEnd"/>
      <w:r w:rsidRPr="00D87EE7">
        <w:rPr>
          <w:rFonts w:ascii="Garamond" w:hAnsi="Garamond"/>
          <w:lang w:val="pt-PT"/>
        </w:rPr>
        <w:t xml:space="preserve"> e práticas nocivas os </w:t>
      </w:r>
      <w:proofErr w:type="spellStart"/>
      <w:r w:rsidRPr="00D87EE7">
        <w:rPr>
          <w:rFonts w:ascii="Garamond" w:hAnsi="Garamond"/>
          <w:lang w:val="pt-PT"/>
        </w:rPr>
        <w:t>atores</w:t>
      </w:r>
      <w:proofErr w:type="spellEnd"/>
      <w:r w:rsidRPr="00D87EE7">
        <w:rPr>
          <w:rFonts w:ascii="Garamond" w:hAnsi="Garamond"/>
          <w:lang w:val="pt-PT"/>
        </w:rPr>
        <w:t xml:space="preserve"> implicados na implementação do </w:t>
      </w:r>
      <w:r w:rsidRPr="00646553">
        <w:rPr>
          <w:rFonts w:ascii="Garamond" w:hAnsi="Garamond"/>
          <w:i/>
          <w:iCs/>
          <w:lang w:val="pt-PT"/>
        </w:rPr>
        <w:t>Plano de Acção Municipal para Integração de Imigrantes</w:t>
      </w:r>
      <w:r w:rsidRPr="00646553">
        <w:rPr>
          <w:rFonts w:ascii="Garamond" w:hAnsi="Garamond"/>
          <w:lang w:val="pt-PT"/>
        </w:rPr>
        <w:t xml:space="preserve"> (2019-2021)</w:t>
      </w:r>
      <w:r>
        <w:rPr>
          <w:rFonts w:ascii="Garamond" w:hAnsi="Garamond"/>
          <w:lang w:val="pt-PT"/>
        </w:rPr>
        <w:t xml:space="preserve"> desenvolvido na Boavista, uma das ilhas com forte presença de imigrantes e que </w:t>
      </w:r>
      <w:r w:rsidRPr="00646553">
        <w:rPr>
          <w:rFonts w:ascii="Garamond" w:hAnsi="Garamond"/>
          <w:lang w:val="pt-PT"/>
        </w:rPr>
        <w:t xml:space="preserve">destaca entre os problemas identificados, </w:t>
      </w:r>
      <w:proofErr w:type="spellStart"/>
      <w:r w:rsidRPr="00646553">
        <w:rPr>
          <w:rFonts w:ascii="Garamond" w:hAnsi="Garamond"/>
          <w:lang w:val="pt-PT"/>
        </w:rPr>
        <w:t>pelas</w:t>
      </w:r>
      <w:proofErr w:type="spellEnd"/>
      <w:r w:rsidRPr="00646553">
        <w:rPr>
          <w:rFonts w:ascii="Garamond" w:hAnsi="Garamond"/>
          <w:lang w:val="pt-PT"/>
        </w:rPr>
        <w:t xml:space="preserve"> instituições locais, a suspeita de ocorrência (não documentada) de tradições e práticas culturais nocivas, como </w:t>
      </w:r>
      <w:proofErr w:type="spellStart"/>
      <w:r w:rsidRPr="00646553">
        <w:rPr>
          <w:rFonts w:ascii="Garamond" w:hAnsi="Garamond"/>
          <w:lang w:val="pt-PT"/>
        </w:rPr>
        <w:t>MGF</w:t>
      </w:r>
      <w:proofErr w:type="spellEnd"/>
      <w:r w:rsidRPr="00646553">
        <w:rPr>
          <w:rFonts w:ascii="Garamond" w:hAnsi="Garamond"/>
          <w:lang w:val="pt-PT"/>
        </w:rPr>
        <w:t xml:space="preserve"> e casamento precoce</w:t>
      </w:r>
      <w:r>
        <w:rPr>
          <w:rFonts w:ascii="Garamond" w:hAnsi="Garamond"/>
          <w:lang w:val="pt-PT"/>
        </w:rPr>
        <w:t xml:space="preserve">; devem ser ainda formados os </w:t>
      </w:r>
      <w:proofErr w:type="spellStart"/>
      <w:r>
        <w:rPr>
          <w:rFonts w:ascii="Garamond" w:hAnsi="Garamond"/>
          <w:lang w:val="pt-PT"/>
        </w:rPr>
        <w:t>atores</w:t>
      </w:r>
      <w:proofErr w:type="spellEnd"/>
      <w:r>
        <w:rPr>
          <w:rFonts w:ascii="Garamond" w:hAnsi="Garamond"/>
          <w:lang w:val="pt-PT"/>
        </w:rPr>
        <w:t xml:space="preserve"> de outros municípios nestas temáticas, com prioridade para os que estão a desenvolver Planos de </w:t>
      </w:r>
      <w:proofErr w:type="spellStart"/>
      <w:r>
        <w:rPr>
          <w:rFonts w:ascii="Garamond" w:hAnsi="Garamond"/>
          <w:lang w:val="pt-PT"/>
        </w:rPr>
        <w:t>Ação</w:t>
      </w:r>
      <w:proofErr w:type="spellEnd"/>
      <w:r>
        <w:rPr>
          <w:rFonts w:ascii="Garamond" w:hAnsi="Garamond"/>
          <w:lang w:val="pt-PT"/>
        </w:rPr>
        <w:t xml:space="preserve"> de integração de Imigrantes (ex. </w:t>
      </w:r>
      <w:r w:rsidRPr="00646553">
        <w:rPr>
          <w:rFonts w:ascii="Garamond" w:hAnsi="Garamond"/>
          <w:lang w:val="pt-PT"/>
        </w:rPr>
        <w:t xml:space="preserve">Praia está </w:t>
      </w:r>
      <w:r>
        <w:rPr>
          <w:rFonts w:ascii="Garamond" w:hAnsi="Garamond"/>
          <w:lang w:val="pt-PT"/>
        </w:rPr>
        <w:t xml:space="preserve">a desenvolver o seu). </w:t>
      </w:r>
    </w:p>
    <w:p w14:paraId="6A4C3F94" w14:textId="77777777" w:rsidR="00541FA6" w:rsidRPr="001C50C8" w:rsidRDefault="00541FA6" w:rsidP="002A62A2">
      <w:pPr>
        <w:pStyle w:val="PargrafodaLista"/>
        <w:numPr>
          <w:ilvl w:val="0"/>
          <w:numId w:val="73"/>
        </w:numPr>
        <w:spacing w:after="240"/>
        <w:ind w:left="714" w:hanging="357"/>
        <w:contextualSpacing w:val="0"/>
        <w:jc w:val="both"/>
        <w:rPr>
          <w:rFonts w:ascii="Garamond" w:hAnsi="Garamond"/>
          <w:lang w:val="pt-PT"/>
        </w:rPr>
      </w:pPr>
      <w:r w:rsidRPr="00D87EE7">
        <w:rPr>
          <w:rFonts w:ascii="Garamond" w:hAnsi="Garamond"/>
          <w:lang w:val="pt-PT"/>
        </w:rPr>
        <w:t xml:space="preserve">Integrar a temática da união precoce enquanto prática nociva nas campanhas de prevenção da </w:t>
      </w:r>
      <w:proofErr w:type="spellStart"/>
      <w:r w:rsidRPr="001C50C8">
        <w:rPr>
          <w:rFonts w:ascii="Garamond" w:hAnsi="Garamond"/>
          <w:lang w:val="pt-PT"/>
        </w:rPr>
        <w:t>VBG</w:t>
      </w:r>
      <w:proofErr w:type="spellEnd"/>
      <w:r>
        <w:rPr>
          <w:rFonts w:ascii="Garamond" w:hAnsi="Garamond"/>
          <w:lang w:val="pt-PT"/>
        </w:rPr>
        <w:t xml:space="preserve">, </w:t>
      </w:r>
      <w:proofErr w:type="spellStart"/>
      <w:r w:rsidRPr="001C50C8">
        <w:rPr>
          <w:rFonts w:ascii="Garamond" w:hAnsi="Garamond"/>
          <w:lang w:val="pt-PT"/>
        </w:rPr>
        <w:t>ações</w:t>
      </w:r>
      <w:proofErr w:type="spellEnd"/>
      <w:r w:rsidRPr="001C50C8">
        <w:rPr>
          <w:rFonts w:ascii="Garamond" w:hAnsi="Garamond"/>
          <w:lang w:val="pt-PT"/>
        </w:rPr>
        <w:t xml:space="preserve"> da saúde</w:t>
      </w:r>
      <w:r>
        <w:rPr>
          <w:rFonts w:ascii="Garamond" w:hAnsi="Garamond"/>
          <w:lang w:val="pt-PT"/>
        </w:rPr>
        <w:t xml:space="preserve"> (</w:t>
      </w:r>
      <w:proofErr w:type="spellStart"/>
      <w:r>
        <w:rPr>
          <w:rFonts w:ascii="Garamond" w:hAnsi="Garamond"/>
          <w:lang w:val="pt-PT"/>
        </w:rPr>
        <w:t>SSR</w:t>
      </w:r>
      <w:proofErr w:type="spellEnd"/>
      <w:r>
        <w:rPr>
          <w:rFonts w:ascii="Garamond" w:hAnsi="Garamond"/>
          <w:lang w:val="pt-PT"/>
        </w:rPr>
        <w:t xml:space="preserve"> </w:t>
      </w:r>
      <w:r w:rsidRPr="001C50C8">
        <w:rPr>
          <w:rFonts w:ascii="Garamond" w:hAnsi="Garamond"/>
          <w:lang w:val="pt-PT"/>
        </w:rPr>
        <w:t>em particular</w:t>
      </w:r>
      <w:r>
        <w:rPr>
          <w:rFonts w:ascii="Garamond" w:hAnsi="Garamond"/>
          <w:lang w:val="pt-PT"/>
        </w:rPr>
        <w:t>),</w:t>
      </w:r>
      <w:r w:rsidRPr="001C50C8">
        <w:rPr>
          <w:rFonts w:ascii="Garamond" w:hAnsi="Garamond"/>
          <w:lang w:val="pt-PT"/>
        </w:rPr>
        <w:t xml:space="preserve"> educação e promoção dos direitos das crianças.</w:t>
      </w:r>
    </w:p>
    <w:bookmarkEnd w:id="71"/>
    <w:p w14:paraId="0A2FEF2E" w14:textId="77777777" w:rsidR="00541FA6" w:rsidRPr="00BE46E6" w:rsidRDefault="00541FA6" w:rsidP="00541FA6">
      <w:pPr>
        <w:jc w:val="both"/>
        <w:rPr>
          <w:rFonts w:ascii="Garamond" w:hAnsi="Garamond"/>
          <w:lang w:val="pt-PT"/>
        </w:rPr>
      </w:pPr>
      <w:r w:rsidRPr="00BE46E6">
        <w:rPr>
          <w:rFonts w:ascii="Garamond" w:hAnsi="Garamond"/>
          <w:lang w:val="pt-PT"/>
        </w:rPr>
        <w:t xml:space="preserve">Com a revisão do Código Penal de 2015, o país dispõe de dados sobre o crime de </w:t>
      </w:r>
      <w:r w:rsidRPr="00F205E3">
        <w:rPr>
          <w:rFonts w:ascii="Garamond" w:hAnsi="Garamond"/>
          <w:b/>
          <w:bCs/>
          <w:lang w:val="pt-PT"/>
        </w:rPr>
        <w:t>Tráfico de Pessoas</w:t>
      </w:r>
      <w:r w:rsidRPr="00BE46E6">
        <w:rPr>
          <w:rFonts w:ascii="Garamond" w:hAnsi="Garamond"/>
          <w:lang w:val="pt-PT"/>
        </w:rPr>
        <w:t xml:space="preserve"> (TP): durante o ano judicial 2017/2018 foram registados nos serviços do Ministério Público 3 novos processos, que juntando se aos 4 transitados do ano anterior, perfazem 7 processos pendentes. O relatório do </w:t>
      </w:r>
      <w:proofErr w:type="spellStart"/>
      <w:r w:rsidRPr="00BE46E6">
        <w:rPr>
          <w:rFonts w:ascii="Garamond" w:hAnsi="Garamond"/>
          <w:lang w:val="pt-PT"/>
        </w:rPr>
        <w:t>CSMP</w:t>
      </w:r>
      <w:proofErr w:type="spellEnd"/>
      <w:r w:rsidRPr="00BE46E6">
        <w:rPr>
          <w:rFonts w:ascii="Garamond" w:hAnsi="Garamond"/>
          <w:lang w:val="pt-PT"/>
        </w:rPr>
        <w:t xml:space="preserve"> do anterior (2016/2017) refere todas as vítimas dos 4 processos eram mulheres e de nacionalidade estrangeira (3 da Comarca do Sal, 1 do ano judicial anterior da Comarca da Boa Vista), sendo os denunciados do sexo feminino e masculino. O Ministério da Justiça coordena a implementação do Plano Nacional de combate ao Tráfico de Pessoas (2018-2021) e criou uma Gabinete para o efeito. A </w:t>
      </w:r>
      <w:proofErr w:type="spellStart"/>
      <w:r w:rsidRPr="00BE46E6">
        <w:rPr>
          <w:rFonts w:ascii="Garamond" w:hAnsi="Garamond"/>
          <w:lang w:val="pt-PT"/>
        </w:rPr>
        <w:t>DGI</w:t>
      </w:r>
      <w:proofErr w:type="spellEnd"/>
      <w:r w:rsidRPr="00BE46E6">
        <w:rPr>
          <w:rFonts w:ascii="Garamond" w:hAnsi="Garamond"/>
          <w:lang w:val="pt-PT"/>
        </w:rPr>
        <w:t xml:space="preserve"> por seu lado, implementa medidas de reforço das capacidades para a prevenção do TP e está a desenhar medidas para a Assistência e </w:t>
      </w:r>
      <w:proofErr w:type="spellStart"/>
      <w:r w:rsidRPr="00BE46E6">
        <w:rPr>
          <w:rFonts w:ascii="Garamond" w:hAnsi="Garamond"/>
          <w:lang w:val="pt-PT"/>
        </w:rPr>
        <w:t>Proteção</w:t>
      </w:r>
      <w:proofErr w:type="spellEnd"/>
      <w:r w:rsidRPr="00BE46E6">
        <w:rPr>
          <w:rFonts w:ascii="Garamond" w:hAnsi="Garamond"/>
          <w:lang w:val="pt-PT"/>
        </w:rPr>
        <w:t xml:space="preserve"> de Imigrantes em situação de Risco, incluindo vítimas de tráfico, mas também vítimas de outras violências ou risco social (ex. readmissão cidadãos de países terceiros, discriminação, solicitantes de retorno voluntário, combate a práticas nefastas, casamentos precoces, </w:t>
      </w:r>
      <w:proofErr w:type="spellStart"/>
      <w:r w:rsidRPr="00BE46E6">
        <w:rPr>
          <w:rFonts w:ascii="Garamond" w:hAnsi="Garamond"/>
          <w:lang w:val="pt-PT"/>
        </w:rPr>
        <w:t>MGF</w:t>
      </w:r>
      <w:proofErr w:type="spellEnd"/>
      <w:r w:rsidRPr="00BE46E6">
        <w:rPr>
          <w:rFonts w:ascii="Garamond" w:hAnsi="Garamond"/>
          <w:lang w:val="pt-PT"/>
        </w:rPr>
        <w:t>).</w:t>
      </w:r>
    </w:p>
    <w:p w14:paraId="6BF76617" w14:textId="77777777" w:rsidR="00541FA6" w:rsidRPr="00D87EE7" w:rsidRDefault="00541FA6" w:rsidP="002A62A2">
      <w:pPr>
        <w:pStyle w:val="PargrafodaLista"/>
        <w:numPr>
          <w:ilvl w:val="0"/>
          <w:numId w:val="74"/>
        </w:numPr>
        <w:jc w:val="both"/>
        <w:rPr>
          <w:rFonts w:ascii="Garamond" w:hAnsi="Garamond"/>
          <w:lang w:val="pt-PT"/>
        </w:rPr>
      </w:pPr>
      <w:bookmarkStart w:id="75" w:name="_Hlk19371791"/>
      <w:r w:rsidRPr="00D87EE7">
        <w:rPr>
          <w:rFonts w:ascii="Garamond" w:hAnsi="Garamond"/>
          <w:lang w:val="pt-PT"/>
        </w:rPr>
        <w:t>Tendo em conta a vulnerabilidade das mulheres ao TP é fundamental trabalhar com o Gabinete do Ministério da Justiça que coordena a implementação do Plano de Combate ao TP, para identificar oportunidades para a integração de uma abordagem de género (ex. na elaboração de protocolos para a identificação, encaminhamento e apoio a vítimas de TP, dos módulos de formação para os diferentes profissionais, nas campanhas de sensibilização, sistema de seguimento e produção de dados).</w:t>
      </w:r>
    </w:p>
    <w:p w14:paraId="0D146AE8" w14:textId="77777777" w:rsidR="00541FA6" w:rsidRPr="00D87EE7" w:rsidRDefault="00541FA6" w:rsidP="002A62A2">
      <w:pPr>
        <w:pStyle w:val="PargrafodaLista"/>
        <w:numPr>
          <w:ilvl w:val="0"/>
          <w:numId w:val="74"/>
        </w:numPr>
        <w:spacing w:after="240"/>
        <w:ind w:left="714" w:hanging="357"/>
        <w:contextualSpacing w:val="0"/>
        <w:jc w:val="both"/>
        <w:rPr>
          <w:rFonts w:ascii="Garamond" w:hAnsi="Garamond"/>
          <w:lang w:val="pt-PT"/>
        </w:rPr>
      </w:pPr>
      <w:r>
        <w:rPr>
          <w:rFonts w:ascii="Garamond" w:hAnsi="Garamond"/>
          <w:lang w:val="pt-PT"/>
        </w:rPr>
        <w:t>Há</w:t>
      </w:r>
      <w:r w:rsidRPr="00D87EE7">
        <w:rPr>
          <w:rFonts w:ascii="Garamond" w:hAnsi="Garamond"/>
          <w:lang w:val="pt-PT"/>
        </w:rPr>
        <w:t xml:space="preserve"> sinergias a explorar no que tange a serviços de acolhimento a atendimento a vítimas. </w:t>
      </w:r>
    </w:p>
    <w:bookmarkEnd w:id="75"/>
    <w:p w14:paraId="63560525" w14:textId="77777777" w:rsidR="00541FA6" w:rsidRPr="00BE46E6" w:rsidRDefault="00541FA6" w:rsidP="00541FA6">
      <w:pPr>
        <w:jc w:val="both"/>
        <w:rPr>
          <w:rFonts w:ascii="Garamond" w:hAnsi="Garamond"/>
          <w:b/>
          <w:bCs/>
          <w:lang w:val="pt-PT"/>
        </w:rPr>
      </w:pPr>
      <w:r w:rsidRPr="00BE46E6">
        <w:rPr>
          <w:rFonts w:ascii="Garamond" w:hAnsi="Garamond"/>
          <w:b/>
          <w:bCs/>
          <w:lang w:val="pt-PT"/>
        </w:rPr>
        <w:t>Exploração da prostituição</w:t>
      </w:r>
    </w:p>
    <w:p w14:paraId="7610457D" w14:textId="77777777" w:rsidR="00541FA6" w:rsidRDefault="00541FA6" w:rsidP="00541FA6">
      <w:pPr>
        <w:jc w:val="both"/>
        <w:rPr>
          <w:rFonts w:ascii="Garamond" w:hAnsi="Garamond"/>
          <w:lang w:val="pt-PT"/>
        </w:rPr>
      </w:pPr>
      <w:r w:rsidRPr="00BE46E6">
        <w:rPr>
          <w:rFonts w:ascii="Garamond" w:hAnsi="Garamond"/>
          <w:lang w:val="pt-PT"/>
        </w:rPr>
        <w:t xml:space="preserve">Relativamente a crianças e adolescentes, a Política de </w:t>
      </w:r>
      <w:proofErr w:type="spellStart"/>
      <w:r w:rsidRPr="00BE46E6">
        <w:rPr>
          <w:rFonts w:ascii="Garamond" w:hAnsi="Garamond"/>
          <w:lang w:val="pt-PT"/>
        </w:rPr>
        <w:t>Proteção</w:t>
      </w:r>
      <w:proofErr w:type="spellEnd"/>
      <w:r w:rsidRPr="00BE46E6">
        <w:rPr>
          <w:rFonts w:ascii="Garamond" w:hAnsi="Garamond"/>
          <w:lang w:val="pt-PT"/>
        </w:rPr>
        <w:t xml:space="preserve"> de Crianças e Adolescentes traça estratégias para melhor garantir o seu direito à </w:t>
      </w:r>
      <w:proofErr w:type="spellStart"/>
      <w:r w:rsidRPr="00BE46E6">
        <w:rPr>
          <w:rFonts w:ascii="Garamond" w:hAnsi="Garamond"/>
          <w:lang w:val="pt-PT"/>
        </w:rPr>
        <w:t>proteção</w:t>
      </w:r>
      <w:proofErr w:type="spellEnd"/>
      <w:r w:rsidRPr="00BE46E6">
        <w:rPr>
          <w:rFonts w:ascii="Garamond" w:hAnsi="Garamond"/>
          <w:lang w:val="pt-PT"/>
        </w:rPr>
        <w:t xml:space="preserve"> da violência, quer em termos de prevenção como de protecção. A abordagem da prostituição </w:t>
      </w:r>
      <w:r>
        <w:rPr>
          <w:rFonts w:ascii="Garamond" w:hAnsi="Garamond"/>
          <w:lang w:val="pt-PT"/>
        </w:rPr>
        <w:t xml:space="preserve">(adultos) </w:t>
      </w:r>
      <w:r w:rsidRPr="00BE46E6">
        <w:rPr>
          <w:rFonts w:ascii="Garamond" w:hAnsi="Garamond"/>
          <w:lang w:val="pt-PT"/>
        </w:rPr>
        <w:t>em Cabo Verde tem s</w:t>
      </w:r>
      <w:r>
        <w:rPr>
          <w:rFonts w:ascii="Garamond" w:hAnsi="Garamond"/>
          <w:lang w:val="pt-PT"/>
        </w:rPr>
        <w:t>ido</w:t>
      </w:r>
      <w:r w:rsidRPr="00BE46E6">
        <w:rPr>
          <w:rFonts w:ascii="Garamond" w:hAnsi="Garamond"/>
          <w:lang w:val="pt-PT"/>
        </w:rPr>
        <w:t xml:space="preserve"> feit</w:t>
      </w:r>
      <w:r>
        <w:rPr>
          <w:rFonts w:ascii="Garamond" w:hAnsi="Garamond"/>
          <w:lang w:val="pt-PT"/>
        </w:rPr>
        <w:t>a</w:t>
      </w:r>
      <w:r w:rsidRPr="00BE46E6">
        <w:rPr>
          <w:rFonts w:ascii="Garamond" w:hAnsi="Garamond"/>
          <w:lang w:val="pt-PT"/>
        </w:rPr>
        <w:t xml:space="preserve"> no contexto da luta contra o VIH/SIDA e numa lógica </w:t>
      </w:r>
      <w:r>
        <w:rPr>
          <w:rFonts w:ascii="Garamond" w:hAnsi="Garamond"/>
          <w:lang w:val="pt-PT"/>
        </w:rPr>
        <w:t xml:space="preserve">de acesso à informação, a meios de prevenção das IST/VIH, ao despiste voluntário, ao tratamento e apoio social quando necessário, bem como </w:t>
      </w:r>
      <w:r w:rsidRPr="00BE46E6">
        <w:rPr>
          <w:rFonts w:ascii="Garamond" w:hAnsi="Garamond"/>
          <w:lang w:val="pt-PT"/>
        </w:rPr>
        <w:t xml:space="preserve">de </w:t>
      </w:r>
      <w:r>
        <w:rPr>
          <w:rFonts w:ascii="Garamond" w:hAnsi="Garamond"/>
          <w:lang w:val="pt-PT"/>
        </w:rPr>
        <w:t xml:space="preserve">combate à estigmatização e promoção dos direitos de mulheres e homens vivendo com o VIH. </w:t>
      </w:r>
      <w:bookmarkStart w:id="76" w:name="_Hlk19371847"/>
      <w:r w:rsidRPr="00280429">
        <w:rPr>
          <w:rFonts w:ascii="Garamond" w:hAnsi="Garamond"/>
          <w:lang w:val="pt-PT"/>
        </w:rPr>
        <w:t xml:space="preserve">Será importante </w:t>
      </w:r>
      <w:r w:rsidRPr="001C50C8">
        <w:rPr>
          <w:rFonts w:ascii="Garamond" w:hAnsi="Garamond"/>
          <w:lang w:val="pt-PT"/>
        </w:rPr>
        <w:t>reforçar as iniciativas existentes com programas de saída para apoiar as mulheres a deixar a prostituição (medida que fará parte do Eixo 4).</w:t>
      </w:r>
      <w:bookmarkEnd w:id="39"/>
      <w:bookmarkEnd w:id="76"/>
    </w:p>
    <w:p w14:paraId="6946BF93" w14:textId="77777777" w:rsidR="00541FA6" w:rsidRDefault="00541FA6" w:rsidP="00541FA6">
      <w:pPr>
        <w:rPr>
          <w:rFonts w:ascii="Garamond" w:hAnsi="Garamond"/>
          <w:lang w:val="pt-PT"/>
        </w:rPr>
      </w:pPr>
    </w:p>
    <w:p w14:paraId="5A304B49" w14:textId="77777777" w:rsidR="00541FA6" w:rsidRDefault="00541FA6" w:rsidP="00541FA6">
      <w:pPr>
        <w:rPr>
          <w:rFonts w:ascii="Garamond" w:hAnsi="Garamond"/>
          <w:lang w:val="pt-PT"/>
        </w:rPr>
      </w:pPr>
    </w:p>
    <w:p w14:paraId="7FAF8086" w14:textId="14548282" w:rsidR="00AE74AE" w:rsidRPr="00280429" w:rsidRDefault="00AE74AE" w:rsidP="00FA5E4E">
      <w:pPr>
        <w:pStyle w:val="PargrafodaLista"/>
        <w:spacing w:after="240"/>
        <w:jc w:val="both"/>
        <w:rPr>
          <w:rFonts w:ascii="Garamond" w:hAnsi="Garamond" w:cs="Times New Roman"/>
          <w:b/>
          <w:color w:val="000000" w:themeColor="text1"/>
          <w:lang w:val="pt-PT"/>
        </w:rPr>
      </w:pPr>
      <w:r w:rsidRPr="00280429">
        <w:rPr>
          <w:rFonts w:ascii="Garamond" w:hAnsi="Garamond" w:cs="Times New Roman"/>
          <w:b/>
          <w:color w:val="000000" w:themeColor="text1"/>
          <w:lang w:val="pt-PT"/>
        </w:rPr>
        <w:br w:type="page"/>
      </w:r>
    </w:p>
    <w:p w14:paraId="4C09B9E9" w14:textId="77777777" w:rsidR="00AE74AE" w:rsidRPr="00AE74AE" w:rsidRDefault="00AE74AE" w:rsidP="0055267C">
      <w:pPr>
        <w:pStyle w:val="PargrafodaLista"/>
        <w:spacing w:after="240"/>
        <w:ind w:left="0"/>
        <w:jc w:val="both"/>
        <w:outlineLvl w:val="2"/>
        <w:rPr>
          <w:rFonts w:ascii="Garamond" w:hAnsi="Garamond" w:cs="Times New Roman"/>
          <w:b/>
          <w:sz w:val="32"/>
          <w:szCs w:val="32"/>
          <w:lang w:val="pt-PT"/>
        </w:rPr>
      </w:pPr>
      <w:bookmarkStart w:id="77" w:name="_Toc32858130"/>
      <w:r w:rsidRPr="00AE74AE">
        <w:rPr>
          <w:rFonts w:ascii="Garamond" w:hAnsi="Garamond" w:cs="Times New Roman"/>
          <w:b/>
          <w:sz w:val="32"/>
          <w:szCs w:val="32"/>
          <w:lang w:val="pt-PT"/>
        </w:rPr>
        <w:t>Eixo estratégico 3 - Educação e formação profissional</w:t>
      </w:r>
      <w:bookmarkEnd w:id="77"/>
    </w:p>
    <w:p w14:paraId="39EEDC1B" w14:textId="77777777" w:rsidR="005E6AB0" w:rsidRPr="00AE74AE" w:rsidRDefault="005E6AB0" w:rsidP="005E6AB0">
      <w:pPr>
        <w:jc w:val="both"/>
        <w:rPr>
          <w:rFonts w:ascii="Garamond" w:hAnsi="Garamond"/>
          <w:lang w:val="pt-PT"/>
        </w:rPr>
      </w:pPr>
      <w:r w:rsidRPr="00AE74AE">
        <w:rPr>
          <w:rFonts w:ascii="Garamond" w:hAnsi="Garamond"/>
          <w:lang w:val="pt-PT"/>
        </w:rPr>
        <w:t xml:space="preserve">Como já referido, o </w:t>
      </w:r>
      <w:r w:rsidRPr="00AE74AE">
        <w:rPr>
          <w:rFonts w:ascii="Garamond" w:hAnsi="Garamond"/>
          <w:i/>
          <w:iCs/>
          <w:lang w:val="pt-PT"/>
        </w:rPr>
        <w:t>Plano Estratégico da Educação</w:t>
      </w:r>
      <w:r w:rsidRPr="00AE74AE">
        <w:rPr>
          <w:rFonts w:ascii="Garamond" w:hAnsi="Garamond"/>
          <w:lang w:val="pt-PT"/>
        </w:rPr>
        <w:t xml:space="preserve"> (2017-2021) integrou a igualdade de género de forma transversal. As medidas tomadas para a integração de género no sector da educação são abrangentes, incluindo medidas a nível:</w:t>
      </w:r>
    </w:p>
    <w:p w14:paraId="1B7ED758" w14:textId="77777777" w:rsidR="005E6AB0" w:rsidRPr="00AE74AE" w:rsidRDefault="005E6AB0" w:rsidP="00786DEC">
      <w:pPr>
        <w:pStyle w:val="PargrafodaLista"/>
        <w:numPr>
          <w:ilvl w:val="0"/>
          <w:numId w:val="18"/>
        </w:numPr>
        <w:spacing w:after="240"/>
        <w:jc w:val="both"/>
        <w:rPr>
          <w:rFonts w:ascii="Garamond" w:hAnsi="Garamond"/>
          <w:lang w:val="pt-PT"/>
        </w:rPr>
      </w:pPr>
      <w:r w:rsidRPr="00AE74AE">
        <w:rPr>
          <w:rFonts w:ascii="Garamond" w:hAnsi="Garamond"/>
          <w:lang w:val="pt-PT"/>
        </w:rPr>
        <w:t>Curricular, em termos de educação para a igualdade e não violência;</w:t>
      </w:r>
    </w:p>
    <w:p w14:paraId="6C181525" w14:textId="77777777" w:rsidR="005E6AB0" w:rsidRPr="00AE74AE" w:rsidRDefault="005E6AB0" w:rsidP="00786DEC">
      <w:pPr>
        <w:pStyle w:val="PargrafodaLista"/>
        <w:numPr>
          <w:ilvl w:val="0"/>
          <w:numId w:val="18"/>
        </w:numPr>
        <w:spacing w:after="240"/>
        <w:jc w:val="both"/>
        <w:rPr>
          <w:rFonts w:ascii="Garamond" w:hAnsi="Garamond"/>
          <w:lang w:val="pt-PT"/>
        </w:rPr>
      </w:pPr>
      <w:r w:rsidRPr="00AE74AE">
        <w:rPr>
          <w:rFonts w:ascii="Garamond" w:hAnsi="Garamond"/>
          <w:lang w:val="pt-PT"/>
        </w:rPr>
        <w:t>De paridade na tomada de decisão;</w:t>
      </w:r>
      <w:r w:rsidRPr="00F500FB">
        <w:rPr>
          <w:rStyle w:val="Refdenotaderodap"/>
          <w:rFonts w:ascii="Garamond" w:hAnsi="Garamond"/>
        </w:rPr>
        <w:footnoteReference w:id="83"/>
      </w:r>
      <w:r w:rsidRPr="00AE74AE">
        <w:rPr>
          <w:rFonts w:ascii="Garamond" w:hAnsi="Garamond"/>
          <w:lang w:val="pt-PT"/>
        </w:rPr>
        <w:t xml:space="preserve"> </w:t>
      </w:r>
    </w:p>
    <w:p w14:paraId="72F025E6" w14:textId="77777777" w:rsidR="005E6AB0" w:rsidRPr="00AE74AE" w:rsidRDefault="005E6AB0" w:rsidP="00786DEC">
      <w:pPr>
        <w:pStyle w:val="PargrafodaLista"/>
        <w:numPr>
          <w:ilvl w:val="0"/>
          <w:numId w:val="18"/>
        </w:numPr>
        <w:spacing w:after="240"/>
        <w:jc w:val="both"/>
        <w:rPr>
          <w:rFonts w:ascii="Garamond" w:hAnsi="Garamond"/>
          <w:lang w:val="pt-PT"/>
        </w:rPr>
      </w:pPr>
      <w:r w:rsidRPr="00AE74AE">
        <w:rPr>
          <w:rFonts w:ascii="Garamond" w:hAnsi="Garamond"/>
          <w:lang w:val="pt-PT"/>
        </w:rPr>
        <w:t>Institucional, com a criação de serviços com responsabilidades explícitas de género - o Serviço de Inclusão Educativa e Promoção da Cidadania (</w:t>
      </w:r>
      <w:proofErr w:type="spellStart"/>
      <w:r w:rsidRPr="00AE74AE">
        <w:rPr>
          <w:rFonts w:ascii="Garamond" w:hAnsi="Garamond"/>
          <w:lang w:val="pt-PT"/>
        </w:rPr>
        <w:t>SIEPC</w:t>
      </w:r>
      <w:proofErr w:type="spellEnd"/>
      <w:r w:rsidRPr="00AE74AE">
        <w:rPr>
          <w:rFonts w:ascii="Garamond" w:hAnsi="Garamond"/>
          <w:lang w:val="pt-PT"/>
        </w:rPr>
        <w:t xml:space="preserve">) a nível da </w:t>
      </w:r>
      <w:proofErr w:type="spellStart"/>
      <w:r w:rsidRPr="00AE74AE">
        <w:rPr>
          <w:rFonts w:ascii="Garamond" w:hAnsi="Garamond"/>
          <w:lang w:val="pt-PT"/>
        </w:rPr>
        <w:t>DNE</w:t>
      </w:r>
      <w:proofErr w:type="spellEnd"/>
      <w:r w:rsidRPr="00AE74AE">
        <w:rPr>
          <w:rFonts w:ascii="Garamond" w:hAnsi="Garamond"/>
          <w:lang w:val="pt-PT"/>
        </w:rPr>
        <w:t xml:space="preserve"> e os Espaços de Inclusão e Promoção da Cidadania, a nível local, sob a responsabilidade da </w:t>
      </w:r>
      <w:proofErr w:type="spellStart"/>
      <w:r w:rsidRPr="00AE74AE">
        <w:rPr>
          <w:rFonts w:ascii="Garamond" w:hAnsi="Garamond"/>
          <w:lang w:val="pt-PT"/>
        </w:rPr>
        <w:t>subdireção</w:t>
      </w:r>
      <w:proofErr w:type="spellEnd"/>
      <w:r w:rsidRPr="00AE74AE">
        <w:rPr>
          <w:rFonts w:ascii="Garamond" w:hAnsi="Garamond"/>
          <w:lang w:val="pt-PT"/>
        </w:rPr>
        <w:t xml:space="preserve"> pedagógica de todos os agrupamentos escolares;</w:t>
      </w:r>
      <w:r w:rsidRPr="00F500FB">
        <w:rPr>
          <w:rStyle w:val="Refdenotaderodap"/>
          <w:rFonts w:ascii="Garamond" w:hAnsi="Garamond"/>
        </w:rPr>
        <w:footnoteReference w:id="84"/>
      </w:r>
    </w:p>
    <w:p w14:paraId="01EAD355" w14:textId="77777777" w:rsidR="005E6AB0" w:rsidRPr="00AE74AE" w:rsidRDefault="005E6AB0" w:rsidP="00786DEC">
      <w:pPr>
        <w:pStyle w:val="PargrafodaLista"/>
        <w:numPr>
          <w:ilvl w:val="0"/>
          <w:numId w:val="18"/>
        </w:numPr>
        <w:spacing w:after="240"/>
        <w:jc w:val="both"/>
        <w:rPr>
          <w:rFonts w:ascii="Garamond" w:hAnsi="Garamond"/>
          <w:lang w:val="pt-PT"/>
        </w:rPr>
      </w:pPr>
      <w:r w:rsidRPr="00AE74AE">
        <w:rPr>
          <w:rFonts w:ascii="Garamond" w:hAnsi="Garamond"/>
          <w:lang w:val="pt-PT"/>
        </w:rPr>
        <w:t xml:space="preserve">De promoção de práticas educativas em resposta às necessidades específicas de </w:t>
      </w:r>
      <w:r>
        <w:rPr>
          <w:rFonts w:ascii="Garamond" w:hAnsi="Garamond"/>
          <w:lang w:val="pt-PT"/>
        </w:rPr>
        <w:t>alunas e alunos</w:t>
      </w:r>
      <w:r w:rsidRPr="00AE74AE">
        <w:rPr>
          <w:rFonts w:ascii="Garamond" w:hAnsi="Garamond"/>
          <w:lang w:val="pt-PT"/>
        </w:rPr>
        <w:t>, promovendo o acesso, permanência e sucesso das alunas grávidas/mães, bem como o sucesso dos alunos, em particular dos meninos, que têm taxas de reprovação e abandono mais elevadas do que as meninas;</w:t>
      </w:r>
    </w:p>
    <w:p w14:paraId="28BA1136" w14:textId="49A95AE8" w:rsidR="005E6AB0" w:rsidRPr="00AE74AE" w:rsidRDefault="005E6AB0" w:rsidP="00786DEC">
      <w:pPr>
        <w:pStyle w:val="PargrafodaLista"/>
        <w:numPr>
          <w:ilvl w:val="0"/>
          <w:numId w:val="18"/>
        </w:numPr>
        <w:spacing w:after="240"/>
        <w:jc w:val="both"/>
        <w:rPr>
          <w:rFonts w:ascii="Garamond" w:hAnsi="Garamond"/>
          <w:lang w:val="pt-PT"/>
        </w:rPr>
      </w:pPr>
      <w:r w:rsidRPr="00AE74AE">
        <w:rPr>
          <w:rFonts w:ascii="Garamond" w:hAnsi="Garamond"/>
          <w:lang w:val="pt-PT"/>
        </w:rPr>
        <w:t xml:space="preserve">Tolerância zero ao abuso e assédio sexual nas escolas, como já referido no Eixo </w:t>
      </w:r>
      <w:r>
        <w:rPr>
          <w:rFonts w:ascii="Garamond" w:hAnsi="Garamond"/>
          <w:lang w:val="pt-PT"/>
        </w:rPr>
        <w:t>2 -</w:t>
      </w:r>
      <w:r w:rsidRPr="00AE74AE">
        <w:rPr>
          <w:rFonts w:ascii="Garamond" w:hAnsi="Garamond"/>
          <w:lang w:val="pt-PT"/>
        </w:rPr>
        <w:t xml:space="preserve"> </w:t>
      </w:r>
      <w:proofErr w:type="spellStart"/>
      <w:r w:rsidRPr="00AE74AE">
        <w:rPr>
          <w:rFonts w:ascii="Garamond" w:hAnsi="Garamond"/>
          <w:lang w:val="pt-PT"/>
        </w:rPr>
        <w:t>VBG</w:t>
      </w:r>
      <w:proofErr w:type="spellEnd"/>
      <w:r w:rsidRPr="00AE74AE">
        <w:rPr>
          <w:rFonts w:ascii="Garamond" w:hAnsi="Garamond"/>
          <w:lang w:val="pt-PT"/>
        </w:rPr>
        <w:t>.</w:t>
      </w:r>
    </w:p>
    <w:p w14:paraId="05331A57" w14:textId="77777777" w:rsidR="005E6AB0" w:rsidRPr="00AE74AE" w:rsidRDefault="005E6AB0" w:rsidP="005E6AB0">
      <w:pPr>
        <w:spacing w:after="240"/>
        <w:jc w:val="both"/>
        <w:rPr>
          <w:rFonts w:ascii="Garamond" w:hAnsi="Garamond"/>
          <w:lang w:val="pt-PT"/>
        </w:rPr>
      </w:pPr>
      <w:r>
        <w:rPr>
          <w:rFonts w:ascii="Garamond" w:hAnsi="Garamond"/>
          <w:lang w:val="pt-PT"/>
        </w:rPr>
        <w:t>S</w:t>
      </w:r>
      <w:r w:rsidRPr="001C50C8">
        <w:rPr>
          <w:rFonts w:ascii="Garamond" w:hAnsi="Garamond"/>
          <w:lang w:val="pt-PT"/>
        </w:rPr>
        <w:t>erá fundamental consolidar e perenizar estes avanços</w:t>
      </w:r>
      <w:r>
        <w:rPr>
          <w:rFonts w:ascii="Garamond" w:hAnsi="Garamond"/>
          <w:lang w:val="pt-PT"/>
        </w:rPr>
        <w:t>, t</w:t>
      </w:r>
      <w:r w:rsidRPr="00AE74AE">
        <w:rPr>
          <w:rFonts w:ascii="Garamond" w:hAnsi="Garamond"/>
          <w:lang w:val="pt-PT"/>
        </w:rPr>
        <w:t xml:space="preserve">endo em conta a importância estratégica do </w:t>
      </w:r>
      <w:r w:rsidRPr="00041FA6">
        <w:rPr>
          <w:rFonts w:ascii="Garamond" w:hAnsi="Garamond"/>
          <w:b/>
          <w:bCs/>
          <w:lang w:val="pt-PT"/>
        </w:rPr>
        <w:t>sector da educação</w:t>
      </w:r>
      <w:r w:rsidRPr="00AE74AE">
        <w:rPr>
          <w:rFonts w:ascii="Garamond" w:hAnsi="Garamond"/>
          <w:lang w:val="pt-PT"/>
        </w:rPr>
        <w:t xml:space="preserve"> para um trabalho de fundo sobre as atitudes </w:t>
      </w:r>
      <w:r w:rsidRPr="001C50C8">
        <w:rPr>
          <w:rFonts w:ascii="Garamond" w:hAnsi="Garamond"/>
          <w:lang w:val="pt-PT"/>
        </w:rPr>
        <w:t xml:space="preserve">patriarcais e estereótipos discriminatórios, </w:t>
      </w:r>
      <w:r>
        <w:rPr>
          <w:rFonts w:ascii="Garamond" w:hAnsi="Garamond"/>
          <w:lang w:val="pt-PT"/>
        </w:rPr>
        <w:t xml:space="preserve">e </w:t>
      </w:r>
      <w:r w:rsidRPr="001C50C8">
        <w:rPr>
          <w:rFonts w:ascii="Garamond" w:hAnsi="Garamond"/>
          <w:lang w:val="pt-PT"/>
        </w:rPr>
        <w:t>contribu</w:t>
      </w:r>
      <w:r>
        <w:rPr>
          <w:rFonts w:ascii="Garamond" w:hAnsi="Garamond"/>
          <w:lang w:val="pt-PT"/>
        </w:rPr>
        <w:t>to</w:t>
      </w:r>
      <w:r w:rsidRPr="001C50C8">
        <w:rPr>
          <w:rFonts w:ascii="Garamond" w:hAnsi="Garamond"/>
          <w:lang w:val="pt-PT"/>
        </w:rPr>
        <w:t xml:space="preserve"> para o respeito dos direitos fundamentais de meninas e mulheres, em particular para (i) prevenir a violência contra as mulheres; (ii) promover o sucesso escolar de meninas e meninos e adolescentes; (iii) a eliminação da segregação vertical e horizontal; (iv) uma maior co-responsabilidade na vida familiar (tarefas domésticas e educação dos filhos)</w:t>
      </w:r>
      <w:r>
        <w:rPr>
          <w:rFonts w:ascii="Garamond" w:hAnsi="Garamond"/>
          <w:lang w:val="pt-PT"/>
        </w:rPr>
        <w:t xml:space="preserve">. Concomitantemente, será necessário </w:t>
      </w:r>
      <w:r w:rsidRPr="001C50C8">
        <w:rPr>
          <w:rFonts w:ascii="Garamond" w:hAnsi="Garamond"/>
          <w:lang w:val="pt-PT"/>
        </w:rPr>
        <w:t>alcançar o mesmo nível de integração de género, abrangente</w:t>
      </w:r>
      <w:r w:rsidRPr="00AE74AE">
        <w:rPr>
          <w:rFonts w:ascii="Garamond" w:hAnsi="Garamond"/>
          <w:lang w:val="pt-PT"/>
        </w:rPr>
        <w:t xml:space="preserve">, no </w:t>
      </w:r>
      <w:r w:rsidRPr="00041FA6">
        <w:rPr>
          <w:rFonts w:ascii="Garamond" w:hAnsi="Garamond"/>
          <w:b/>
          <w:bCs/>
          <w:lang w:val="pt-PT"/>
        </w:rPr>
        <w:t xml:space="preserve">sistema de formação profissional </w:t>
      </w:r>
      <w:r w:rsidRPr="00AE74AE">
        <w:rPr>
          <w:rFonts w:ascii="Garamond" w:hAnsi="Garamond"/>
          <w:lang w:val="pt-PT"/>
        </w:rPr>
        <w:t xml:space="preserve">e no </w:t>
      </w:r>
      <w:r w:rsidRPr="00041FA6">
        <w:rPr>
          <w:rFonts w:ascii="Garamond" w:hAnsi="Garamond"/>
          <w:b/>
          <w:bCs/>
          <w:lang w:val="pt-PT"/>
        </w:rPr>
        <w:t>ensino superior</w:t>
      </w:r>
      <w:r w:rsidRPr="00AE74AE">
        <w:rPr>
          <w:rFonts w:ascii="Garamond" w:hAnsi="Garamond"/>
          <w:lang w:val="pt-PT"/>
        </w:rPr>
        <w:t xml:space="preserve">. </w:t>
      </w:r>
    </w:p>
    <w:p w14:paraId="14863E4B" w14:textId="77777777" w:rsidR="005E6AB0" w:rsidRPr="00284A4D" w:rsidRDefault="005E6AB0" w:rsidP="005E6AB0">
      <w:pPr>
        <w:jc w:val="both"/>
        <w:rPr>
          <w:rFonts w:ascii="Garamond" w:hAnsi="Garamond"/>
          <w:b/>
          <w:bCs/>
          <w:lang w:val="pt-PT"/>
        </w:rPr>
      </w:pPr>
      <w:r w:rsidRPr="00284A4D">
        <w:rPr>
          <w:rFonts w:ascii="Garamond" w:hAnsi="Garamond"/>
          <w:b/>
          <w:bCs/>
          <w:lang w:val="pt-PT"/>
        </w:rPr>
        <w:t>Curricula</w:t>
      </w:r>
    </w:p>
    <w:p w14:paraId="7D10900B" w14:textId="77777777" w:rsidR="005E6AB0" w:rsidRPr="001C50C8" w:rsidRDefault="005E6AB0" w:rsidP="005E6AB0">
      <w:pPr>
        <w:spacing w:after="240"/>
        <w:jc w:val="both"/>
        <w:rPr>
          <w:rFonts w:ascii="Garamond" w:hAnsi="Garamond"/>
          <w:lang w:val="pt-PT"/>
        </w:rPr>
      </w:pPr>
      <w:r w:rsidRPr="00AE74AE">
        <w:rPr>
          <w:rFonts w:ascii="Garamond" w:hAnsi="Garamond"/>
          <w:lang w:val="pt-PT"/>
        </w:rPr>
        <w:t xml:space="preserve">Está em curso a integração da educação para a igualdade de género nos conteúdos dos materiais </w:t>
      </w:r>
      <w:proofErr w:type="spellStart"/>
      <w:r w:rsidRPr="00AE74AE">
        <w:rPr>
          <w:rFonts w:ascii="Garamond" w:hAnsi="Garamond"/>
          <w:lang w:val="pt-PT"/>
        </w:rPr>
        <w:t>didáticos</w:t>
      </w:r>
      <w:proofErr w:type="spellEnd"/>
      <w:r w:rsidRPr="00AE74AE">
        <w:rPr>
          <w:rFonts w:ascii="Garamond" w:hAnsi="Garamond"/>
          <w:lang w:val="pt-PT"/>
        </w:rPr>
        <w:t xml:space="preserve"> (programas, cadernos e guias do(a) professor(a), bem como ilustrações e linguagem sensível ao género: </w:t>
      </w:r>
      <w:bookmarkStart w:id="78" w:name="_Hlk7781107"/>
      <w:r w:rsidRPr="00AE74AE">
        <w:rPr>
          <w:rFonts w:ascii="Garamond" w:hAnsi="Garamond"/>
          <w:lang w:val="pt-PT"/>
        </w:rPr>
        <w:t xml:space="preserve">a implementação nas escolas do novo Plano Curricular do Ensino Básico teve início em Setembro de 2017 e decorre até ao ano </w:t>
      </w:r>
      <w:proofErr w:type="spellStart"/>
      <w:r w:rsidRPr="00AE74AE">
        <w:rPr>
          <w:rFonts w:ascii="Garamond" w:hAnsi="Garamond"/>
          <w:lang w:val="pt-PT"/>
        </w:rPr>
        <w:t>letivo</w:t>
      </w:r>
      <w:proofErr w:type="spellEnd"/>
      <w:r w:rsidRPr="00AE74AE">
        <w:rPr>
          <w:rFonts w:ascii="Garamond" w:hAnsi="Garamond"/>
          <w:lang w:val="pt-PT"/>
        </w:rPr>
        <w:t xml:space="preserve"> 2020/2021, de forma faseada.</w:t>
      </w:r>
      <w:r w:rsidRPr="00F500FB">
        <w:rPr>
          <w:rStyle w:val="Refdenotaderodap"/>
          <w:rFonts w:ascii="Garamond" w:hAnsi="Garamond"/>
        </w:rPr>
        <w:footnoteReference w:id="85"/>
      </w:r>
      <w:r w:rsidRPr="00AE74AE">
        <w:rPr>
          <w:rFonts w:ascii="Garamond" w:hAnsi="Garamond"/>
          <w:lang w:val="pt-PT"/>
        </w:rPr>
        <w:t xml:space="preserve"> O novo Plano Curricular do Ensino Secundário será implementado a partir de 2021</w:t>
      </w:r>
      <w:bookmarkEnd w:id="78"/>
      <w:r w:rsidRPr="00AE74AE">
        <w:rPr>
          <w:rFonts w:ascii="Garamond" w:hAnsi="Garamond"/>
          <w:lang w:val="pt-PT"/>
        </w:rPr>
        <w:t xml:space="preserve">. Ainda, </w:t>
      </w:r>
      <w:bookmarkStart w:id="79" w:name="_Hlk5286122"/>
      <w:r w:rsidRPr="00AE74AE">
        <w:rPr>
          <w:rFonts w:ascii="Garamond" w:hAnsi="Garamond"/>
          <w:lang w:val="pt-PT"/>
        </w:rPr>
        <w:t xml:space="preserve">a introdução da educação sexual no ensino básico e secundário, alem do tratamento que já é dado em algumas disciplinas específicas, está sendo equacionada e, </w:t>
      </w:r>
      <w:r w:rsidRPr="001C50C8">
        <w:rPr>
          <w:rFonts w:ascii="Garamond" w:hAnsi="Garamond"/>
          <w:lang w:val="pt-PT"/>
        </w:rPr>
        <w:t xml:space="preserve">no caso do pré-escolar, esta questão já foi integrada no </w:t>
      </w:r>
      <w:r w:rsidRPr="001C50C8">
        <w:rPr>
          <w:rFonts w:ascii="Garamond" w:hAnsi="Garamond"/>
          <w:i/>
          <w:iCs/>
          <w:lang w:val="pt-PT"/>
        </w:rPr>
        <w:t xml:space="preserve">Guia de </w:t>
      </w:r>
      <w:proofErr w:type="spellStart"/>
      <w:r w:rsidRPr="001C50C8">
        <w:rPr>
          <w:rFonts w:ascii="Garamond" w:hAnsi="Garamond"/>
          <w:i/>
          <w:iCs/>
          <w:lang w:val="pt-PT"/>
        </w:rPr>
        <w:t>Atividades</w:t>
      </w:r>
      <w:proofErr w:type="spellEnd"/>
      <w:r w:rsidRPr="001C50C8">
        <w:rPr>
          <w:rFonts w:ascii="Garamond" w:hAnsi="Garamond"/>
          <w:i/>
          <w:iCs/>
          <w:lang w:val="pt-PT"/>
        </w:rPr>
        <w:t xml:space="preserve"> Curriculares e Orientações Pedagógicas para o Pré-escolar</w:t>
      </w:r>
      <w:r w:rsidRPr="001C50C8">
        <w:rPr>
          <w:rFonts w:ascii="Garamond" w:hAnsi="Garamond"/>
          <w:lang w:val="pt-PT"/>
        </w:rPr>
        <w:t>. De referir que a Lei de Bases da Educação, revista em 2018,</w:t>
      </w:r>
      <w:r w:rsidRPr="001C50C8">
        <w:rPr>
          <w:rStyle w:val="Refdenotaderodap"/>
          <w:rFonts w:ascii="Garamond" w:hAnsi="Garamond"/>
        </w:rPr>
        <w:footnoteReference w:id="86"/>
      </w:r>
      <w:r w:rsidRPr="001C50C8">
        <w:rPr>
          <w:rFonts w:ascii="Garamond" w:hAnsi="Garamond"/>
          <w:lang w:val="pt-PT"/>
        </w:rPr>
        <w:t xml:space="preserve"> introduz os compromissos assumidos com a universalização do pré-escolar a partir dos 4 anos, o que implica o desenvolvimento de vários instrumentos</w:t>
      </w:r>
      <w:r>
        <w:rPr>
          <w:rFonts w:ascii="Garamond" w:hAnsi="Garamond"/>
          <w:lang w:val="pt-PT"/>
        </w:rPr>
        <w:t xml:space="preserve"> de apoio ao ensino, sendo que o currículo já integra a </w:t>
      </w:r>
      <w:r w:rsidRPr="00F22EFE">
        <w:rPr>
          <w:rFonts w:ascii="Garamond" w:hAnsi="Garamond"/>
          <w:lang w:val="pt-PT"/>
        </w:rPr>
        <w:t>educação para a igualdade, diversidade e não violência</w:t>
      </w:r>
      <w:r w:rsidRPr="001C50C8">
        <w:rPr>
          <w:rFonts w:ascii="Garamond" w:hAnsi="Garamond"/>
          <w:lang w:val="pt-PT"/>
        </w:rPr>
        <w:t xml:space="preserve">.  </w:t>
      </w:r>
    </w:p>
    <w:p w14:paraId="7F72FD2A" w14:textId="77777777" w:rsidR="005E6AB0" w:rsidRPr="00F22EFE" w:rsidRDefault="005E6AB0" w:rsidP="005E6AB0">
      <w:pPr>
        <w:spacing w:after="240"/>
        <w:jc w:val="both"/>
        <w:rPr>
          <w:rFonts w:ascii="Garamond" w:hAnsi="Garamond"/>
          <w:lang w:val="pt-PT"/>
        </w:rPr>
      </w:pPr>
      <w:r w:rsidRPr="00AE74AE">
        <w:rPr>
          <w:rFonts w:ascii="Garamond" w:hAnsi="Garamond"/>
          <w:lang w:val="pt-PT"/>
        </w:rPr>
        <w:t xml:space="preserve">No ensino superior, houve integração de módulos e/ou conteúdos de género em 4 cursos ministrados </w:t>
      </w:r>
      <w:proofErr w:type="spellStart"/>
      <w:r w:rsidRPr="00AE74AE">
        <w:rPr>
          <w:rFonts w:ascii="Garamond" w:hAnsi="Garamond"/>
          <w:lang w:val="pt-PT"/>
        </w:rPr>
        <w:t>pela</w:t>
      </w:r>
      <w:proofErr w:type="spellEnd"/>
      <w:r w:rsidRPr="00AE74AE">
        <w:rPr>
          <w:rFonts w:ascii="Garamond" w:hAnsi="Garamond"/>
          <w:lang w:val="pt-PT"/>
        </w:rPr>
        <w:t xml:space="preserve"> </w:t>
      </w:r>
      <w:proofErr w:type="spellStart"/>
      <w:r w:rsidRPr="00AE74AE">
        <w:rPr>
          <w:rFonts w:ascii="Garamond" w:hAnsi="Garamond"/>
          <w:lang w:val="pt-PT"/>
        </w:rPr>
        <w:t>UniCV</w:t>
      </w:r>
      <w:proofErr w:type="spellEnd"/>
      <w:r w:rsidRPr="00AE74AE">
        <w:rPr>
          <w:rFonts w:ascii="Garamond" w:hAnsi="Garamond"/>
          <w:lang w:val="pt-PT"/>
        </w:rPr>
        <w:t xml:space="preserve">.  Contudo, a integração curricular neste nível de ensino está muito aquém das potencialidades, carecendo de um maior engajamento institucional. Através do </w:t>
      </w:r>
      <w:proofErr w:type="spellStart"/>
      <w:r w:rsidRPr="00AE74AE">
        <w:rPr>
          <w:rFonts w:ascii="Garamond" w:hAnsi="Garamond"/>
          <w:lang w:val="pt-PT"/>
        </w:rPr>
        <w:t>CIGEF</w:t>
      </w:r>
      <w:proofErr w:type="spellEnd"/>
      <w:r w:rsidRPr="00AE74AE">
        <w:rPr>
          <w:rFonts w:ascii="Garamond" w:hAnsi="Garamond"/>
          <w:lang w:val="pt-PT"/>
        </w:rPr>
        <w:t xml:space="preserve">, a </w:t>
      </w:r>
      <w:proofErr w:type="spellStart"/>
      <w:r w:rsidRPr="00AE74AE">
        <w:rPr>
          <w:rFonts w:ascii="Garamond" w:hAnsi="Garamond"/>
          <w:lang w:val="pt-PT"/>
        </w:rPr>
        <w:t>UniCV</w:t>
      </w:r>
      <w:proofErr w:type="spellEnd"/>
      <w:r w:rsidRPr="00AE74AE">
        <w:rPr>
          <w:rFonts w:ascii="Garamond" w:hAnsi="Garamond"/>
          <w:lang w:val="pt-PT"/>
        </w:rPr>
        <w:t xml:space="preserve"> tem integrado a igualdade de género em outras dimensões da instituição, incluindo na investigação, publicações, fóruns de discussão, colaboração na realização de estudos, actividades de extensão, formação/cursos livres. Contudo, a adesão dos estudantes e pessoal administrativo é bem mais marcada do que a dos docentes.</w:t>
      </w:r>
      <w:r w:rsidRPr="00F500FB">
        <w:rPr>
          <w:rStyle w:val="Refdenotaderodap"/>
          <w:rFonts w:ascii="Garamond" w:hAnsi="Garamond"/>
        </w:rPr>
        <w:footnoteReference w:id="87"/>
      </w:r>
      <w:r>
        <w:rPr>
          <w:rFonts w:ascii="Garamond" w:hAnsi="Garamond"/>
          <w:lang w:val="pt-PT"/>
        </w:rPr>
        <w:t xml:space="preserve"> A </w:t>
      </w:r>
      <w:proofErr w:type="spellStart"/>
      <w:r>
        <w:rPr>
          <w:rFonts w:ascii="Garamond" w:hAnsi="Garamond"/>
          <w:lang w:val="pt-PT"/>
        </w:rPr>
        <w:t>UniCV</w:t>
      </w:r>
      <w:proofErr w:type="spellEnd"/>
      <w:r>
        <w:rPr>
          <w:rFonts w:ascii="Garamond" w:hAnsi="Garamond"/>
          <w:lang w:val="pt-PT"/>
        </w:rPr>
        <w:t xml:space="preserve"> tem em curso </w:t>
      </w:r>
      <w:r w:rsidRPr="00F22EFE">
        <w:rPr>
          <w:rFonts w:ascii="Garamond" w:hAnsi="Garamond"/>
          <w:lang w:val="pt-PT"/>
        </w:rPr>
        <w:t>um diagnóstico sobre as políticas de género da instituição</w:t>
      </w:r>
      <w:r>
        <w:rPr>
          <w:rFonts w:ascii="Garamond" w:hAnsi="Garamond"/>
          <w:lang w:val="pt-PT"/>
        </w:rPr>
        <w:t>.</w:t>
      </w:r>
    </w:p>
    <w:p w14:paraId="7967282B" w14:textId="77777777" w:rsidR="005E6AB0" w:rsidRPr="00AE74AE" w:rsidRDefault="005E6AB0" w:rsidP="005E6AB0">
      <w:pPr>
        <w:jc w:val="both"/>
        <w:rPr>
          <w:rFonts w:ascii="Garamond" w:hAnsi="Garamond"/>
          <w:lang w:val="pt-PT"/>
        </w:rPr>
      </w:pPr>
      <w:r w:rsidRPr="00AE74AE">
        <w:rPr>
          <w:rFonts w:ascii="Garamond" w:hAnsi="Garamond"/>
          <w:lang w:val="pt-PT"/>
        </w:rPr>
        <w:t xml:space="preserve">No que tange à formação profissional, </w:t>
      </w:r>
      <w:bookmarkStart w:id="80" w:name="_Hlk7604525"/>
      <w:r w:rsidRPr="00AE74AE">
        <w:rPr>
          <w:rFonts w:ascii="Garamond" w:hAnsi="Garamond"/>
          <w:lang w:val="pt-PT"/>
        </w:rPr>
        <w:t xml:space="preserve">o </w:t>
      </w:r>
      <w:r w:rsidRPr="00AE74AE">
        <w:rPr>
          <w:rFonts w:ascii="Garamond" w:hAnsi="Garamond"/>
          <w:i/>
          <w:lang w:val="pt-PT"/>
        </w:rPr>
        <w:t xml:space="preserve">Roteiro para uma Estratégia de Igualdade de Género no </w:t>
      </w:r>
      <w:proofErr w:type="spellStart"/>
      <w:r w:rsidRPr="00AE74AE">
        <w:rPr>
          <w:rFonts w:ascii="Garamond" w:hAnsi="Garamond"/>
          <w:i/>
          <w:lang w:val="pt-PT"/>
        </w:rPr>
        <w:t>setor</w:t>
      </w:r>
      <w:proofErr w:type="spellEnd"/>
      <w:r w:rsidRPr="00AE74AE">
        <w:rPr>
          <w:rFonts w:ascii="Garamond" w:hAnsi="Garamond"/>
          <w:i/>
          <w:lang w:val="pt-PT"/>
        </w:rPr>
        <w:t xml:space="preserve"> da Educação-Formação-Emprego (EFE)</w:t>
      </w:r>
      <w:r w:rsidRPr="00AE74AE">
        <w:rPr>
          <w:rFonts w:ascii="Garamond" w:hAnsi="Garamond"/>
          <w:lang w:val="pt-PT"/>
        </w:rPr>
        <w:t xml:space="preserve">, de </w:t>
      </w:r>
      <w:r w:rsidRPr="00AE74AE">
        <w:rPr>
          <w:rFonts w:ascii="Garamond" w:hAnsi="Garamond"/>
          <w:color w:val="FF0000"/>
          <w:lang w:val="pt-PT"/>
        </w:rPr>
        <w:t>2017</w:t>
      </w:r>
      <w:bookmarkEnd w:id="80"/>
      <w:r w:rsidRPr="00AE74AE">
        <w:rPr>
          <w:rFonts w:ascii="Garamond" w:hAnsi="Garamond"/>
          <w:lang w:val="pt-PT"/>
        </w:rPr>
        <w:t xml:space="preserve">, tem como uma das principais medidas a integração da igualdade de género nos currículos dos cursos de formação profissional e na capacitação dos formadores e das formadoras. Foi elaborado de forma participativa um módulo sobre igualdade de género para os cursos de formação profissional, através de uma parceria entre o </w:t>
      </w:r>
      <w:proofErr w:type="spellStart"/>
      <w:r w:rsidRPr="00AE74AE">
        <w:rPr>
          <w:rFonts w:ascii="Garamond" w:hAnsi="Garamond"/>
          <w:lang w:val="pt-PT"/>
        </w:rPr>
        <w:t>ICIEG</w:t>
      </w:r>
      <w:proofErr w:type="spellEnd"/>
      <w:r w:rsidRPr="00AE74AE">
        <w:rPr>
          <w:rFonts w:ascii="Garamond" w:hAnsi="Garamond"/>
          <w:lang w:val="pt-PT"/>
        </w:rPr>
        <w:t xml:space="preserve">, IEFP, </w:t>
      </w:r>
      <w:proofErr w:type="spellStart"/>
      <w:r w:rsidRPr="00AE74AE">
        <w:rPr>
          <w:rFonts w:ascii="Garamond" w:hAnsi="Garamond"/>
          <w:lang w:val="pt-PT"/>
        </w:rPr>
        <w:t>EHTCV</w:t>
      </w:r>
      <w:proofErr w:type="spellEnd"/>
      <w:r w:rsidRPr="00AE74AE">
        <w:rPr>
          <w:rFonts w:ascii="Garamond" w:hAnsi="Garamond"/>
          <w:lang w:val="pt-PT"/>
        </w:rPr>
        <w:t xml:space="preserve"> e </w:t>
      </w:r>
      <w:proofErr w:type="spellStart"/>
      <w:r w:rsidRPr="00AE74AE">
        <w:rPr>
          <w:rFonts w:ascii="Garamond" w:hAnsi="Garamond"/>
          <w:lang w:val="pt-PT"/>
        </w:rPr>
        <w:t>CERMI</w:t>
      </w:r>
      <w:proofErr w:type="spellEnd"/>
      <w:r w:rsidRPr="00AE74AE">
        <w:rPr>
          <w:rFonts w:ascii="Garamond" w:hAnsi="Garamond"/>
          <w:lang w:val="pt-PT"/>
        </w:rPr>
        <w:t xml:space="preserve"> e formados técnico(a)s destas instituições. Com base nestes recursos, o IEFP irá planificar cursos de formação do(a)s </w:t>
      </w:r>
      <w:proofErr w:type="spellStart"/>
      <w:r w:rsidRPr="00AE74AE">
        <w:rPr>
          <w:rFonts w:ascii="Garamond" w:hAnsi="Garamond"/>
          <w:lang w:val="pt-PT"/>
        </w:rPr>
        <w:t>formadore</w:t>
      </w:r>
      <w:proofErr w:type="spellEnd"/>
      <w:r w:rsidRPr="00AE74AE">
        <w:rPr>
          <w:rFonts w:ascii="Garamond" w:hAnsi="Garamond"/>
          <w:lang w:val="pt-PT"/>
        </w:rPr>
        <w:t xml:space="preserve">(a)s que colaboram com o sistema formação profissional, devendo ser actualizado o perfil de competências para a acreditação do(a)s </w:t>
      </w:r>
      <w:proofErr w:type="spellStart"/>
      <w:r w:rsidRPr="00AE74AE">
        <w:rPr>
          <w:rFonts w:ascii="Garamond" w:hAnsi="Garamond"/>
          <w:lang w:val="pt-PT"/>
        </w:rPr>
        <w:t>formadore</w:t>
      </w:r>
      <w:proofErr w:type="spellEnd"/>
      <w:r w:rsidRPr="00AE74AE">
        <w:rPr>
          <w:rFonts w:ascii="Garamond" w:hAnsi="Garamond"/>
          <w:lang w:val="pt-PT"/>
        </w:rPr>
        <w:t>(a)s, para que seja clara a obrigatoriedade de possuírem competências de género. Concomitantemente, é necessário perspectivar a inclusão transversal do modulo de género em todos os cursos de formação profissional (com conteúdos essenciais comuns a todos os cursos, e conteúdos específicos pertinentes, a integrar em módulos específicos dos cursos).</w:t>
      </w:r>
    </w:p>
    <w:bookmarkEnd w:id="79"/>
    <w:p w14:paraId="057CF9D4" w14:textId="77777777" w:rsidR="005E6AB0" w:rsidRPr="001C50C8" w:rsidRDefault="005E6AB0" w:rsidP="00786DEC">
      <w:pPr>
        <w:pStyle w:val="PargrafodaLista"/>
        <w:numPr>
          <w:ilvl w:val="0"/>
          <w:numId w:val="19"/>
        </w:numPr>
        <w:spacing w:after="240"/>
        <w:jc w:val="both"/>
        <w:rPr>
          <w:rFonts w:ascii="Garamond" w:hAnsi="Garamond"/>
          <w:lang w:val="pt-PT"/>
        </w:rPr>
      </w:pPr>
      <w:r>
        <w:rPr>
          <w:rFonts w:ascii="Garamond" w:hAnsi="Garamond"/>
          <w:lang w:val="pt-PT"/>
        </w:rPr>
        <w:t>Deverá se</w:t>
      </w:r>
      <w:r w:rsidRPr="00AE74AE">
        <w:rPr>
          <w:rFonts w:ascii="Garamond" w:hAnsi="Garamond"/>
          <w:lang w:val="pt-PT"/>
        </w:rPr>
        <w:t xml:space="preserve"> dar continuidade à integração do género nos </w:t>
      </w:r>
      <w:proofErr w:type="spellStart"/>
      <w:r w:rsidRPr="00AE74AE">
        <w:rPr>
          <w:rFonts w:ascii="Garamond" w:hAnsi="Garamond"/>
          <w:lang w:val="pt-PT"/>
        </w:rPr>
        <w:t>currícula</w:t>
      </w:r>
      <w:proofErr w:type="spellEnd"/>
      <w:r w:rsidRPr="00AE74AE">
        <w:rPr>
          <w:rFonts w:ascii="Garamond" w:hAnsi="Garamond"/>
          <w:lang w:val="pt-PT"/>
        </w:rPr>
        <w:t xml:space="preserve"> do ensino básico e secundário, </w:t>
      </w:r>
      <w:r>
        <w:rPr>
          <w:rFonts w:ascii="Garamond" w:hAnsi="Garamond"/>
          <w:lang w:val="pt-PT"/>
        </w:rPr>
        <w:t xml:space="preserve">e </w:t>
      </w:r>
      <w:r w:rsidRPr="00AE74AE">
        <w:rPr>
          <w:rFonts w:ascii="Garamond" w:hAnsi="Garamond"/>
          <w:lang w:val="pt-PT"/>
        </w:rPr>
        <w:t xml:space="preserve">acompanhar e avaliar a sua efectiva implementação, </w:t>
      </w:r>
      <w:r w:rsidRPr="001C50C8">
        <w:rPr>
          <w:rFonts w:ascii="Garamond" w:hAnsi="Garamond"/>
          <w:lang w:val="pt-PT"/>
        </w:rPr>
        <w:t xml:space="preserve">mediante uma análise da implementação dos currículos revistos e respectivos materiais didáctico-pedagógicos (programas, cadernos e guias do(a) professor(a), e orientações e guias no caso do pré-escolar), documentando as boas práticas e oportunidades de aprofundamento, e elaborando recomendações para a consolidação da </w:t>
      </w:r>
      <w:proofErr w:type="spellStart"/>
      <w:r w:rsidRPr="001C50C8">
        <w:rPr>
          <w:rFonts w:ascii="Garamond" w:hAnsi="Garamond"/>
          <w:lang w:val="pt-PT"/>
        </w:rPr>
        <w:t>transversalização</w:t>
      </w:r>
      <w:proofErr w:type="spellEnd"/>
      <w:r w:rsidRPr="001C50C8">
        <w:rPr>
          <w:rFonts w:ascii="Garamond" w:hAnsi="Garamond"/>
          <w:lang w:val="pt-PT"/>
        </w:rPr>
        <w:t xml:space="preserve"> da igualdade de género e co-responsabilidade nos currículos.</w:t>
      </w:r>
    </w:p>
    <w:p w14:paraId="2688E567" w14:textId="77777777" w:rsidR="005E6AB0" w:rsidRPr="00E9141A" w:rsidRDefault="005E6AB0" w:rsidP="00786DEC">
      <w:pPr>
        <w:pStyle w:val="PargrafodaLista"/>
        <w:numPr>
          <w:ilvl w:val="0"/>
          <w:numId w:val="19"/>
        </w:numPr>
        <w:spacing w:after="240"/>
        <w:jc w:val="both"/>
        <w:rPr>
          <w:rFonts w:ascii="Garamond" w:hAnsi="Garamond"/>
          <w:lang w:val="pt-PT"/>
        </w:rPr>
      </w:pPr>
      <w:r w:rsidRPr="001C50C8">
        <w:rPr>
          <w:rFonts w:ascii="Garamond" w:hAnsi="Garamond"/>
          <w:lang w:val="pt-PT"/>
        </w:rPr>
        <w:t xml:space="preserve">Da mesma forma deverão ser acompanhados os trabalhos para a elaboração da proposta de educação sexual, garantindo que seja baseada numa perspectiva de direitos </w:t>
      </w:r>
      <w:r w:rsidRPr="00AE74AE">
        <w:rPr>
          <w:rFonts w:ascii="Garamond" w:hAnsi="Garamond"/>
          <w:lang w:val="pt-PT"/>
        </w:rPr>
        <w:t>humanos e sensível ao género, do pré-escolar ao secundário</w:t>
      </w:r>
      <w:r>
        <w:rPr>
          <w:rFonts w:ascii="Garamond" w:hAnsi="Garamond"/>
          <w:lang w:val="pt-PT"/>
        </w:rPr>
        <w:t xml:space="preserve"> </w:t>
      </w:r>
      <w:r w:rsidRPr="00AB7041">
        <w:rPr>
          <w:rFonts w:ascii="Garamond" w:hAnsi="Garamond"/>
          <w:color w:val="7030A0"/>
          <w:lang w:val="pt-PT"/>
        </w:rPr>
        <w:t>(</w:t>
      </w:r>
      <w:r w:rsidRPr="00E9141A">
        <w:rPr>
          <w:rFonts w:ascii="Garamond" w:hAnsi="Garamond"/>
          <w:lang w:val="pt-PT"/>
        </w:rPr>
        <w:t>medida que fará parte do Eixo 4)</w:t>
      </w:r>
      <w:r>
        <w:rPr>
          <w:rFonts w:ascii="Garamond" w:hAnsi="Garamond"/>
          <w:lang w:val="pt-PT"/>
        </w:rPr>
        <w:t>.</w:t>
      </w:r>
    </w:p>
    <w:p w14:paraId="6CD55A69" w14:textId="77777777" w:rsidR="005E6AB0" w:rsidRPr="001C50C8" w:rsidRDefault="005E6AB0" w:rsidP="00786DEC">
      <w:pPr>
        <w:pStyle w:val="PargrafodaLista"/>
        <w:numPr>
          <w:ilvl w:val="0"/>
          <w:numId w:val="19"/>
        </w:numPr>
        <w:spacing w:after="240"/>
        <w:jc w:val="both"/>
        <w:rPr>
          <w:rFonts w:ascii="Garamond" w:hAnsi="Garamond"/>
          <w:lang w:val="pt-PT"/>
        </w:rPr>
      </w:pPr>
      <w:r w:rsidRPr="00AE74AE">
        <w:rPr>
          <w:rFonts w:ascii="Garamond" w:hAnsi="Garamond"/>
          <w:lang w:val="pt-PT"/>
        </w:rPr>
        <w:t xml:space="preserve">Vários </w:t>
      </w:r>
      <w:proofErr w:type="spellStart"/>
      <w:r w:rsidRPr="00AE74AE">
        <w:rPr>
          <w:rFonts w:ascii="Garamond" w:hAnsi="Garamond"/>
          <w:lang w:val="pt-PT"/>
        </w:rPr>
        <w:t>atores</w:t>
      </w:r>
      <w:proofErr w:type="spellEnd"/>
      <w:r w:rsidRPr="00AE74AE">
        <w:rPr>
          <w:rFonts w:ascii="Garamond" w:hAnsi="Garamond"/>
          <w:lang w:val="pt-PT"/>
        </w:rPr>
        <w:t xml:space="preserve"> são fundamentais para a implementação dos curricula revistos, neste sentido os professores no </w:t>
      </w:r>
      <w:proofErr w:type="spellStart"/>
      <w:r w:rsidRPr="00AE74AE">
        <w:rPr>
          <w:rFonts w:ascii="Garamond" w:hAnsi="Garamond"/>
          <w:lang w:val="pt-PT"/>
        </w:rPr>
        <w:t>ativo</w:t>
      </w:r>
      <w:proofErr w:type="spellEnd"/>
      <w:r w:rsidRPr="00AE74AE">
        <w:rPr>
          <w:rFonts w:ascii="Garamond" w:hAnsi="Garamond"/>
          <w:lang w:val="pt-PT"/>
        </w:rPr>
        <w:t xml:space="preserve"> nos vários níveis da educação, bem como o(a)s técnico(a)s responsáveis </w:t>
      </w:r>
      <w:proofErr w:type="spellStart"/>
      <w:r w:rsidRPr="00AE74AE">
        <w:rPr>
          <w:rFonts w:ascii="Garamond" w:hAnsi="Garamond"/>
          <w:lang w:val="pt-PT"/>
        </w:rPr>
        <w:t>pela</w:t>
      </w:r>
      <w:proofErr w:type="spellEnd"/>
      <w:r w:rsidRPr="00AE74AE">
        <w:rPr>
          <w:rFonts w:ascii="Garamond" w:hAnsi="Garamond"/>
          <w:lang w:val="pt-PT"/>
        </w:rPr>
        <w:t xml:space="preserve"> supervisão pedagógica e inspecção no sector da educação devem ter </w:t>
      </w:r>
      <w:r w:rsidRPr="001C50C8">
        <w:rPr>
          <w:rFonts w:ascii="Garamond" w:hAnsi="Garamond"/>
          <w:lang w:val="pt-PT"/>
        </w:rPr>
        <w:t>acesso a formação sobre igualdade de género</w:t>
      </w:r>
      <w:r>
        <w:rPr>
          <w:rFonts w:ascii="Garamond" w:hAnsi="Garamond"/>
          <w:lang w:val="pt-PT"/>
        </w:rPr>
        <w:t>.</w:t>
      </w:r>
      <w:r w:rsidRPr="001C50C8">
        <w:rPr>
          <w:rFonts w:ascii="Garamond" w:hAnsi="Garamond"/>
          <w:lang w:val="pt-PT"/>
        </w:rPr>
        <w:t xml:space="preserve"> </w:t>
      </w:r>
    </w:p>
    <w:p w14:paraId="4FFA5E9C" w14:textId="77777777" w:rsidR="005E6AB0" w:rsidRPr="001C50C8" w:rsidRDefault="005E6AB0" w:rsidP="00786DEC">
      <w:pPr>
        <w:pStyle w:val="PargrafodaLista"/>
        <w:numPr>
          <w:ilvl w:val="0"/>
          <w:numId w:val="19"/>
        </w:numPr>
        <w:spacing w:after="240"/>
        <w:jc w:val="both"/>
        <w:rPr>
          <w:rFonts w:ascii="Garamond" w:hAnsi="Garamond"/>
          <w:lang w:val="pt-PT"/>
        </w:rPr>
      </w:pPr>
      <w:r w:rsidRPr="001C50C8">
        <w:rPr>
          <w:rFonts w:ascii="Garamond" w:hAnsi="Garamond"/>
          <w:lang w:val="pt-PT"/>
        </w:rPr>
        <w:t>Já para os professores que estão em formação, poderá se assegurar que todos saem das instituições de formação de professores com as competências que necessitam para leccionar conteúdos de género e educação sexual, tendo em conta as alterações curriculares. Isto poderá ser feito mediante a inclusão de uma disciplina específica e integração de conteúdos em outras disciplinas, em particular as de didáctica de áreas específicas.</w:t>
      </w:r>
    </w:p>
    <w:p w14:paraId="530C793D" w14:textId="77777777" w:rsidR="005E6AB0" w:rsidRPr="001C50C8" w:rsidRDefault="005E6AB0" w:rsidP="00786DEC">
      <w:pPr>
        <w:pStyle w:val="PargrafodaLista"/>
        <w:numPr>
          <w:ilvl w:val="0"/>
          <w:numId w:val="19"/>
        </w:numPr>
        <w:spacing w:after="240" w:line="259" w:lineRule="auto"/>
        <w:jc w:val="both"/>
        <w:rPr>
          <w:rFonts w:ascii="Garamond" w:hAnsi="Garamond"/>
          <w:lang w:val="pt-PT"/>
        </w:rPr>
      </w:pPr>
      <w:r w:rsidRPr="001C50C8">
        <w:rPr>
          <w:rFonts w:ascii="Garamond" w:hAnsi="Garamond"/>
          <w:lang w:val="pt-PT"/>
        </w:rPr>
        <w:t xml:space="preserve">No caso do ensino superior é importante impulsionar a integração curricular da igualdade de género na </w:t>
      </w:r>
      <w:proofErr w:type="spellStart"/>
      <w:r w:rsidRPr="001C50C8">
        <w:rPr>
          <w:rFonts w:ascii="Garamond" w:hAnsi="Garamond"/>
          <w:lang w:val="pt-PT"/>
        </w:rPr>
        <w:t>UniCV</w:t>
      </w:r>
      <w:proofErr w:type="spellEnd"/>
      <w:r w:rsidRPr="001C50C8">
        <w:rPr>
          <w:rFonts w:ascii="Garamond" w:hAnsi="Garamond"/>
          <w:lang w:val="pt-PT"/>
        </w:rPr>
        <w:t xml:space="preserve">, enquanto universidade pública, estimulando também as demais universidades. Poderão ser priorizados alguns cursos superiores (ex. Enfermagem, Comunicação Social, Direito, Economia, Estatística, Matemática, entre outros), elaborando uma proposta de integração curricular do género, mediante uma metodologia participativa, e testando e implementado a proposta. </w:t>
      </w:r>
    </w:p>
    <w:p w14:paraId="2093E896" w14:textId="77777777" w:rsidR="005E6AB0" w:rsidRPr="001C50C8" w:rsidRDefault="005E6AB0" w:rsidP="00786DEC">
      <w:pPr>
        <w:pStyle w:val="PargrafodaLista"/>
        <w:numPr>
          <w:ilvl w:val="0"/>
          <w:numId w:val="19"/>
        </w:numPr>
        <w:spacing w:after="240" w:line="259" w:lineRule="auto"/>
        <w:jc w:val="both"/>
        <w:rPr>
          <w:rFonts w:ascii="Garamond" w:hAnsi="Garamond"/>
          <w:lang w:val="pt-PT"/>
        </w:rPr>
      </w:pPr>
      <w:r w:rsidRPr="00D542EA">
        <w:rPr>
          <w:rFonts w:ascii="Garamond" w:hAnsi="Garamond"/>
          <w:lang w:val="pt-PT"/>
        </w:rPr>
        <w:t>Ao mesmo tempo</w:t>
      </w:r>
      <w:r>
        <w:rPr>
          <w:rFonts w:ascii="Garamond" w:hAnsi="Garamond"/>
          <w:lang w:val="pt-PT"/>
        </w:rPr>
        <w:t xml:space="preserve">, </w:t>
      </w:r>
      <w:r w:rsidRPr="00D542EA">
        <w:rPr>
          <w:rFonts w:ascii="Garamond" w:hAnsi="Garamond"/>
          <w:lang w:val="pt-PT"/>
        </w:rPr>
        <w:t>implementa</w:t>
      </w:r>
      <w:r>
        <w:rPr>
          <w:rFonts w:ascii="Garamond" w:hAnsi="Garamond"/>
          <w:lang w:val="pt-PT"/>
        </w:rPr>
        <w:t>r</w:t>
      </w:r>
      <w:r w:rsidRPr="00D542EA">
        <w:rPr>
          <w:rFonts w:ascii="Garamond" w:hAnsi="Garamond"/>
          <w:lang w:val="pt-PT"/>
        </w:rPr>
        <w:t xml:space="preserve"> o plano definido para a integração curricular do género na formação profissional e de </w:t>
      </w:r>
      <w:r w:rsidRPr="001C50C8">
        <w:rPr>
          <w:rFonts w:ascii="Garamond" w:hAnsi="Garamond"/>
          <w:lang w:val="pt-PT"/>
        </w:rPr>
        <w:t>capacitação dos formadores do sistema da FP</w:t>
      </w:r>
      <w:r>
        <w:rPr>
          <w:rFonts w:ascii="Garamond" w:hAnsi="Garamond"/>
          <w:lang w:val="pt-PT"/>
        </w:rPr>
        <w:t>.</w:t>
      </w:r>
    </w:p>
    <w:p w14:paraId="654E8AA5" w14:textId="77777777" w:rsidR="005E6AB0" w:rsidRPr="001C50C8" w:rsidRDefault="005E6AB0" w:rsidP="00786DEC">
      <w:pPr>
        <w:pStyle w:val="PargrafodaLista"/>
        <w:numPr>
          <w:ilvl w:val="0"/>
          <w:numId w:val="19"/>
        </w:numPr>
        <w:spacing w:after="240"/>
        <w:jc w:val="both"/>
        <w:rPr>
          <w:rFonts w:ascii="Garamond" w:hAnsi="Garamond"/>
          <w:lang w:val="pt-PT"/>
        </w:rPr>
      </w:pPr>
      <w:r w:rsidRPr="001C50C8">
        <w:rPr>
          <w:rFonts w:ascii="Garamond" w:hAnsi="Garamond"/>
          <w:lang w:val="pt-PT"/>
        </w:rPr>
        <w:t xml:space="preserve">Deverá ainda ser estimulada a produção e divulgação de conhecimento e pesquisas associados a igualdade de género, bem como integrados critérios de género no sistema nacional de garantia de qualidade do ensino superior, através da Agência Reguladora do Ensino Superior, que entrou em actividade em finais de 2018. </w:t>
      </w:r>
    </w:p>
    <w:p w14:paraId="1129D913" w14:textId="77777777" w:rsidR="005E6AB0" w:rsidRPr="001C50C8" w:rsidRDefault="005E6AB0" w:rsidP="005E6AB0">
      <w:pPr>
        <w:jc w:val="both"/>
        <w:rPr>
          <w:rFonts w:ascii="Garamond" w:hAnsi="Garamond"/>
          <w:b/>
          <w:bCs/>
          <w:lang w:val="pt-PT"/>
        </w:rPr>
      </w:pPr>
      <w:r w:rsidRPr="001C50C8">
        <w:rPr>
          <w:rFonts w:ascii="Garamond" w:hAnsi="Garamond"/>
          <w:b/>
          <w:bCs/>
          <w:lang w:val="pt-PT"/>
        </w:rPr>
        <w:t xml:space="preserve">Orientação escolar, vocacional e profissional </w:t>
      </w:r>
    </w:p>
    <w:p w14:paraId="0D796E6B" w14:textId="77777777" w:rsidR="005E6AB0" w:rsidRPr="001C50C8" w:rsidRDefault="005E6AB0" w:rsidP="005E6AB0">
      <w:pPr>
        <w:spacing w:after="240"/>
        <w:jc w:val="both"/>
        <w:rPr>
          <w:rFonts w:ascii="Garamond" w:hAnsi="Garamond"/>
          <w:lang w:val="pt-PT"/>
        </w:rPr>
      </w:pPr>
      <w:r w:rsidRPr="001C50C8">
        <w:rPr>
          <w:rFonts w:ascii="Garamond" w:hAnsi="Garamond"/>
          <w:lang w:val="pt-PT"/>
        </w:rPr>
        <w:t xml:space="preserve">À luz da Lei de Bases da Educação, revista em 2018, o ensino secundário passa a ter um ciclo único de 4 anos, do 9º ao 12º ano, com duas vias – a via geral e a via técnica. Consequentemente, a orientação escolar, vocacional e profissional toma novo significado e carece de reforço, para que o(a)s aluno(a)s possam fazer opções conscientes: deverá ter início nos 2 últimos anos do ensino básico obrigatório, para apoiar as opções na transição para o ensino secundário (artigo 23) e, nesse ciclo, </w:t>
      </w:r>
      <w:proofErr w:type="spellStart"/>
      <w:r w:rsidRPr="001C50C8">
        <w:rPr>
          <w:rFonts w:ascii="Garamond" w:hAnsi="Garamond"/>
          <w:lang w:val="pt-PT"/>
        </w:rPr>
        <w:t>pelo</w:t>
      </w:r>
      <w:proofErr w:type="spellEnd"/>
      <w:r w:rsidRPr="001C50C8">
        <w:rPr>
          <w:rFonts w:ascii="Garamond" w:hAnsi="Garamond"/>
          <w:lang w:val="pt-PT"/>
        </w:rPr>
        <w:t xml:space="preserve"> prosseguimento dos estudos ou inserção no mundo laboral (artigo 25 e) e respectivas áreas de inserção. Conforme já referido no Eixo</w:t>
      </w:r>
      <w:r>
        <w:rPr>
          <w:rFonts w:ascii="Garamond" w:hAnsi="Garamond"/>
          <w:lang w:val="pt-PT"/>
        </w:rPr>
        <w:t xml:space="preserve"> 1 -</w:t>
      </w:r>
      <w:r w:rsidRPr="001C50C8">
        <w:rPr>
          <w:rFonts w:ascii="Garamond" w:hAnsi="Garamond"/>
          <w:lang w:val="pt-PT"/>
        </w:rPr>
        <w:t xml:space="preserve"> </w:t>
      </w:r>
      <w:r w:rsidRPr="00E9141A">
        <w:rPr>
          <w:rFonts w:ascii="Garamond" w:hAnsi="Garamond"/>
          <w:i/>
          <w:iCs/>
          <w:lang w:val="pt-PT"/>
        </w:rPr>
        <w:t>Empoderamento Económico</w:t>
      </w:r>
      <w:r w:rsidRPr="001C50C8">
        <w:rPr>
          <w:rFonts w:ascii="Garamond" w:hAnsi="Garamond"/>
          <w:lang w:val="pt-PT"/>
        </w:rPr>
        <w:t xml:space="preserve">, persiste uma forte segregação ocupacional de género. </w:t>
      </w:r>
    </w:p>
    <w:p w14:paraId="068DC169" w14:textId="4A4B18CE" w:rsidR="005E6AB0" w:rsidRPr="00E9141A" w:rsidRDefault="005E6AB0" w:rsidP="005E6AB0">
      <w:pPr>
        <w:pStyle w:val="Legenda"/>
        <w:spacing w:after="0"/>
        <w:jc w:val="center"/>
        <w:rPr>
          <w:rFonts w:ascii="Garamond" w:hAnsi="Garamond"/>
          <w:b/>
          <w:bCs/>
          <w:i w:val="0"/>
          <w:iCs w:val="0"/>
          <w:color w:val="auto"/>
          <w:sz w:val="20"/>
          <w:szCs w:val="20"/>
          <w:lang w:val="pt-PT"/>
        </w:rPr>
      </w:pPr>
      <w:bookmarkStart w:id="81" w:name="_Toc32856878"/>
      <w:r w:rsidRPr="00E9141A">
        <w:rPr>
          <w:rFonts w:ascii="Garamond" w:hAnsi="Garamond"/>
          <w:b/>
          <w:bCs/>
          <w:i w:val="0"/>
          <w:iCs w:val="0"/>
          <w:color w:val="auto"/>
          <w:sz w:val="20"/>
          <w:szCs w:val="20"/>
          <w:lang w:val="pt-PT"/>
        </w:rPr>
        <w:t>Gr</w:t>
      </w:r>
      <w:r>
        <w:rPr>
          <w:rFonts w:ascii="Garamond" w:hAnsi="Garamond"/>
          <w:b/>
          <w:bCs/>
          <w:i w:val="0"/>
          <w:iCs w:val="0"/>
          <w:color w:val="auto"/>
          <w:sz w:val="20"/>
          <w:szCs w:val="20"/>
          <w:lang w:val="pt-PT"/>
        </w:rPr>
        <w:t>á</w:t>
      </w:r>
      <w:r w:rsidRPr="00E9141A">
        <w:rPr>
          <w:rFonts w:ascii="Garamond" w:hAnsi="Garamond"/>
          <w:b/>
          <w:bCs/>
          <w:i w:val="0"/>
          <w:iCs w:val="0"/>
          <w:color w:val="auto"/>
          <w:sz w:val="20"/>
          <w:szCs w:val="20"/>
          <w:lang w:val="pt-PT"/>
        </w:rPr>
        <w:t xml:space="preserve">fico </w:t>
      </w:r>
      <w:r w:rsidRPr="00E9141A">
        <w:rPr>
          <w:rFonts w:ascii="Garamond" w:hAnsi="Garamond"/>
          <w:b/>
          <w:bCs/>
          <w:i w:val="0"/>
          <w:iCs w:val="0"/>
          <w:color w:val="auto"/>
          <w:sz w:val="20"/>
          <w:szCs w:val="20"/>
          <w:lang w:val="pt-PT"/>
        </w:rPr>
        <w:fldChar w:fldCharType="begin"/>
      </w:r>
      <w:r w:rsidRPr="00E9141A">
        <w:rPr>
          <w:rFonts w:ascii="Garamond" w:hAnsi="Garamond"/>
          <w:b/>
          <w:bCs/>
          <w:i w:val="0"/>
          <w:iCs w:val="0"/>
          <w:color w:val="auto"/>
          <w:sz w:val="20"/>
          <w:szCs w:val="20"/>
          <w:lang w:val="pt-PT"/>
        </w:rPr>
        <w:instrText xml:space="preserve"> SEQ Grafico \* ARABIC </w:instrText>
      </w:r>
      <w:r w:rsidRPr="00E9141A">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24</w:t>
      </w:r>
      <w:r w:rsidRPr="00E9141A">
        <w:rPr>
          <w:rFonts w:ascii="Garamond" w:hAnsi="Garamond"/>
          <w:b/>
          <w:bCs/>
          <w:i w:val="0"/>
          <w:iCs w:val="0"/>
          <w:color w:val="auto"/>
          <w:sz w:val="20"/>
          <w:szCs w:val="20"/>
          <w:lang w:val="pt-PT"/>
        </w:rPr>
        <w:fldChar w:fldCharType="end"/>
      </w:r>
      <w:r w:rsidRPr="00E9141A">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w:t>
      </w:r>
      <w:r w:rsidRPr="00E9141A">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 xml:space="preserve">Proporção de alunos e alunas por área de estudo escolhida no </w:t>
      </w:r>
      <w:r w:rsidRPr="00E9141A">
        <w:rPr>
          <w:rFonts w:ascii="Garamond" w:hAnsi="Garamond"/>
          <w:b/>
          <w:bCs/>
          <w:i w:val="0"/>
          <w:iCs w:val="0"/>
          <w:color w:val="auto"/>
          <w:sz w:val="20"/>
          <w:szCs w:val="20"/>
          <w:lang w:val="pt-PT"/>
        </w:rPr>
        <w:t>11º-12º anos (2015/2016)</w:t>
      </w:r>
      <w:bookmarkEnd w:id="81"/>
    </w:p>
    <w:p w14:paraId="07419803" w14:textId="77777777" w:rsidR="005E6AB0" w:rsidRPr="001C50C8" w:rsidRDefault="005E6AB0" w:rsidP="005E6AB0">
      <w:pPr>
        <w:jc w:val="center"/>
        <w:rPr>
          <w:rFonts w:ascii="Garamond" w:hAnsi="Garamond"/>
          <w:b/>
          <w:bCs/>
          <w:sz w:val="20"/>
          <w:szCs w:val="20"/>
          <w:lang w:val="pt-PT"/>
        </w:rPr>
      </w:pPr>
      <w:r w:rsidRPr="001C50C8">
        <w:rPr>
          <w:noProof/>
        </w:rPr>
        <w:drawing>
          <wp:inline distT="0" distB="0" distL="0" distR="0" wp14:anchorId="589A6EA8" wp14:editId="37941513">
            <wp:extent cx="5727700" cy="1338469"/>
            <wp:effectExtent l="0" t="0" r="6350" b="0"/>
            <wp:docPr id="8" name="Gráfico 8">
              <a:extLst xmlns:a="http://schemas.openxmlformats.org/drawingml/2006/main">
                <a:ext uri="{FF2B5EF4-FFF2-40B4-BE49-F238E27FC236}">
                  <a16:creationId xmlns:a16="http://schemas.microsoft.com/office/drawing/2014/main" id="{4DD6F36B-B45A-4B8F-B803-CCF0D8ED3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A716DC6" w14:textId="77777777" w:rsidR="005E6AB0" w:rsidRPr="001C50C8" w:rsidRDefault="005E6AB0" w:rsidP="005E6AB0">
      <w:pPr>
        <w:spacing w:after="240"/>
        <w:jc w:val="center"/>
        <w:rPr>
          <w:rFonts w:ascii="Garamond" w:hAnsi="Garamond"/>
          <w:b/>
          <w:bCs/>
          <w:sz w:val="20"/>
          <w:szCs w:val="20"/>
          <w:lang w:val="pt-PT"/>
        </w:rPr>
      </w:pPr>
      <w:bookmarkStart w:id="82" w:name="_Hlk19526848"/>
      <w:r>
        <w:rPr>
          <w:rFonts w:ascii="Garamond" w:hAnsi="Garamond"/>
          <w:b/>
          <w:bCs/>
          <w:sz w:val="20"/>
          <w:szCs w:val="20"/>
          <w:lang w:val="pt-PT"/>
        </w:rPr>
        <w:t>Fonte: e</w:t>
      </w:r>
      <w:r w:rsidRPr="00D53D14">
        <w:rPr>
          <w:rFonts w:ascii="Garamond" w:hAnsi="Garamond"/>
          <w:b/>
          <w:bCs/>
          <w:sz w:val="20"/>
          <w:szCs w:val="20"/>
          <w:lang w:val="pt-PT"/>
        </w:rPr>
        <w:t>labora</w:t>
      </w:r>
      <w:r>
        <w:rPr>
          <w:rFonts w:ascii="Garamond" w:hAnsi="Garamond"/>
          <w:b/>
          <w:bCs/>
          <w:sz w:val="20"/>
          <w:szCs w:val="20"/>
          <w:lang w:val="pt-PT"/>
        </w:rPr>
        <w:t xml:space="preserve">ção própria </w:t>
      </w:r>
      <w:r w:rsidRPr="00D53D14">
        <w:rPr>
          <w:rFonts w:ascii="Garamond" w:hAnsi="Garamond"/>
          <w:b/>
          <w:bCs/>
          <w:sz w:val="20"/>
          <w:szCs w:val="20"/>
          <w:lang w:val="pt-PT"/>
        </w:rPr>
        <w:t xml:space="preserve">com </w:t>
      </w:r>
      <w:r w:rsidRPr="00E9141A">
        <w:rPr>
          <w:rFonts w:ascii="Garamond" w:hAnsi="Garamond"/>
          <w:b/>
          <w:bCs/>
          <w:color w:val="FF0000"/>
          <w:sz w:val="20"/>
          <w:szCs w:val="20"/>
          <w:highlight w:val="yellow"/>
          <w:lang w:val="pt-PT"/>
        </w:rPr>
        <w:t>XXX</w:t>
      </w:r>
    </w:p>
    <w:p w14:paraId="6C8D3818" w14:textId="77777777" w:rsidR="005E6AB0" w:rsidRDefault="005E6AB0" w:rsidP="005E6AB0">
      <w:pPr>
        <w:spacing w:after="240"/>
        <w:jc w:val="both"/>
        <w:rPr>
          <w:rFonts w:ascii="Garamond" w:hAnsi="Garamond"/>
          <w:lang w:val="pt-PT"/>
        </w:rPr>
      </w:pPr>
      <w:r w:rsidRPr="001C50C8">
        <w:rPr>
          <w:rFonts w:ascii="Garamond" w:hAnsi="Garamond"/>
          <w:lang w:val="pt-PT"/>
        </w:rPr>
        <w:t>Em termos de escolhas vocacionais, apesar das meninas serem a maioria dos alunos do 11º e 12º ano (56,3% no ano lectivo 2015/16) na via geral, escolhem mais a área de humanísticas (64,1%</w:t>
      </w:r>
      <w:r>
        <w:rPr>
          <w:rFonts w:ascii="Garamond" w:hAnsi="Garamond"/>
          <w:lang w:val="pt-PT"/>
        </w:rPr>
        <w:t>),</w:t>
      </w:r>
      <w:r w:rsidRPr="001C50C8">
        <w:rPr>
          <w:rFonts w:ascii="Garamond" w:hAnsi="Garamond"/>
          <w:lang w:val="pt-PT"/>
        </w:rPr>
        <w:t xml:space="preserve"> seguida da área económico-social (55,3%) e por fim a área de ciência e tecnologia (49,2%</w:t>
      </w:r>
      <w:r w:rsidRPr="00AE74AE">
        <w:rPr>
          <w:rFonts w:ascii="Garamond" w:hAnsi="Garamond"/>
          <w:lang w:val="pt-PT"/>
        </w:rPr>
        <w:t xml:space="preserve">). </w:t>
      </w:r>
      <w:r>
        <w:rPr>
          <w:rFonts w:ascii="Garamond" w:hAnsi="Garamond"/>
          <w:lang w:val="pt-PT"/>
        </w:rPr>
        <w:t>Nesse ano a</w:t>
      </w:r>
      <w:r w:rsidRPr="00AE74AE">
        <w:rPr>
          <w:rFonts w:ascii="Garamond" w:hAnsi="Garamond"/>
          <w:lang w:val="pt-PT"/>
        </w:rPr>
        <w:t xml:space="preserve"> via técnica representou 9,4% dos alunos inscritos no 11º e 12º ano, sendo a proporção de alunas de 43%. Nas áreas tradicionalmente tidas como masculinas (construção civil, electricidade, sistemas informáticos, etc.) apenas 29% dos inscritos são </w:t>
      </w:r>
      <w:r>
        <w:rPr>
          <w:rFonts w:ascii="Garamond" w:hAnsi="Garamond"/>
          <w:lang w:val="pt-PT"/>
        </w:rPr>
        <w:t>meninas</w:t>
      </w:r>
      <w:r w:rsidRPr="00AE74AE">
        <w:rPr>
          <w:rFonts w:ascii="Garamond" w:hAnsi="Garamond"/>
          <w:lang w:val="pt-PT"/>
        </w:rPr>
        <w:t xml:space="preserve"> </w:t>
      </w:r>
      <w:r>
        <w:rPr>
          <w:rFonts w:ascii="Garamond" w:hAnsi="Garamond"/>
          <w:lang w:val="pt-PT"/>
        </w:rPr>
        <w:t>(</w:t>
      </w:r>
      <w:r w:rsidRPr="00AE74AE">
        <w:rPr>
          <w:rFonts w:ascii="Garamond" w:hAnsi="Garamond"/>
          <w:lang w:val="pt-PT"/>
        </w:rPr>
        <w:t xml:space="preserve">64% </w:t>
      </w:r>
      <w:r>
        <w:rPr>
          <w:rFonts w:ascii="Garamond" w:hAnsi="Garamond"/>
          <w:lang w:val="pt-PT"/>
        </w:rPr>
        <w:t xml:space="preserve">em </w:t>
      </w:r>
      <w:r w:rsidRPr="00AE74AE">
        <w:rPr>
          <w:rFonts w:ascii="Garamond" w:hAnsi="Garamond"/>
          <w:lang w:val="pt-PT"/>
        </w:rPr>
        <w:t xml:space="preserve">administração de pequenas empresas, administração e contabilidade). </w:t>
      </w:r>
    </w:p>
    <w:p w14:paraId="00ADD19B" w14:textId="31F4CEDE" w:rsidR="005E6AB0" w:rsidRDefault="005E6AB0" w:rsidP="005E6AB0">
      <w:pPr>
        <w:spacing w:after="240"/>
        <w:jc w:val="both"/>
        <w:rPr>
          <w:rFonts w:ascii="Garamond" w:hAnsi="Garamond"/>
          <w:lang w:val="pt-PT"/>
        </w:rPr>
      </w:pPr>
      <w:r w:rsidRPr="00AE74AE">
        <w:rPr>
          <w:rFonts w:ascii="Garamond" w:hAnsi="Garamond"/>
          <w:lang w:val="pt-PT"/>
        </w:rPr>
        <w:t xml:space="preserve">Nos estudos universitários as escolhas de áreas de estudo são ainda mais marcadas por </w:t>
      </w:r>
      <w:r w:rsidRPr="00510F56">
        <w:rPr>
          <w:rFonts w:ascii="Garamond" w:hAnsi="Garamond"/>
          <w:lang w:val="pt-PT"/>
        </w:rPr>
        <w:t xml:space="preserve">estereótipos sexistas. </w:t>
      </w:r>
      <w:r w:rsidRPr="00510F56">
        <w:rPr>
          <w:rFonts w:ascii="Garamond" w:hAnsi="Garamond"/>
          <w:shd w:val="clear" w:color="auto" w:fill="FFFFFF" w:themeFill="background1"/>
          <w:lang w:val="pt-PT"/>
        </w:rPr>
        <w:t>Em 2014/2015, apesar das mulheres representam 58,8% dos efectivos do ensino superior</w:t>
      </w:r>
      <w:r>
        <w:rPr>
          <w:rFonts w:ascii="Garamond" w:hAnsi="Garamond"/>
          <w:shd w:val="clear" w:color="auto" w:fill="FFFFFF" w:themeFill="background1"/>
          <w:lang w:val="pt-PT"/>
        </w:rPr>
        <w:t xml:space="preserve"> em Cabo Verde</w:t>
      </w:r>
      <w:r w:rsidRPr="00510F56">
        <w:rPr>
          <w:rFonts w:ascii="Garamond" w:hAnsi="Garamond"/>
          <w:shd w:val="clear" w:color="auto" w:fill="FFFFFF" w:themeFill="background1"/>
          <w:lang w:val="pt-PT"/>
        </w:rPr>
        <w:t xml:space="preserve">, apenas representam 29% dos alunos dos cursos de ciências </w:t>
      </w:r>
      <w:proofErr w:type="spellStart"/>
      <w:r w:rsidRPr="00510F56">
        <w:rPr>
          <w:rFonts w:ascii="Garamond" w:hAnsi="Garamond"/>
          <w:shd w:val="clear" w:color="auto" w:fill="FFFFFF" w:themeFill="background1"/>
          <w:lang w:val="pt-PT"/>
        </w:rPr>
        <w:t>exatas</w:t>
      </w:r>
      <w:proofErr w:type="spellEnd"/>
      <w:r w:rsidRPr="00510F56">
        <w:rPr>
          <w:rFonts w:ascii="Garamond" w:hAnsi="Garamond"/>
          <w:shd w:val="clear" w:color="auto" w:fill="FFFFFF" w:themeFill="background1"/>
          <w:lang w:val="pt-PT"/>
        </w:rPr>
        <w:t xml:space="preserve">, engenharias e tecnologias. </w:t>
      </w:r>
      <w:r w:rsidRPr="00510F56">
        <w:rPr>
          <w:rFonts w:ascii="Garamond" w:hAnsi="Garamond"/>
          <w:lang w:val="pt-PT"/>
        </w:rPr>
        <w:t>Nos Cursos de Estudos Superiores Profissionalizantes (CESP)</w:t>
      </w:r>
      <w:r>
        <w:rPr>
          <w:rFonts w:ascii="Garamond" w:hAnsi="Garamond"/>
          <w:lang w:val="pt-PT"/>
        </w:rPr>
        <w:t xml:space="preserve">, de cariz </w:t>
      </w:r>
      <w:r w:rsidRPr="00A40E6F">
        <w:rPr>
          <w:rFonts w:ascii="Garamond" w:hAnsi="Garamond"/>
          <w:lang w:val="pt-PT"/>
        </w:rPr>
        <w:t xml:space="preserve">profissionalizantes, </w:t>
      </w:r>
      <w:r>
        <w:rPr>
          <w:rFonts w:ascii="Garamond" w:hAnsi="Garamond"/>
          <w:lang w:val="pt-PT"/>
        </w:rPr>
        <w:t xml:space="preserve">sendo cursos </w:t>
      </w:r>
      <w:r w:rsidRPr="00A40E6F">
        <w:rPr>
          <w:rFonts w:ascii="Garamond" w:hAnsi="Garamond"/>
          <w:lang w:val="pt-PT"/>
        </w:rPr>
        <w:t>teórico-prátic</w:t>
      </w:r>
      <w:r>
        <w:rPr>
          <w:rFonts w:ascii="Garamond" w:hAnsi="Garamond"/>
          <w:lang w:val="pt-PT"/>
        </w:rPr>
        <w:t>os</w:t>
      </w:r>
      <w:r w:rsidRPr="00A40E6F">
        <w:rPr>
          <w:rFonts w:ascii="Garamond" w:hAnsi="Garamond"/>
          <w:lang w:val="pt-PT"/>
        </w:rPr>
        <w:t xml:space="preserve">, desenvolvidos num ambiente empresarial, </w:t>
      </w:r>
      <w:r>
        <w:rPr>
          <w:rFonts w:ascii="Garamond" w:hAnsi="Garamond"/>
          <w:lang w:val="pt-PT"/>
        </w:rPr>
        <w:t xml:space="preserve">em preparação para </w:t>
      </w:r>
      <w:r w:rsidRPr="00A40E6F">
        <w:rPr>
          <w:rFonts w:ascii="Garamond" w:hAnsi="Garamond"/>
          <w:lang w:val="pt-PT"/>
        </w:rPr>
        <w:t>o emprego.</w:t>
      </w:r>
      <w:r>
        <w:rPr>
          <w:rFonts w:ascii="Garamond" w:hAnsi="Garamond"/>
          <w:lang w:val="pt-PT"/>
        </w:rPr>
        <w:t>,</w:t>
      </w:r>
      <w:r w:rsidRPr="00AE74AE">
        <w:rPr>
          <w:rFonts w:ascii="Garamond" w:hAnsi="Garamond"/>
          <w:lang w:val="pt-PT"/>
        </w:rPr>
        <w:t xml:space="preserve"> 4</w:t>
      </w:r>
      <w:r>
        <w:rPr>
          <w:rFonts w:ascii="Garamond" w:hAnsi="Garamond"/>
          <w:lang w:val="pt-PT"/>
        </w:rPr>
        <w:t>3,4</w:t>
      </w:r>
      <w:r w:rsidRPr="00AE74AE">
        <w:rPr>
          <w:rFonts w:ascii="Garamond" w:hAnsi="Garamond"/>
          <w:lang w:val="pt-PT"/>
        </w:rPr>
        <w:t>% dos efectivos são mulheres (o que já representa um avanço relativamente a 35% em 2012).</w:t>
      </w:r>
      <w:r>
        <w:rPr>
          <w:rFonts w:ascii="Garamond" w:hAnsi="Garamond"/>
          <w:lang w:val="pt-PT"/>
        </w:rPr>
        <w:t xml:space="preserve"> Contudo, não ultrapassam 1 em cada 4 estudantes nos cursos tecnológicos, tais como </w:t>
      </w:r>
      <w:r w:rsidRPr="00A40E6F">
        <w:rPr>
          <w:rFonts w:ascii="Garamond" w:hAnsi="Garamond"/>
          <w:lang w:val="pt-PT"/>
        </w:rPr>
        <w:t>Instalação e Manutenção de Redes de Sistema Informático</w:t>
      </w:r>
      <w:r>
        <w:rPr>
          <w:rFonts w:ascii="Garamond" w:hAnsi="Garamond"/>
          <w:lang w:val="pt-PT"/>
        </w:rPr>
        <w:t xml:space="preserve"> (27%), </w:t>
      </w:r>
      <w:proofErr w:type="spellStart"/>
      <w:r w:rsidRPr="00A40E6F">
        <w:rPr>
          <w:rFonts w:ascii="Garamond" w:hAnsi="Garamond"/>
          <w:lang w:val="pt-PT"/>
        </w:rPr>
        <w:t>Eletrónica</w:t>
      </w:r>
      <w:proofErr w:type="spellEnd"/>
      <w:r w:rsidRPr="00A40E6F">
        <w:rPr>
          <w:rFonts w:ascii="Garamond" w:hAnsi="Garamond"/>
          <w:lang w:val="pt-PT"/>
        </w:rPr>
        <w:t xml:space="preserve"> e telecomunicações</w:t>
      </w:r>
      <w:r>
        <w:rPr>
          <w:rFonts w:ascii="Garamond" w:hAnsi="Garamond"/>
          <w:lang w:val="pt-PT"/>
        </w:rPr>
        <w:t xml:space="preserve"> (26%), </w:t>
      </w:r>
      <w:r w:rsidRPr="00A40E6F">
        <w:rPr>
          <w:rFonts w:ascii="Garamond" w:hAnsi="Garamond"/>
          <w:lang w:val="pt-PT"/>
        </w:rPr>
        <w:t>Instalação e Manutenção de Equipamentos de Energias Renováveis</w:t>
      </w:r>
      <w:r>
        <w:rPr>
          <w:rFonts w:ascii="Garamond" w:hAnsi="Garamond"/>
          <w:lang w:val="pt-PT"/>
        </w:rPr>
        <w:t xml:space="preserve"> (20,5%).</w:t>
      </w:r>
    </w:p>
    <w:p w14:paraId="10C580BB" w14:textId="17B0EF8C" w:rsidR="005E6AB0" w:rsidRDefault="005E6AB0" w:rsidP="005E6AB0">
      <w:pPr>
        <w:spacing w:after="240"/>
        <w:jc w:val="both"/>
        <w:rPr>
          <w:rFonts w:ascii="Garamond" w:hAnsi="Garamond"/>
          <w:lang w:val="pt-PT"/>
        </w:rPr>
      </w:pPr>
    </w:p>
    <w:p w14:paraId="79E2799D" w14:textId="00607F3D" w:rsidR="005E6AB0" w:rsidRDefault="005E6AB0" w:rsidP="005E6AB0">
      <w:pPr>
        <w:spacing w:after="240"/>
        <w:jc w:val="both"/>
        <w:rPr>
          <w:rFonts w:ascii="Garamond" w:hAnsi="Garamond"/>
          <w:lang w:val="pt-PT"/>
        </w:rPr>
      </w:pPr>
    </w:p>
    <w:p w14:paraId="10FDFCBD" w14:textId="77777777" w:rsidR="005E6AB0" w:rsidRDefault="005E6AB0" w:rsidP="005E6AB0">
      <w:pPr>
        <w:spacing w:after="240"/>
        <w:jc w:val="both"/>
        <w:rPr>
          <w:rFonts w:ascii="Garamond" w:hAnsi="Garamond"/>
          <w:lang w:val="pt-PT"/>
        </w:rPr>
      </w:pPr>
    </w:p>
    <w:p w14:paraId="274ED58B" w14:textId="1BD9DD74" w:rsidR="005E6AB0" w:rsidRDefault="005E6AB0" w:rsidP="005E6AB0">
      <w:pPr>
        <w:pStyle w:val="Legenda"/>
        <w:spacing w:after="0"/>
        <w:jc w:val="center"/>
        <w:rPr>
          <w:rFonts w:ascii="Garamond" w:hAnsi="Garamond"/>
          <w:b/>
          <w:bCs/>
          <w:i w:val="0"/>
          <w:iCs w:val="0"/>
          <w:color w:val="auto"/>
          <w:sz w:val="20"/>
          <w:szCs w:val="20"/>
          <w:lang w:val="pt-PT"/>
        </w:rPr>
      </w:pPr>
      <w:bookmarkStart w:id="83" w:name="_Toc32856879"/>
      <w:r>
        <w:rPr>
          <w:rFonts w:ascii="Garamond" w:hAnsi="Garamond"/>
          <w:b/>
          <w:bCs/>
          <w:i w:val="0"/>
          <w:iCs w:val="0"/>
          <w:color w:val="auto"/>
          <w:sz w:val="20"/>
          <w:szCs w:val="20"/>
          <w:lang w:val="pt-PT"/>
        </w:rPr>
        <w:t>G</w:t>
      </w:r>
      <w:r w:rsidRPr="001B220C">
        <w:rPr>
          <w:rFonts w:ascii="Garamond" w:hAnsi="Garamond"/>
          <w:b/>
          <w:bCs/>
          <w:i w:val="0"/>
          <w:iCs w:val="0"/>
          <w:color w:val="auto"/>
          <w:sz w:val="20"/>
          <w:szCs w:val="20"/>
          <w:lang w:val="pt-PT"/>
        </w:rPr>
        <w:t xml:space="preserve">ráfico </w:t>
      </w:r>
      <w:r w:rsidRPr="001B220C">
        <w:rPr>
          <w:rFonts w:ascii="Garamond" w:hAnsi="Garamond"/>
          <w:b/>
          <w:bCs/>
          <w:i w:val="0"/>
          <w:iCs w:val="0"/>
          <w:color w:val="auto"/>
          <w:sz w:val="20"/>
          <w:szCs w:val="20"/>
          <w:lang w:val="pt-PT"/>
        </w:rPr>
        <w:fldChar w:fldCharType="begin"/>
      </w:r>
      <w:r w:rsidRPr="001B220C">
        <w:rPr>
          <w:rFonts w:ascii="Garamond" w:hAnsi="Garamond"/>
          <w:b/>
          <w:bCs/>
          <w:i w:val="0"/>
          <w:iCs w:val="0"/>
          <w:color w:val="auto"/>
          <w:sz w:val="20"/>
          <w:szCs w:val="20"/>
          <w:lang w:val="pt-PT"/>
        </w:rPr>
        <w:instrText xml:space="preserve"> SEQ Grafico \* ARABIC </w:instrText>
      </w:r>
      <w:r w:rsidRPr="001B220C">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25</w:t>
      </w:r>
      <w:r w:rsidRPr="001B220C">
        <w:rPr>
          <w:rFonts w:ascii="Garamond" w:hAnsi="Garamond"/>
          <w:b/>
          <w:bCs/>
          <w:i w:val="0"/>
          <w:iCs w:val="0"/>
          <w:color w:val="auto"/>
          <w:sz w:val="20"/>
          <w:szCs w:val="20"/>
          <w:lang w:val="pt-PT"/>
        </w:rPr>
        <w:fldChar w:fldCharType="end"/>
      </w:r>
      <w:r w:rsidRPr="001B220C">
        <w:rPr>
          <w:rFonts w:ascii="Garamond" w:hAnsi="Garamond"/>
          <w:b/>
          <w:bCs/>
          <w:i w:val="0"/>
          <w:iCs w:val="0"/>
          <w:color w:val="auto"/>
          <w:sz w:val="20"/>
          <w:szCs w:val="20"/>
          <w:lang w:val="pt-PT"/>
        </w:rPr>
        <w:t xml:space="preserve"> – Alunas e alunos inscritos </w:t>
      </w:r>
      <w:r>
        <w:rPr>
          <w:rFonts w:ascii="Garamond" w:hAnsi="Garamond"/>
          <w:b/>
          <w:bCs/>
          <w:i w:val="0"/>
          <w:iCs w:val="0"/>
          <w:color w:val="auto"/>
          <w:sz w:val="20"/>
          <w:szCs w:val="20"/>
          <w:lang w:val="pt-PT"/>
        </w:rPr>
        <w:t xml:space="preserve">no ensino superior em CV </w:t>
      </w:r>
      <w:r w:rsidRPr="001B220C">
        <w:rPr>
          <w:rFonts w:ascii="Garamond" w:hAnsi="Garamond"/>
          <w:b/>
          <w:bCs/>
          <w:i w:val="0"/>
          <w:iCs w:val="0"/>
          <w:color w:val="auto"/>
          <w:sz w:val="20"/>
          <w:szCs w:val="20"/>
          <w:lang w:val="pt-PT"/>
        </w:rPr>
        <w:t>por área de estudo escolhida</w:t>
      </w:r>
      <w:bookmarkEnd w:id="83"/>
      <w:r w:rsidRPr="001B220C">
        <w:rPr>
          <w:rFonts w:ascii="Garamond" w:hAnsi="Garamond"/>
          <w:b/>
          <w:bCs/>
          <w:i w:val="0"/>
          <w:iCs w:val="0"/>
          <w:color w:val="auto"/>
          <w:sz w:val="20"/>
          <w:szCs w:val="20"/>
          <w:lang w:val="pt-PT"/>
        </w:rPr>
        <w:t xml:space="preserve"> </w:t>
      </w:r>
    </w:p>
    <w:p w14:paraId="1662EBC0" w14:textId="77777777" w:rsidR="005E6AB0" w:rsidRDefault="005E6AB0" w:rsidP="005E6AB0">
      <w:pPr>
        <w:ind w:left="-284"/>
        <w:jc w:val="center"/>
        <w:rPr>
          <w:lang w:val="pt-PT"/>
        </w:rPr>
      </w:pPr>
      <w:r>
        <w:rPr>
          <w:noProof/>
        </w:rPr>
        <w:drawing>
          <wp:inline distT="0" distB="0" distL="0" distR="0" wp14:anchorId="46F93EE9" wp14:editId="62EF55A5">
            <wp:extent cx="5619482" cy="1236345"/>
            <wp:effectExtent l="0" t="0" r="635" b="1905"/>
            <wp:docPr id="40" name="Gráfico 40">
              <a:extLst xmlns:a="http://schemas.openxmlformats.org/drawingml/2006/main">
                <a:ext uri="{FF2B5EF4-FFF2-40B4-BE49-F238E27FC236}">
                  <a16:creationId xmlns:a16="http://schemas.microsoft.com/office/drawing/2014/main" id="{63C0B536-A092-42C5-8552-D3F3D4DA5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bookmarkEnd w:id="82"/>
    <w:p w14:paraId="6BFAD0D8" w14:textId="77777777" w:rsidR="005E6AB0" w:rsidRPr="001C50C8" w:rsidRDefault="005E6AB0" w:rsidP="005E6AB0">
      <w:pPr>
        <w:spacing w:after="240"/>
        <w:jc w:val="center"/>
        <w:rPr>
          <w:rFonts w:ascii="Garamond" w:hAnsi="Garamond"/>
          <w:b/>
          <w:bCs/>
          <w:sz w:val="20"/>
          <w:szCs w:val="20"/>
          <w:lang w:val="pt-PT"/>
        </w:rPr>
      </w:pPr>
      <w:r>
        <w:rPr>
          <w:rFonts w:ascii="Garamond" w:hAnsi="Garamond"/>
          <w:b/>
          <w:bCs/>
          <w:sz w:val="20"/>
          <w:szCs w:val="20"/>
          <w:lang w:val="pt-PT"/>
        </w:rPr>
        <w:t>Fonte: elaboração própria com base no A</w:t>
      </w:r>
      <w:r w:rsidRPr="00510F56">
        <w:rPr>
          <w:rFonts w:ascii="Garamond" w:hAnsi="Garamond"/>
          <w:b/>
          <w:bCs/>
          <w:sz w:val="20"/>
          <w:szCs w:val="20"/>
          <w:lang w:val="pt-PT"/>
        </w:rPr>
        <w:t xml:space="preserve">nuário </w:t>
      </w:r>
      <w:r>
        <w:rPr>
          <w:rFonts w:ascii="Garamond" w:hAnsi="Garamond"/>
          <w:b/>
          <w:bCs/>
          <w:sz w:val="20"/>
          <w:szCs w:val="20"/>
          <w:lang w:val="pt-PT"/>
        </w:rPr>
        <w:t>E</w:t>
      </w:r>
      <w:r w:rsidRPr="00510F56">
        <w:rPr>
          <w:rFonts w:ascii="Garamond" w:hAnsi="Garamond"/>
          <w:b/>
          <w:bCs/>
          <w:sz w:val="20"/>
          <w:szCs w:val="20"/>
          <w:lang w:val="pt-PT"/>
        </w:rPr>
        <w:t xml:space="preserve">statístico do </w:t>
      </w:r>
      <w:r>
        <w:rPr>
          <w:rFonts w:ascii="Garamond" w:hAnsi="Garamond"/>
          <w:b/>
          <w:bCs/>
          <w:sz w:val="20"/>
          <w:szCs w:val="20"/>
          <w:lang w:val="pt-PT"/>
        </w:rPr>
        <w:t xml:space="preserve">ES (2014/15) do ME </w:t>
      </w:r>
    </w:p>
    <w:p w14:paraId="102AD77C" w14:textId="77777777" w:rsidR="005E6AB0" w:rsidRDefault="005E6AB0" w:rsidP="005E6AB0">
      <w:pPr>
        <w:jc w:val="both"/>
        <w:rPr>
          <w:rFonts w:ascii="Garamond" w:hAnsi="Garamond"/>
          <w:lang w:val="pt-PT"/>
        </w:rPr>
      </w:pPr>
      <w:r w:rsidRPr="00AE74AE">
        <w:rPr>
          <w:rFonts w:ascii="Garamond" w:hAnsi="Garamond"/>
          <w:lang w:val="pt-PT"/>
        </w:rPr>
        <w:t>Se considerarmos o indicador 4.4.1</w:t>
      </w:r>
      <w:r w:rsidRPr="00826484">
        <w:rPr>
          <w:rStyle w:val="Refdenotaderodap"/>
          <w:rFonts w:ascii="Garamond" w:hAnsi="Garamond"/>
        </w:rPr>
        <w:footnoteReference w:id="88"/>
      </w:r>
      <w:r w:rsidRPr="00AE74AE">
        <w:rPr>
          <w:rFonts w:ascii="Garamond" w:hAnsi="Garamond"/>
          <w:lang w:val="pt-PT"/>
        </w:rPr>
        <w:t xml:space="preserve"> do </w:t>
      </w:r>
      <w:proofErr w:type="spellStart"/>
      <w:r w:rsidRPr="00AE74AE">
        <w:rPr>
          <w:rFonts w:ascii="Garamond" w:hAnsi="Garamond"/>
          <w:lang w:val="pt-PT"/>
        </w:rPr>
        <w:t>ODS</w:t>
      </w:r>
      <w:proofErr w:type="spellEnd"/>
      <w:r w:rsidRPr="00AE74AE">
        <w:rPr>
          <w:rFonts w:ascii="Garamond" w:hAnsi="Garamond"/>
          <w:lang w:val="pt-PT"/>
        </w:rPr>
        <w:t xml:space="preserve"> 4 (</w:t>
      </w:r>
      <w:r w:rsidRPr="00FA0A27">
        <w:rPr>
          <w:rFonts w:ascii="Garamond" w:hAnsi="Garamond"/>
          <w:i/>
          <w:iCs/>
          <w:lang w:val="pt-PT"/>
        </w:rPr>
        <w:t>educação de qualidade</w:t>
      </w:r>
      <w:r w:rsidRPr="00AE74AE">
        <w:rPr>
          <w:rFonts w:ascii="Garamond" w:hAnsi="Garamond"/>
          <w:lang w:val="pt-PT"/>
        </w:rPr>
        <w:t xml:space="preserve">), verificamos que existem disparidades de género substanciais no domínio de competências em TIC: para todas as competências, sejam simples (ex. utilizar comandos copiar/colar para duplicar/mover informação) ou complexas (ex. criar programas informáticos com linguagem de programação), as mulheres de todas as idades estão sempre em desvantagem. A proporção de mulheres que dominam competências mais especializadas é quase metade da proporção dos homens, como no caso da programação (3% e 5,2%, respectivamente), ou da instalação/substituição de um sistema operativo (5% e 10,3%). Se tivermos em conta a faixa etária dos 25 aos 34 anos, verificamos que as disparidades se mantêm (ex. no caso da programação 6,7% das mulheres dominam esta competência e 11% dos homens, no caso dos sistemas operativos, 11,5% e 21,8% </w:t>
      </w:r>
      <w:proofErr w:type="spellStart"/>
      <w:r w:rsidRPr="00AE74AE">
        <w:rPr>
          <w:rFonts w:ascii="Garamond" w:hAnsi="Garamond"/>
          <w:lang w:val="pt-PT"/>
        </w:rPr>
        <w:t>respetivamente</w:t>
      </w:r>
      <w:proofErr w:type="spellEnd"/>
      <w:r w:rsidRPr="00AE74AE">
        <w:rPr>
          <w:rFonts w:ascii="Garamond" w:hAnsi="Garamond"/>
          <w:lang w:val="pt-PT"/>
        </w:rPr>
        <w:t>).</w:t>
      </w:r>
    </w:p>
    <w:p w14:paraId="56996638" w14:textId="77777777" w:rsidR="005E6AB0" w:rsidRDefault="005E6AB0" w:rsidP="005E6AB0">
      <w:pPr>
        <w:jc w:val="both"/>
        <w:rPr>
          <w:rFonts w:ascii="Garamond" w:hAnsi="Garamond"/>
          <w:lang w:val="pt-PT"/>
        </w:rPr>
      </w:pPr>
    </w:p>
    <w:p w14:paraId="55F358B2" w14:textId="439D0F36" w:rsidR="005E6AB0" w:rsidRPr="00B700EB" w:rsidRDefault="005E6AB0" w:rsidP="005E6AB0">
      <w:pPr>
        <w:pStyle w:val="Legenda"/>
        <w:spacing w:after="0"/>
        <w:jc w:val="center"/>
        <w:rPr>
          <w:lang w:val="pt-PT"/>
        </w:rPr>
      </w:pPr>
      <w:bookmarkStart w:id="84" w:name="_Toc32856880"/>
      <w:r w:rsidRPr="000812A9">
        <w:rPr>
          <w:rFonts w:ascii="Garamond" w:hAnsi="Garamond"/>
          <w:b/>
          <w:bCs/>
          <w:i w:val="0"/>
          <w:iCs w:val="0"/>
          <w:color w:val="auto"/>
          <w:sz w:val="20"/>
          <w:szCs w:val="20"/>
          <w:lang w:val="pt-PT"/>
        </w:rPr>
        <w:t xml:space="preserve">Gráfico </w:t>
      </w:r>
      <w:r w:rsidRPr="00B700EB">
        <w:rPr>
          <w:rFonts w:ascii="Garamond" w:hAnsi="Garamond"/>
          <w:b/>
          <w:bCs/>
          <w:i w:val="0"/>
          <w:iCs w:val="0"/>
          <w:color w:val="auto"/>
          <w:sz w:val="20"/>
          <w:szCs w:val="20"/>
          <w:lang w:val="pt-PT"/>
        </w:rPr>
        <w:fldChar w:fldCharType="begin"/>
      </w:r>
      <w:r w:rsidRPr="000812A9">
        <w:rPr>
          <w:rFonts w:ascii="Garamond" w:hAnsi="Garamond"/>
          <w:b/>
          <w:bCs/>
          <w:i w:val="0"/>
          <w:iCs w:val="0"/>
          <w:color w:val="auto"/>
          <w:sz w:val="20"/>
          <w:szCs w:val="20"/>
          <w:lang w:val="pt-PT"/>
        </w:rPr>
        <w:instrText xml:space="preserve"> SEQ Grafico \* ARABIC </w:instrText>
      </w:r>
      <w:r w:rsidRPr="00B700EB">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26</w:t>
      </w:r>
      <w:r w:rsidRPr="00B700EB">
        <w:rPr>
          <w:rFonts w:ascii="Garamond" w:hAnsi="Garamond"/>
          <w:b/>
          <w:bCs/>
          <w:i w:val="0"/>
          <w:iCs w:val="0"/>
          <w:color w:val="auto"/>
          <w:sz w:val="20"/>
          <w:szCs w:val="20"/>
          <w:lang w:val="pt-PT"/>
        </w:rPr>
        <w:fldChar w:fldCharType="end"/>
      </w:r>
      <w:r w:rsidRPr="000812A9">
        <w:rPr>
          <w:rFonts w:ascii="Garamond" w:hAnsi="Garamond"/>
          <w:b/>
          <w:bCs/>
          <w:i w:val="0"/>
          <w:iCs w:val="0"/>
          <w:color w:val="auto"/>
          <w:sz w:val="20"/>
          <w:szCs w:val="20"/>
          <w:lang w:val="pt-PT"/>
        </w:rPr>
        <w:t xml:space="preserve"> - </w:t>
      </w:r>
      <w:r w:rsidRPr="00B700EB">
        <w:rPr>
          <w:rFonts w:ascii="Garamond" w:hAnsi="Garamond"/>
          <w:b/>
          <w:bCs/>
          <w:i w:val="0"/>
          <w:iCs w:val="0"/>
          <w:color w:val="auto"/>
          <w:sz w:val="20"/>
          <w:szCs w:val="20"/>
          <w:lang w:val="pt-PT"/>
        </w:rPr>
        <w:t>Proporção da população com competências em utilização das TIC por tipo de competências</w:t>
      </w:r>
      <w:r w:rsidRPr="000812A9">
        <w:rPr>
          <w:rFonts w:ascii="Garamond" w:hAnsi="Garamond"/>
          <w:b/>
          <w:bCs/>
          <w:i w:val="0"/>
          <w:iCs w:val="0"/>
          <w:color w:val="auto"/>
          <w:sz w:val="20"/>
          <w:szCs w:val="20"/>
          <w:lang w:val="pt-PT"/>
        </w:rPr>
        <w:t xml:space="preserve"> (ambos os sexos) (</w:t>
      </w:r>
      <w:r>
        <w:rPr>
          <w:rFonts w:ascii="Garamond" w:hAnsi="Garamond"/>
          <w:b/>
          <w:bCs/>
          <w:i w:val="0"/>
          <w:iCs w:val="0"/>
          <w:color w:val="auto"/>
          <w:sz w:val="20"/>
          <w:szCs w:val="20"/>
          <w:lang w:val="pt-PT"/>
        </w:rPr>
        <w:t xml:space="preserve">dados de 2015 para o </w:t>
      </w:r>
      <w:r w:rsidRPr="000812A9">
        <w:rPr>
          <w:rFonts w:ascii="Garamond" w:hAnsi="Garamond"/>
          <w:b/>
          <w:bCs/>
          <w:i w:val="0"/>
          <w:iCs w:val="0"/>
          <w:color w:val="auto"/>
          <w:sz w:val="20"/>
          <w:szCs w:val="20"/>
          <w:lang w:val="pt-PT"/>
        </w:rPr>
        <w:t xml:space="preserve">indicador 4.4.4 do </w:t>
      </w:r>
      <w:proofErr w:type="spellStart"/>
      <w:r w:rsidRPr="000812A9">
        <w:rPr>
          <w:rFonts w:ascii="Garamond" w:hAnsi="Garamond"/>
          <w:b/>
          <w:bCs/>
          <w:i w:val="0"/>
          <w:iCs w:val="0"/>
          <w:color w:val="auto"/>
          <w:sz w:val="20"/>
          <w:szCs w:val="20"/>
          <w:lang w:val="pt-PT"/>
        </w:rPr>
        <w:t>ODS</w:t>
      </w:r>
      <w:proofErr w:type="spellEnd"/>
      <w:r w:rsidRPr="000812A9">
        <w:rPr>
          <w:rFonts w:ascii="Garamond" w:hAnsi="Garamond"/>
          <w:b/>
          <w:bCs/>
          <w:i w:val="0"/>
          <w:iCs w:val="0"/>
          <w:color w:val="auto"/>
          <w:sz w:val="20"/>
          <w:szCs w:val="20"/>
          <w:lang w:val="pt-PT"/>
        </w:rPr>
        <w:t xml:space="preserve"> 4)</w:t>
      </w:r>
      <w:bookmarkEnd w:id="84"/>
    </w:p>
    <w:p w14:paraId="739E8325" w14:textId="77777777" w:rsidR="005E6AB0" w:rsidRPr="00AE74AE" w:rsidRDefault="005E6AB0" w:rsidP="005E6AB0">
      <w:pPr>
        <w:ind w:left="-567" w:right="-336"/>
        <w:jc w:val="center"/>
        <w:rPr>
          <w:rFonts w:ascii="Garamond" w:hAnsi="Garamond"/>
          <w:sz w:val="28"/>
          <w:szCs w:val="28"/>
          <w:lang w:val="pt-PT"/>
        </w:rPr>
      </w:pPr>
      <w:r>
        <w:rPr>
          <w:noProof/>
        </w:rPr>
        <w:drawing>
          <wp:inline distT="0" distB="0" distL="0" distR="0" wp14:anchorId="12B59574" wp14:editId="5B3335F1">
            <wp:extent cx="6005830" cy="2112135"/>
            <wp:effectExtent l="0" t="0" r="0" b="2540"/>
            <wp:docPr id="34" name="Gráfico 34">
              <a:extLst xmlns:a="http://schemas.openxmlformats.org/drawingml/2006/main">
                <a:ext uri="{FF2B5EF4-FFF2-40B4-BE49-F238E27FC236}">
                  <a16:creationId xmlns:a16="http://schemas.microsoft.com/office/drawing/2014/main" id="{8C01F2BA-EEE6-4165-9A46-A86414F9B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31A2485" w14:textId="77777777" w:rsidR="005E6AB0" w:rsidRDefault="005E6AB0" w:rsidP="005E6AB0">
      <w:pPr>
        <w:jc w:val="both"/>
        <w:rPr>
          <w:rFonts w:ascii="Garamond" w:hAnsi="Garamond"/>
          <w:b/>
          <w:bCs/>
          <w:sz w:val="20"/>
          <w:szCs w:val="20"/>
          <w:lang w:val="pt-PT"/>
        </w:rPr>
      </w:pPr>
      <w:r>
        <w:rPr>
          <w:rFonts w:ascii="Garamond" w:hAnsi="Garamond"/>
          <w:b/>
          <w:bCs/>
          <w:sz w:val="20"/>
          <w:szCs w:val="20"/>
          <w:lang w:val="pt-PT"/>
        </w:rPr>
        <w:t>Fonte: e</w:t>
      </w:r>
      <w:r w:rsidRPr="00D53D14">
        <w:rPr>
          <w:rFonts w:ascii="Garamond" w:hAnsi="Garamond"/>
          <w:b/>
          <w:bCs/>
          <w:sz w:val="20"/>
          <w:szCs w:val="20"/>
          <w:lang w:val="pt-PT"/>
        </w:rPr>
        <w:t>labora</w:t>
      </w:r>
      <w:r>
        <w:rPr>
          <w:rFonts w:ascii="Garamond" w:hAnsi="Garamond"/>
          <w:b/>
          <w:bCs/>
          <w:sz w:val="20"/>
          <w:szCs w:val="20"/>
          <w:lang w:val="pt-PT"/>
        </w:rPr>
        <w:t xml:space="preserve">ção própria </w:t>
      </w:r>
      <w:r w:rsidRPr="00D53D14">
        <w:rPr>
          <w:rFonts w:ascii="Garamond" w:hAnsi="Garamond"/>
          <w:b/>
          <w:bCs/>
          <w:sz w:val="20"/>
          <w:szCs w:val="20"/>
          <w:lang w:val="pt-PT"/>
        </w:rPr>
        <w:t xml:space="preserve">com base nos dados </w:t>
      </w:r>
      <w:r>
        <w:rPr>
          <w:rFonts w:ascii="Garamond" w:hAnsi="Garamond"/>
          <w:b/>
          <w:bCs/>
          <w:sz w:val="20"/>
          <w:szCs w:val="20"/>
          <w:lang w:val="pt-PT"/>
        </w:rPr>
        <w:t>do</w:t>
      </w:r>
      <w:r w:rsidRPr="00D53D14">
        <w:rPr>
          <w:rFonts w:ascii="Garamond" w:hAnsi="Garamond"/>
          <w:b/>
          <w:bCs/>
          <w:sz w:val="20"/>
          <w:szCs w:val="20"/>
          <w:lang w:val="pt-PT"/>
        </w:rPr>
        <w:t xml:space="preserve"> Relatório Estatístico 2017</w:t>
      </w:r>
      <w:r>
        <w:rPr>
          <w:rFonts w:ascii="Garamond" w:hAnsi="Garamond"/>
          <w:b/>
          <w:bCs/>
          <w:sz w:val="20"/>
          <w:szCs w:val="20"/>
          <w:lang w:val="pt-PT"/>
        </w:rPr>
        <w:t xml:space="preserve"> sobre </w:t>
      </w:r>
      <w:proofErr w:type="spellStart"/>
      <w:r>
        <w:rPr>
          <w:rFonts w:ascii="Garamond" w:hAnsi="Garamond"/>
          <w:b/>
          <w:bCs/>
          <w:sz w:val="20"/>
          <w:szCs w:val="20"/>
          <w:lang w:val="pt-PT"/>
        </w:rPr>
        <w:t>ODS</w:t>
      </w:r>
      <w:proofErr w:type="spellEnd"/>
      <w:r w:rsidRPr="00983E96">
        <w:rPr>
          <w:rFonts w:ascii="Garamond" w:hAnsi="Garamond"/>
          <w:b/>
          <w:bCs/>
          <w:sz w:val="20"/>
          <w:szCs w:val="20"/>
          <w:lang w:val="pt-PT"/>
        </w:rPr>
        <w:t xml:space="preserve"> </w:t>
      </w:r>
      <w:r>
        <w:rPr>
          <w:rFonts w:ascii="Garamond" w:hAnsi="Garamond"/>
          <w:b/>
          <w:bCs/>
          <w:sz w:val="20"/>
          <w:szCs w:val="20"/>
          <w:lang w:val="pt-PT"/>
        </w:rPr>
        <w:t xml:space="preserve">do INE </w:t>
      </w:r>
      <w:r w:rsidRPr="00D53D14">
        <w:rPr>
          <w:rFonts w:ascii="Garamond" w:hAnsi="Garamond"/>
          <w:b/>
          <w:bCs/>
          <w:sz w:val="20"/>
          <w:szCs w:val="20"/>
          <w:lang w:val="pt-PT"/>
        </w:rPr>
        <w:t>(2018)</w:t>
      </w:r>
    </w:p>
    <w:p w14:paraId="3CF7C261" w14:textId="77777777" w:rsidR="005E6AB0" w:rsidRPr="00AE74AE" w:rsidRDefault="005E6AB0" w:rsidP="005E6AB0">
      <w:pPr>
        <w:jc w:val="both"/>
        <w:rPr>
          <w:rFonts w:ascii="Garamond" w:hAnsi="Garamond"/>
          <w:b/>
          <w:bCs/>
          <w:sz w:val="20"/>
          <w:szCs w:val="20"/>
          <w:lang w:val="pt-PT"/>
        </w:rPr>
      </w:pPr>
    </w:p>
    <w:p w14:paraId="07E8E8B2" w14:textId="77777777" w:rsidR="005E6AB0" w:rsidRDefault="005E6AB0" w:rsidP="005E6AB0">
      <w:pPr>
        <w:spacing w:after="120"/>
        <w:jc w:val="both"/>
        <w:rPr>
          <w:rFonts w:ascii="Garamond" w:hAnsi="Garamond"/>
          <w:lang w:val="pt-PT"/>
        </w:rPr>
      </w:pPr>
      <w:r w:rsidRPr="00AE74AE">
        <w:rPr>
          <w:rFonts w:ascii="Garamond" w:hAnsi="Garamond"/>
          <w:lang w:val="pt-PT"/>
        </w:rPr>
        <w:t>Contudo, se considerarmos o indicador 4.1.1</w:t>
      </w:r>
      <w:r>
        <w:rPr>
          <w:rStyle w:val="Refdenotaderodap"/>
          <w:rFonts w:ascii="Garamond" w:hAnsi="Garamond"/>
          <w:lang w:val="pt-PT"/>
        </w:rPr>
        <w:footnoteReference w:id="89"/>
      </w:r>
      <w:r w:rsidRPr="00AE74AE">
        <w:rPr>
          <w:rFonts w:ascii="Garamond" w:hAnsi="Garamond"/>
          <w:lang w:val="pt-PT"/>
        </w:rPr>
        <w:t xml:space="preserve"> do </w:t>
      </w:r>
      <w:proofErr w:type="spellStart"/>
      <w:r w:rsidRPr="00AE74AE">
        <w:rPr>
          <w:rFonts w:ascii="Garamond" w:hAnsi="Garamond"/>
          <w:lang w:val="pt-PT"/>
        </w:rPr>
        <w:t>ODS</w:t>
      </w:r>
      <w:proofErr w:type="spellEnd"/>
      <w:r w:rsidRPr="00AE74AE">
        <w:rPr>
          <w:rFonts w:ascii="Garamond" w:hAnsi="Garamond"/>
          <w:lang w:val="pt-PT"/>
        </w:rPr>
        <w:t xml:space="preserve"> 4 acerca das competências de leitura e matemática que o(a)s aluno(a)s atingem na escola, verificamos que contradizem a crença frequentemente veiculada de que os meninos têm mais aptidão do que as meninas para a matemática e ciências: os resultados mostram que as meninas têm sempre mais sucesso do que os </w:t>
      </w:r>
      <w:r>
        <w:rPr>
          <w:rFonts w:ascii="Garamond" w:hAnsi="Garamond"/>
          <w:lang w:val="pt-PT"/>
        </w:rPr>
        <w:t>meninos</w:t>
      </w:r>
      <w:r w:rsidRPr="00AE74AE">
        <w:rPr>
          <w:rFonts w:ascii="Garamond" w:hAnsi="Garamond"/>
          <w:lang w:val="pt-PT"/>
        </w:rPr>
        <w:t>, tanto na matemática como na leitura, em qualquer ano, embora as diferenças se vão esbatendo ao longo do 1º ao 3º ciclo.</w:t>
      </w:r>
    </w:p>
    <w:p w14:paraId="0D33A5E5" w14:textId="77777777" w:rsidR="005E6AB0" w:rsidRDefault="005E6AB0" w:rsidP="005E6AB0">
      <w:pPr>
        <w:spacing w:after="120"/>
        <w:jc w:val="both"/>
        <w:rPr>
          <w:rFonts w:ascii="Garamond" w:hAnsi="Garamond"/>
          <w:lang w:val="pt-PT"/>
        </w:rPr>
      </w:pPr>
    </w:p>
    <w:p w14:paraId="117002A2" w14:textId="77777777" w:rsidR="005E6AB0" w:rsidRDefault="005E6AB0" w:rsidP="005E6AB0">
      <w:pPr>
        <w:spacing w:after="120"/>
        <w:jc w:val="both"/>
        <w:rPr>
          <w:rFonts w:ascii="Garamond" w:hAnsi="Garamond"/>
          <w:lang w:val="pt-PT"/>
        </w:rPr>
      </w:pPr>
    </w:p>
    <w:p w14:paraId="56463E38" w14:textId="39EB5550" w:rsidR="005E6AB0" w:rsidRPr="000812A9" w:rsidRDefault="005E6AB0" w:rsidP="005E6AB0">
      <w:pPr>
        <w:pStyle w:val="Legenda"/>
        <w:spacing w:after="0"/>
        <w:jc w:val="center"/>
        <w:rPr>
          <w:rFonts w:ascii="Garamond" w:hAnsi="Garamond"/>
          <w:b/>
          <w:bCs/>
          <w:i w:val="0"/>
          <w:iCs w:val="0"/>
          <w:color w:val="auto"/>
          <w:sz w:val="20"/>
          <w:szCs w:val="20"/>
          <w:lang w:val="pt-PT"/>
        </w:rPr>
      </w:pPr>
      <w:bookmarkStart w:id="85" w:name="_Toc32856881"/>
      <w:r w:rsidRPr="000812A9">
        <w:rPr>
          <w:rFonts w:ascii="Garamond" w:hAnsi="Garamond"/>
          <w:b/>
          <w:bCs/>
          <w:i w:val="0"/>
          <w:iCs w:val="0"/>
          <w:color w:val="auto"/>
          <w:sz w:val="20"/>
          <w:szCs w:val="20"/>
          <w:lang w:val="pt-PT"/>
        </w:rPr>
        <w:t xml:space="preserve">Gráfico </w:t>
      </w:r>
      <w:r w:rsidRPr="000812A9">
        <w:rPr>
          <w:rFonts w:ascii="Garamond" w:hAnsi="Garamond"/>
          <w:b/>
          <w:bCs/>
          <w:i w:val="0"/>
          <w:iCs w:val="0"/>
          <w:color w:val="auto"/>
          <w:sz w:val="20"/>
          <w:szCs w:val="20"/>
          <w:lang w:val="pt-PT"/>
        </w:rPr>
        <w:fldChar w:fldCharType="begin"/>
      </w:r>
      <w:r w:rsidRPr="000812A9">
        <w:rPr>
          <w:rFonts w:ascii="Garamond" w:hAnsi="Garamond"/>
          <w:b/>
          <w:bCs/>
          <w:i w:val="0"/>
          <w:iCs w:val="0"/>
          <w:color w:val="auto"/>
          <w:sz w:val="20"/>
          <w:szCs w:val="20"/>
          <w:lang w:val="pt-PT"/>
        </w:rPr>
        <w:instrText xml:space="preserve"> SEQ Grafico \* ARABIC </w:instrText>
      </w:r>
      <w:r w:rsidRPr="000812A9">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27</w:t>
      </w:r>
      <w:r w:rsidRPr="000812A9">
        <w:rPr>
          <w:rFonts w:ascii="Garamond" w:hAnsi="Garamond"/>
          <w:b/>
          <w:bCs/>
          <w:i w:val="0"/>
          <w:iCs w:val="0"/>
          <w:color w:val="auto"/>
          <w:sz w:val="20"/>
          <w:szCs w:val="20"/>
          <w:lang w:val="pt-PT"/>
        </w:rPr>
        <w:fldChar w:fldCharType="end"/>
      </w:r>
      <w:r w:rsidRPr="000812A9">
        <w:rPr>
          <w:rFonts w:ascii="Garamond" w:hAnsi="Garamond"/>
          <w:b/>
          <w:bCs/>
          <w:i w:val="0"/>
          <w:iCs w:val="0"/>
          <w:color w:val="auto"/>
          <w:sz w:val="20"/>
          <w:szCs w:val="20"/>
          <w:lang w:val="pt-PT"/>
        </w:rPr>
        <w:t xml:space="preserve"> - Percentagem de crianças</w:t>
      </w:r>
      <w:r>
        <w:rPr>
          <w:rFonts w:ascii="Garamond" w:hAnsi="Garamond"/>
          <w:b/>
          <w:bCs/>
          <w:i w:val="0"/>
          <w:iCs w:val="0"/>
          <w:color w:val="auto"/>
          <w:sz w:val="20"/>
          <w:szCs w:val="20"/>
          <w:lang w:val="pt-PT"/>
        </w:rPr>
        <w:t>/adolescentes</w:t>
      </w:r>
      <w:r w:rsidRPr="000812A9">
        <w:rPr>
          <w:rFonts w:ascii="Garamond" w:hAnsi="Garamond"/>
          <w:b/>
          <w:bCs/>
          <w:i w:val="0"/>
          <w:iCs w:val="0"/>
          <w:color w:val="auto"/>
          <w:sz w:val="20"/>
          <w:szCs w:val="20"/>
          <w:lang w:val="pt-PT"/>
        </w:rPr>
        <w:t xml:space="preserve"> com nível mínimo de proficiência em MATEMÁTICA</w:t>
      </w:r>
      <w:r>
        <w:rPr>
          <w:rFonts w:ascii="Garamond" w:hAnsi="Garamond"/>
          <w:b/>
          <w:bCs/>
          <w:i w:val="0"/>
          <w:iCs w:val="0"/>
          <w:color w:val="auto"/>
          <w:sz w:val="20"/>
          <w:szCs w:val="20"/>
          <w:lang w:val="pt-PT"/>
        </w:rPr>
        <w:t xml:space="preserve">, por ciclo do EB (ambos os sexos) </w:t>
      </w:r>
      <w:r w:rsidRPr="000812A9">
        <w:rPr>
          <w:rFonts w:ascii="Garamond" w:hAnsi="Garamond"/>
          <w:b/>
          <w:bCs/>
          <w:i w:val="0"/>
          <w:iCs w:val="0"/>
          <w:color w:val="auto"/>
          <w:sz w:val="20"/>
          <w:szCs w:val="20"/>
          <w:lang w:val="pt-PT"/>
        </w:rPr>
        <w:t>(indicador 4.</w:t>
      </w:r>
      <w:r>
        <w:rPr>
          <w:rFonts w:ascii="Garamond" w:hAnsi="Garamond"/>
          <w:b/>
          <w:bCs/>
          <w:i w:val="0"/>
          <w:iCs w:val="0"/>
          <w:color w:val="auto"/>
          <w:sz w:val="20"/>
          <w:szCs w:val="20"/>
          <w:lang w:val="pt-PT"/>
        </w:rPr>
        <w:t>1</w:t>
      </w:r>
      <w:r w:rsidRPr="000812A9">
        <w:rPr>
          <w:rFonts w:ascii="Garamond" w:hAnsi="Garamond"/>
          <w:b/>
          <w:bCs/>
          <w:i w:val="0"/>
          <w:iCs w:val="0"/>
          <w:color w:val="auto"/>
          <w:sz w:val="20"/>
          <w:szCs w:val="20"/>
          <w:lang w:val="pt-PT"/>
        </w:rPr>
        <w:t>.</w:t>
      </w:r>
      <w:r>
        <w:rPr>
          <w:rFonts w:ascii="Garamond" w:hAnsi="Garamond"/>
          <w:b/>
          <w:bCs/>
          <w:i w:val="0"/>
          <w:iCs w:val="0"/>
          <w:color w:val="auto"/>
          <w:sz w:val="20"/>
          <w:szCs w:val="20"/>
          <w:lang w:val="pt-PT"/>
        </w:rPr>
        <w:t>1</w:t>
      </w:r>
      <w:r w:rsidRPr="000812A9">
        <w:rPr>
          <w:rFonts w:ascii="Garamond" w:hAnsi="Garamond"/>
          <w:b/>
          <w:bCs/>
          <w:i w:val="0"/>
          <w:iCs w:val="0"/>
          <w:color w:val="auto"/>
          <w:sz w:val="20"/>
          <w:szCs w:val="20"/>
          <w:lang w:val="pt-PT"/>
        </w:rPr>
        <w:t xml:space="preserve"> do </w:t>
      </w:r>
      <w:proofErr w:type="spellStart"/>
      <w:r w:rsidRPr="000812A9">
        <w:rPr>
          <w:rFonts w:ascii="Garamond" w:hAnsi="Garamond"/>
          <w:b/>
          <w:bCs/>
          <w:i w:val="0"/>
          <w:iCs w:val="0"/>
          <w:color w:val="auto"/>
          <w:sz w:val="20"/>
          <w:szCs w:val="20"/>
          <w:lang w:val="pt-PT"/>
        </w:rPr>
        <w:t>ODS</w:t>
      </w:r>
      <w:proofErr w:type="spellEnd"/>
      <w:r w:rsidRPr="000812A9">
        <w:rPr>
          <w:rFonts w:ascii="Garamond" w:hAnsi="Garamond"/>
          <w:b/>
          <w:bCs/>
          <w:i w:val="0"/>
          <w:iCs w:val="0"/>
          <w:color w:val="auto"/>
          <w:sz w:val="20"/>
          <w:szCs w:val="20"/>
          <w:lang w:val="pt-PT"/>
        </w:rPr>
        <w:t xml:space="preserve"> 4)</w:t>
      </w:r>
      <w:r>
        <w:rPr>
          <w:rFonts w:ascii="Garamond" w:hAnsi="Garamond"/>
          <w:b/>
          <w:bCs/>
          <w:i w:val="0"/>
          <w:iCs w:val="0"/>
          <w:color w:val="auto"/>
          <w:sz w:val="20"/>
          <w:szCs w:val="20"/>
          <w:lang w:val="pt-PT"/>
        </w:rPr>
        <w:t xml:space="preserve"> (2017)</w:t>
      </w:r>
      <w:bookmarkEnd w:id="85"/>
    </w:p>
    <w:p w14:paraId="5FCDD304" w14:textId="77777777" w:rsidR="005E6AB0" w:rsidRDefault="005E6AB0" w:rsidP="005E6AB0">
      <w:pPr>
        <w:jc w:val="both"/>
        <w:rPr>
          <w:rFonts w:ascii="Garamond" w:hAnsi="Garamond"/>
          <w:sz w:val="28"/>
          <w:szCs w:val="28"/>
        </w:rPr>
      </w:pPr>
      <w:r>
        <w:rPr>
          <w:noProof/>
        </w:rPr>
        <w:drawing>
          <wp:inline distT="0" distB="0" distL="0" distR="0" wp14:anchorId="56A93E3C" wp14:editId="35C55BEA">
            <wp:extent cx="5556885" cy="970209"/>
            <wp:effectExtent l="0" t="0" r="5715" b="1905"/>
            <wp:docPr id="35" name="Gráfico 35">
              <a:extLst xmlns:a="http://schemas.openxmlformats.org/drawingml/2006/main">
                <a:ext uri="{FF2B5EF4-FFF2-40B4-BE49-F238E27FC236}">
                  <a16:creationId xmlns:a16="http://schemas.microsoft.com/office/drawing/2014/main" id="{CC50E1A6-0237-4525-B83F-5122A3258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6253723" w14:textId="77777777" w:rsidR="005E6AB0" w:rsidRDefault="005E6AB0" w:rsidP="005E6AB0">
      <w:pPr>
        <w:jc w:val="both"/>
        <w:rPr>
          <w:rFonts w:ascii="Garamond" w:hAnsi="Garamond"/>
          <w:b/>
          <w:bCs/>
          <w:sz w:val="20"/>
          <w:szCs w:val="20"/>
          <w:lang w:val="pt-PT"/>
        </w:rPr>
      </w:pPr>
      <w:r>
        <w:rPr>
          <w:rFonts w:ascii="Garamond" w:hAnsi="Garamond"/>
          <w:b/>
          <w:bCs/>
          <w:sz w:val="20"/>
          <w:szCs w:val="20"/>
          <w:lang w:val="pt-PT"/>
        </w:rPr>
        <w:t>Fonte: e</w:t>
      </w:r>
      <w:r w:rsidRPr="00D53D14">
        <w:rPr>
          <w:rFonts w:ascii="Garamond" w:hAnsi="Garamond"/>
          <w:b/>
          <w:bCs/>
          <w:sz w:val="20"/>
          <w:szCs w:val="20"/>
          <w:lang w:val="pt-PT"/>
        </w:rPr>
        <w:t>labora</w:t>
      </w:r>
      <w:r>
        <w:rPr>
          <w:rFonts w:ascii="Garamond" w:hAnsi="Garamond"/>
          <w:b/>
          <w:bCs/>
          <w:sz w:val="20"/>
          <w:szCs w:val="20"/>
          <w:lang w:val="pt-PT"/>
        </w:rPr>
        <w:t xml:space="preserve">ção própria </w:t>
      </w:r>
      <w:r w:rsidRPr="00D53D14">
        <w:rPr>
          <w:rFonts w:ascii="Garamond" w:hAnsi="Garamond"/>
          <w:b/>
          <w:bCs/>
          <w:sz w:val="20"/>
          <w:szCs w:val="20"/>
          <w:lang w:val="pt-PT"/>
        </w:rPr>
        <w:t xml:space="preserve">com base nos dados </w:t>
      </w:r>
      <w:r>
        <w:rPr>
          <w:rFonts w:ascii="Garamond" w:hAnsi="Garamond"/>
          <w:b/>
          <w:bCs/>
          <w:sz w:val="20"/>
          <w:szCs w:val="20"/>
          <w:lang w:val="pt-PT"/>
        </w:rPr>
        <w:t>do</w:t>
      </w:r>
      <w:r w:rsidRPr="00D53D14">
        <w:rPr>
          <w:rFonts w:ascii="Garamond" w:hAnsi="Garamond"/>
          <w:b/>
          <w:bCs/>
          <w:sz w:val="20"/>
          <w:szCs w:val="20"/>
          <w:lang w:val="pt-PT"/>
        </w:rPr>
        <w:t xml:space="preserve"> Relatório Estatístico 2017</w:t>
      </w:r>
      <w:r>
        <w:rPr>
          <w:rFonts w:ascii="Garamond" w:hAnsi="Garamond"/>
          <w:b/>
          <w:bCs/>
          <w:sz w:val="20"/>
          <w:szCs w:val="20"/>
          <w:lang w:val="pt-PT"/>
        </w:rPr>
        <w:t xml:space="preserve"> sobre </w:t>
      </w:r>
      <w:proofErr w:type="spellStart"/>
      <w:r>
        <w:rPr>
          <w:rFonts w:ascii="Garamond" w:hAnsi="Garamond"/>
          <w:b/>
          <w:bCs/>
          <w:sz w:val="20"/>
          <w:szCs w:val="20"/>
          <w:lang w:val="pt-PT"/>
        </w:rPr>
        <w:t>ODS</w:t>
      </w:r>
      <w:proofErr w:type="spellEnd"/>
      <w:r w:rsidRPr="00983E96">
        <w:rPr>
          <w:rFonts w:ascii="Garamond" w:hAnsi="Garamond"/>
          <w:b/>
          <w:bCs/>
          <w:sz w:val="20"/>
          <w:szCs w:val="20"/>
          <w:lang w:val="pt-PT"/>
        </w:rPr>
        <w:t xml:space="preserve"> </w:t>
      </w:r>
      <w:r>
        <w:rPr>
          <w:rFonts w:ascii="Garamond" w:hAnsi="Garamond"/>
          <w:b/>
          <w:bCs/>
          <w:sz w:val="20"/>
          <w:szCs w:val="20"/>
          <w:lang w:val="pt-PT"/>
        </w:rPr>
        <w:t xml:space="preserve">do INE </w:t>
      </w:r>
      <w:r w:rsidRPr="00D53D14">
        <w:rPr>
          <w:rFonts w:ascii="Garamond" w:hAnsi="Garamond"/>
          <w:b/>
          <w:bCs/>
          <w:sz w:val="20"/>
          <w:szCs w:val="20"/>
          <w:lang w:val="pt-PT"/>
        </w:rPr>
        <w:t>(2018)</w:t>
      </w:r>
    </w:p>
    <w:p w14:paraId="0CC12F22" w14:textId="77777777" w:rsidR="005E6AB0" w:rsidRDefault="005E6AB0" w:rsidP="005E6AB0">
      <w:pPr>
        <w:jc w:val="center"/>
        <w:rPr>
          <w:rFonts w:ascii="Garamond" w:hAnsi="Garamond"/>
          <w:b/>
          <w:bCs/>
          <w:color w:val="FF0000"/>
          <w:sz w:val="20"/>
          <w:szCs w:val="20"/>
          <w:lang w:val="pt-PT"/>
        </w:rPr>
      </w:pPr>
    </w:p>
    <w:p w14:paraId="6A39D0BD" w14:textId="77777777" w:rsidR="005E6AB0" w:rsidRDefault="005E6AB0" w:rsidP="005E6AB0">
      <w:pPr>
        <w:jc w:val="center"/>
        <w:rPr>
          <w:rFonts w:ascii="Garamond" w:hAnsi="Garamond"/>
          <w:b/>
          <w:bCs/>
          <w:color w:val="FF0000"/>
          <w:sz w:val="20"/>
          <w:szCs w:val="20"/>
          <w:lang w:val="pt-PT"/>
        </w:rPr>
      </w:pPr>
    </w:p>
    <w:p w14:paraId="4709D500" w14:textId="77777777" w:rsidR="005E6AB0" w:rsidRDefault="005E6AB0" w:rsidP="005E6AB0">
      <w:pPr>
        <w:jc w:val="center"/>
        <w:rPr>
          <w:rFonts w:ascii="Garamond" w:hAnsi="Garamond"/>
          <w:b/>
          <w:bCs/>
          <w:color w:val="FF0000"/>
          <w:sz w:val="20"/>
          <w:szCs w:val="20"/>
          <w:lang w:val="pt-PT"/>
        </w:rPr>
      </w:pPr>
    </w:p>
    <w:p w14:paraId="5F3D41E1" w14:textId="4795E9EF" w:rsidR="005E6AB0" w:rsidRPr="000812A9" w:rsidRDefault="005E6AB0" w:rsidP="005E6AB0">
      <w:pPr>
        <w:pStyle w:val="Legenda"/>
        <w:spacing w:after="0"/>
        <w:jc w:val="center"/>
        <w:rPr>
          <w:rFonts w:ascii="Garamond" w:hAnsi="Garamond"/>
          <w:b/>
          <w:bCs/>
          <w:i w:val="0"/>
          <w:iCs w:val="0"/>
          <w:color w:val="auto"/>
          <w:sz w:val="20"/>
          <w:szCs w:val="20"/>
          <w:lang w:val="pt-PT"/>
        </w:rPr>
      </w:pPr>
      <w:bookmarkStart w:id="86" w:name="_Toc32856882"/>
      <w:r w:rsidRPr="000812A9">
        <w:rPr>
          <w:rFonts w:ascii="Garamond" w:hAnsi="Garamond"/>
          <w:b/>
          <w:bCs/>
          <w:i w:val="0"/>
          <w:iCs w:val="0"/>
          <w:color w:val="auto"/>
          <w:sz w:val="20"/>
          <w:szCs w:val="20"/>
          <w:lang w:val="pt-PT"/>
        </w:rPr>
        <w:t xml:space="preserve">Gráfico </w:t>
      </w:r>
      <w:r w:rsidRPr="00D64E9D">
        <w:rPr>
          <w:rFonts w:ascii="Garamond" w:hAnsi="Garamond"/>
          <w:b/>
          <w:bCs/>
          <w:i w:val="0"/>
          <w:iCs w:val="0"/>
          <w:color w:val="auto"/>
          <w:sz w:val="20"/>
          <w:szCs w:val="20"/>
          <w:lang w:val="pt-PT"/>
        </w:rPr>
        <w:fldChar w:fldCharType="begin"/>
      </w:r>
      <w:r w:rsidRPr="00D64E9D">
        <w:rPr>
          <w:rFonts w:ascii="Garamond" w:hAnsi="Garamond"/>
          <w:b/>
          <w:bCs/>
          <w:i w:val="0"/>
          <w:iCs w:val="0"/>
          <w:color w:val="auto"/>
          <w:sz w:val="20"/>
          <w:szCs w:val="20"/>
          <w:lang w:val="pt-PT"/>
        </w:rPr>
        <w:instrText xml:space="preserve"> SEQ Grafico \* ARABIC </w:instrText>
      </w:r>
      <w:r w:rsidRPr="00D64E9D">
        <w:rPr>
          <w:rFonts w:ascii="Garamond" w:hAnsi="Garamond"/>
          <w:b/>
          <w:bCs/>
          <w:i w:val="0"/>
          <w:iCs w:val="0"/>
          <w:color w:val="auto"/>
          <w:sz w:val="20"/>
          <w:szCs w:val="20"/>
          <w:lang w:val="pt-PT"/>
        </w:rPr>
        <w:fldChar w:fldCharType="separate"/>
      </w:r>
      <w:r w:rsidR="009F122A">
        <w:rPr>
          <w:rFonts w:ascii="Garamond" w:hAnsi="Garamond"/>
          <w:b/>
          <w:bCs/>
          <w:i w:val="0"/>
          <w:iCs w:val="0"/>
          <w:noProof/>
          <w:color w:val="auto"/>
          <w:sz w:val="20"/>
          <w:szCs w:val="20"/>
          <w:lang w:val="pt-PT"/>
        </w:rPr>
        <w:t>28</w:t>
      </w:r>
      <w:r w:rsidRPr="00D64E9D">
        <w:rPr>
          <w:rFonts w:ascii="Garamond" w:hAnsi="Garamond"/>
          <w:b/>
          <w:bCs/>
          <w:i w:val="0"/>
          <w:iCs w:val="0"/>
          <w:color w:val="auto"/>
          <w:sz w:val="20"/>
          <w:szCs w:val="20"/>
          <w:lang w:val="pt-PT"/>
        </w:rPr>
        <w:fldChar w:fldCharType="end"/>
      </w:r>
      <w:r>
        <w:rPr>
          <w:rFonts w:ascii="Garamond" w:hAnsi="Garamond"/>
          <w:b/>
          <w:bCs/>
          <w:i w:val="0"/>
          <w:iCs w:val="0"/>
          <w:color w:val="auto"/>
          <w:sz w:val="20"/>
          <w:szCs w:val="20"/>
          <w:lang w:val="pt-PT"/>
        </w:rPr>
        <w:t xml:space="preserve"> </w:t>
      </w:r>
      <w:r w:rsidRPr="000812A9">
        <w:rPr>
          <w:rFonts w:ascii="Garamond" w:hAnsi="Garamond"/>
          <w:b/>
          <w:bCs/>
          <w:i w:val="0"/>
          <w:iCs w:val="0"/>
          <w:color w:val="auto"/>
          <w:sz w:val="20"/>
          <w:szCs w:val="20"/>
          <w:lang w:val="pt-PT"/>
        </w:rPr>
        <w:t>- Percentagem de crianças</w:t>
      </w:r>
      <w:r>
        <w:rPr>
          <w:rFonts w:ascii="Garamond" w:hAnsi="Garamond"/>
          <w:b/>
          <w:bCs/>
          <w:i w:val="0"/>
          <w:iCs w:val="0"/>
          <w:color w:val="auto"/>
          <w:sz w:val="20"/>
          <w:szCs w:val="20"/>
          <w:lang w:val="pt-PT"/>
        </w:rPr>
        <w:t>/adolescentes</w:t>
      </w:r>
      <w:r w:rsidRPr="000812A9">
        <w:rPr>
          <w:rFonts w:ascii="Garamond" w:hAnsi="Garamond"/>
          <w:b/>
          <w:bCs/>
          <w:i w:val="0"/>
          <w:iCs w:val="0"/>
          <w:color w:val="auto"/>
          <w:sz w:val="20"/>
          <w:szCs w:val="20"/>
          <w:lang w:val="pt-PT"/>
        </w:rPr>
        <w:t xml:space="preserve"> com nível mínimo de proficiência </w:t>
      </w:r>
      <w:r>
        <w:rPr>
          <w:rFonts w:ascii="Garamond" w:hAnsi="Garamond"/>
          <w:b/>
          <w:bCs/>
          <w:i w:val="0"/>
          <w:iCs w:val="0"/>
          <w:color w:val="auto"/>
          <w:sz w:val="20"/>
          <w:szCs w:val="20"/>
          <w:lang w:val="pt-PT"/>
        </w:rPr>
        <w:t xml:space="preserve">na LEITURA, por ciclo do EB (ambos os sexos) </w:t>
      </w:r>
      <w:r w:rsidRPr="000812A9">
        <w:rPr>
          <w:rFonts w:ascii="Garamond" w:hAnsi="Garamond"/>
          <w:b/>
          <w:bCs/>
          <w:i w:val="0"/>
          <w:iCs w:val="0"/>
          <w:color w:val="auto"/>
          <w:sz w:val="20"/>
          <w:szCs w:val="20"/>
          <w:lang w:val="pt-PT"/>
        </w:rPr>
        <w:t>(indicador 4.</w:t>
      </w:r>
      <w:r>
        <w:rPr>
          <w:rFonts w:ascii="Garamond" w:hAnsi="Garamond"/>
          <w:b/>
          <w:bCs/>
          <w:i w:val="0"/>
          <w:iCs w:val="0"/>
          <w:color w:val="auto"/>
          <w:sz w:val="20"/>
          <w:szCs w:val="20"/>
          <w:lang w:val="pt-PT"/>
        </w:rPr>
        <w:t>1</w:t>
      </w:r>
      <w:r w:rsidRPr="000812A9">
        <w:rPr>
          <w:rFonts w:ascii="Garamond" w:hAnsi="Garamond"/>
          <w:b/>
          <w:bCs/>
          <w:i w:val="0"/>
          <w:iCs w:val="0"/>
          <w:color w:val="auto"/>
          <w:sz w:val="20"/>
          <w:szCs w:val="20"/>
          <w:lang w:val="pt-PT"/>
        </w:rPr>
        <w:t>.</w:t>
      </w:r>
      <w:r>
        <w:rPr>
          <w:rFonts w:ascii="Garamond" w:hAnsi="Garamond"/>
          <w:b/>
          <w:bCs/>
          <w:i w:val="0"/>
          <w:iCs w:val="0"/>
          <w:color w:val="auto"/>
          <w:sz w:val="20"/>
          <w:szCs w:val="20"/>
          <w:lang w:val="pt-PT"/>
        </w:rPr>
        <w:t>1</w:t>
      </w:r>
      <w:r w:rsidRPr="000812A9">
        <w:rPr>
          <w:rFonts w:ascii="Garamond" w:hAnsi="Garamond"/>
          <w:b/>
          <w:bCs/>
          <w:i w:val="0"/>
          <w:iCs w:val="0"/>
          <w:color w:val="auto"/>
          <w:sz w:val="20"/>
          <w:szCs w:val="20"/>
          <w:lang w:val="pt-PT"/>
        </w:rPr>
        <w:t xml:space="preserve"> do </w:t>
      </w:r>
      <w:proofErr w:type="spellStart"/>
      <w:r w:rsidRPr="000812A9">
        <w:rPr>
          <w:rFonts w:ascii="Garamond" w:hAnsi="Garamond"/>
          <w:b/>
          <w:bCs/>
          <w:i w:val="0"/>
          <w:iCs w:val="0"/>
          <w:color w:val="auto"/>
          <w:sz w:val="20"/>
          <w:szCs w:val="20"/>
          <w:lang w:val="pt-PT"/>
        </w:rPr>
        <w:t>ODS</w:t>
      </w:r>
      <w:proofErr w:type="spellEnd"/>
      <w:r w:rsidRPr="000812A9">
        <w:rPr>
          <w:rFonts w:ascii="Garamond" w:hAnsi="Garamond"/>
          <w:b/>
          <w:bCs/>
          <w:i w:val="0"/>
          <w:iCs w:val="0"/>
          <w:color w:val="auto"/>
          <w:sz w:val="20"/>
          <w:szCs w:val="20"/>
          <w:lang w:val="pt-PT"/>
        </w:rPr>
        <w:t xml:space="preserve"> 4)</w:t>
      </w:r>
      <w:r>
        <w:rPr>
          <w:rFonts w:ascii="Garamond" w:hAnsi="Garamond"/>
          <w:b/>
          <w:bCs/>
          <w:i w:val="0"/>
          <w:iCs w:val="0"/>
          <w:color w:val="auto"/>
          <w:sz w:val="20"/>
          <w:szCs w:val="20"/>
          <w:lang w:val="pt-PT"/>
        </w:rPr>
        <w:t xml:space="preserve"> (2017)</w:t>
      </w:r>
      <w:bookmarkEnd w:id="86"/>
    </w:p>
    <w:p w14:paraId="4C154F9F" w14:textId="77777777" w:rsidR="005E6AB0" w:rsidRPr="004D3551" w:rsidRDefault="005E6AB0" w:rsidP="005E6AB0">
      <w:pPr>
        <w:jc w:val="both"/>
        <w:rPr>
          <w:rFonts w:ascii="Garamond" w:hAnsi="Garamond"/>
          <w:sz w:val="28"/>
          <w:szCs w:val="28"/>
          <w:lang w:val="pt-PT"/>
        </w:rPr>
      </w:pPr>
      <w:r>
        <w:rPr>
          <w:noProof/>
        </w:rPr>
        <w:drawing>
          <wp:inline distT="0" distB="0" distL="0" distR="0" wp14:anchorId="6F63EADC" wp14:editId="6735E55E">
            <wp:extent cx="5485765" cy="970209"/>
            <wp:effectExtent l="0" t="0" r="635" b="1905"/>
            <wp:docPr id="36" name="Gráfico 36">
              <a:extLst xmlns:a="http://schemas.openxmlformats.org/drawingml/2006/main">
                <a:ext uri="{FF2B5EF4-FFF2-40B4-BE49-F238E27FC236}">
                  <a16:creationId xmlns:a16="http://schemas.microsoft.com/office/drawing/2014/main" id="{699770CC-C031-452B-83D1-C6B5CDD35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4D3551">
        <w:rPr>
          <w:rFonts w:ascii="Garamond" w:hAnsi="Garamond"/>
          <w:sz w:val="28"/>
          <w:szCs w:val="28"/>
          <w:lang w:val="pt-PT"/>
        </w:rPr>
        <w:t xml:space="preserve">  </w:t>
      </w:r>
    </w:p>
    <w:p w14:paraId="689C5C67" w14:textId="77777777" w:rsidR="005E6AB0" w:rsidRDefault="005E6AB0" w:rsidP="005E6AB0">
      <w:pPr>
        <w:jc w:val="both"/>
        <w:rPr>
          <w:rFonts w:ascii="Garamond" w:hAnsi="Garamond"/>
          <w:b/>
          <w:bCs/>
          <w:sz w:val="20"/>
          <w:szCs w:val="20"/>
          <w:lang w:val="pt-PT"/>
        </w:rPr>
      </w:pPr>
      <w:r>
        <w:rPr>
          <w:rFonts w:ascii="Garamond" w:hAnsi="Garamond"/>
          <w:b/>
          <w:bCs/>
          <w:sz w:val="20"/>
          <w:szCs w:val="20"/>
          <w:lang w:val="pt-PT"/>
        </w:rPr>
        <w:t>Fonte: e</w:t>
      </w:r>
      <w:r w:rsidRPr="00D53D14">
        <w:rPr>
          <w:rFonts w:ascii="Garamond" w:hAnsi="Garamond"/>
          <w:b/>
          <w:bCs/>
          <w:sz w:val="20"/>
          <w:szCs w:val="20"/>
          <w:lang w:val="pt-PT"/>
        </w:rPr>
        <w:t>labora</w:t>
      </w:r>
      <w:r>
        <w:rPr>
          <w:rFonts w:ascii="Garamond" w:hAnsi="Garamond"/>
          <w:b/>
          <w:bCs/>
          <w:sz w:val="20"/>
          <w:szCs w:val="20"/>
          <w:lang w:val="pt-PT"/>
        </w:rPr>
        <w:t xml:space="preserve">ção própria </w:t>
      </w:r>
      <w:r w:rsidRPr="00D53D14">
        <w:rPr>
          <w:rFonts w:ascii="Garamond" w:hAnsi="Garamond"/>
          <w:b/>
          <w:bCs/>
          <w:sz w:val="20"/>
          <w:szCs w:val="20"/>
          <w:lang w:val="pt-PT"/>
        </w:rPr>
        <w:t xml:space="preserve">com base nos dados </w:t>
      </w:r>
      <w:r>
        <w:rPr>
          <w:rFonts w:ascii="Garamond" w:hAnsi="Garamond"/>
          <w:b/>
          <w:bCs/>
          <w:sz w:val="20"/>
          <w:szCs w:val="20"/>
          <w:lang w:val="pt-PT"/>
        </w:rPr>
        <w:t xml:space="preserve">do ME (INE, 2018, </w:t>
      </w:r>
      <w:r w:rsidRPr="00D53D14">
        <w:rPr>
          <w:rFonts w:ascii="Garamond" w:hAnsi="Garamond"/>
          <w:b/>
          <w:bCs/>
          <w:sz w:val="20"/>
          <w:szCs w:val="20"/>
          <w:lang w:val="pt-PT"/>
        </w:rPr>
        <w:t>Relatório Estatístico 2017</w:t>
      </w:r>
      <w:r>
        <w:rPr>
          <w:rFonts w:ascii="Garamond" w:hAnsi="Garamond"/>
          <w:b/>
          <w:bCs/>
          <w:sz w:val="20"/>
          <w:szCs w:val="20"/>
          <w:lang w:val="pt-PT"/>
        </w:rPr>
        <w:t>-ODS)</w:t>
      </w:r>
    </w:p>
    <w:p w14:paraId="5191CCDC" w14:textId="77777777" w:rsidR="005E6AB0" w:rsidRDefault="005E6AB0" w:rsidP="005E6AB0">
      <w:pPr>
        <w:jc w:val="both"/>
        <w:rPr>
          <w:rFonts w:ascii="Garamond" w:hAnsi="Garamond"/>
          <w:lang w:val="pt-PT"/>
        </w:rPr>
      </w:pPr>
    </w:p>
    <w:p w14:paraId="616CEDE9" w14:textId="77777777" w:rsidR="005E6AB0" w:rsidRPr="00AE74AE" w:rsidRDefault="005E6AB0" w:rsidP="005E6AB0">
      <w:pPr>
        <w:jc w:val="both"/>
        <w:rPr>
          <w:rFonts w:ascii="Garamond" w:hAnsi="Garamond"/>
          <w:lang w:val="pt-PT"/>
        </w:rPr>
      </w:pPr>
      <w:r w:rsidRPr="00AE74AE">
        <w:rPr>
          <w:rFonts w:ascii="Garamond" w:hAnsi="Garamond"/>
          <w:lang w:val="pt-PT"/>
        </w:rPr>
        <w:t xml:space="preserve">Estes resultados são consistentes com estudos das habilidades matemáticas de meninas e meninos até aos primeiros anos de escolaridade, que indicam que ambos têm faculdades cognitivas para o raciocínio matemático durante a infância. As disparidades de género nas áreas da </w:t>
      </w:r>
      <w:proofErr w:type="spellStart"/>
      <w:r w:rsidRPr="00AE74AE">
        <w:rPr>
          <w:rFonts w:ascii="Garamond" w:hAnsi="Garamond"/>
          <w:lang w:val="pt-PT"/>
        </w:rPr>
        <w:t>STEM</w:t>
      </w:r>
      <w:proofErr w:type="spellEnd"/>
      <w:r w:rsidRPr="00AE74AE">
        <w:rPr>
          <w:rFonts w:ascii="Garamond" w:hAnsi="Garamond"/>
          <w:lang w:val="pt-PT"/>
        </w:rPr>
        <w:t xml:space="preserve"> (sigla inglesa para ciência, tecnologia, engenharia e matemática) carecem de uma análise sociológica: são áreas dominadas por homens e com um forte legado machista, tendo as mulheres sido desencorajadas ao longo de séculos de nelas participar. Assim, tendo em conta o impacto das expectativas dos professores, pais e sociedade no desempenho de alunos e alunas, será fundamental desconstruir as crenças no potencial inato dos meninos versus meninas para a matemática, ciência e tecnologia, sendo que ambos podem ser dotados de tal potencial e desenvolver as suas aptidões e competências. Assim, será importante reforçar a «</w:t>
      </w:r>
      <w:r w:rsidRPr="00AE74AE">
        <w:rPr>
          <w:rFonts w:ascii="Garamond" w:hAnsi="Garamond"/>
          <w:i/>
          <w:iCs/>
          <w:lang w:val="pt-PT"/>
        </w:rPr>
        <w:t>…orientação académico profissional livre de estereótipos sexistas e que promova a escolha pessoal de acordo com as próprias capacidades e preferências pessoais</w:t>
      </w:r>
      <w:r w:rsidRPr="00AE74AE">
        <w:rPr>
          <w:rFonts w:ascii="Garamond" w:hAnsi="Garamond"/>
          <w:lang w:val="pt-PT"/>
        </w:rPr>
        <w:t>».</w:t>
      </w:r>
      <w:r w:rsidRPr="000942E8">
        <w:rPr>
          <w:rStyle w:val="Refdenotaderodap"/>
          <w:rFonts w:ascii="Garamond" w:hAnsi="Garamond"/>
        </w:rPr>
        <w:footnoteReference w:id="90"/>
      </w:r>
    </w:p>
    <w:p w14:paraId="2AEFE341" w14:textId="77777777" w:rsidR="005E6AB0" w:rsidRPr="00AE74AE" w:rsidRDefault="005E6AB0" w:rsidP="00786DEC">
      <w:pPr>
        <w:pStyle w:val="PargrafodaLista"/>
        <w:numPr>
          <w:ilvl w:val="0"/>
          <w:numId w:val="20"/>
        </w:numPr>
        <w:spacing w:after="240"/>
        <w:jc w:val="both"/>
        <w:rPr>
          <w:rFonts w:ascii="Garamond" w:hAnsi="Garamond"/>
          <w:lang w:val="pt-PT"/>
        </w:rPr>
      </w:pPr>
      <w:bookmarkStart w:id="87" w:name="_Hlk31648075"/>
      <w:r w:rsidRPr="00AE74AE">
        <w:rPr>
          <w:rFonts w:ascii="Garamond" w:hAnsi="Garamond"/>
          <w:lang w:val="pt-PT"/>
        </w:rPr>
        <w:t>Tendo em conta que está em curso o reforço da orientação escolar, vocacional e profissional no sistema de ensino, deverá ser feita uma análise de género às metodologias, instrumentos e materiais de utilizados, elaborar directrizes e critérios de qualidade para uma orientação sensível ao género</w:t>
      </w:r>
      <w:r>
        <w:rPr>
          <w:rFonts w:ascii="Garamond" w:hAnsi="Garamond"/>
          <w:lang w:val="pt-PT"/>
        </w:rPr>
        <w:t xml:space="preserve">, a integrar nos </w:t>
      </w:r>
      <w:r w:rsidRPr="004541AE">
        <w:rPr>
          <w:rFonts w:ascii="Garamond" w:hAnsi="Garamond"/>
          <w:lang w:val="pt-PT"/>
        </w:rPr>
        <w:t>documentos orientadores de orientação vocacional</w:t>
      </w:r>
      <w:r>
        <w:rPr>
          <w:rFonts w:ascii="Garamond" w:hAnsi="Garamond"/>
          <w:lang w:val="pt-PT"/>
        </w:rPr>
        <w:t>.</w:t>
      </w:r>
      <w:r w:rsidRPr="00AE74AE">
        <w:rPr>
          <w:rFonts w:ascii="Garamond" w:hAnsi="Garamond"/>
          <w:lang w:val="pt-PT"/>
        </w:rPr>
        <w:t xml:space="preserve"> </w:t>
      </w:r>
    </w:p>
    <w:bookmarkEnd w:id="87"/>
    <w:p w14:paraId="4FEE05C3" w14:textId="77777777" w:rsidR="005E6AB0" w:rsidRPr="00AE74AE" w:rsidRDefault="005E6AB0" w:rsidP="00786DEC">
      <w:pPr>
        <w:pStyle w:val="PargrafodaLista"/>
        <w:numPr>
          <w:ilvl w:val="0"/>
          <w:numId w:val="20"/>
        </w:numPr>
        <w:spacing w:after="240"/>
        <w:jc w:val="both"/>
        <w:rPr>
          <w:rFonts w:ascii="Garamond" w:hAnsi="Garamond"/>
          <w:lang w:val="pt-PT"/>
        </w:rPr>
      </w:pPr>
      <w:r w:rsidRPr="00AE74AE">
        <w:rPr>
          <w:rFonts w:ascii="Garamond" w:hAnsi="Garamond"/>
          <w:lang w:val="pt-PT"/>
        </w:rPr>
        <w:t xml:space="preserve">Em apoio a esta iniciativa, deverá ser elaborada uma revisão analítica da literatura em matéria de aptidões para as áreas da </w:t>
      </w:r>
      <w:proofErr w:type="spellStart"/>
      <w:r w:rsidRPr="00AE74AE">
        <w:rPr>
          <w:rFonts w:ascii="Garamond" w:hAnsi="Garamond"/>
          <w:lang w:val="pt-PT"/>
        </w:rPr>
        <w:t>STEM</w:t>
      </w:r>
      <w:proofErr w:type="spellEnd"/>
      <w:r w:rsidRPr="00AE74AE">
        <w:rPr>
          <w:rFonts w:ascii="Garamond" w:hAnsi="Garamond"/>
          <w:lang w:val="pt-PT"/>
        </w:rPr>
        <w:t xml:space="preserve"> de meninas</w:t>
      </w:r>
      <w:r>
        <w:rPr>
          <w:rFonts w:ascii="Garamond" w:hAnsi="Garamond"/>
          <w:lang w:val="pt-PT"/>
        </w:rPr>
        <w:t>/m</w:t>
      </w:r>
      <w:r w:rsidRPr="00AE74AE">
        <w:rPr>
          <w:rFonts w:ascii="Garamond" w:hAnsi="Garamond"/>
          <w:lang w:val="pt-PT"/>
        </w:rPr>
        <w:t>eninos, mulheres</w:t>
      </w:r>
      <w:r>
        <w:rPr>
          <w:rFonts w:ascii="Garamond" w:hAnsi="Garamond"/>
          <w:lang w:val="pt-PT"/>
        </w:rPr>
        <w:t>/</w:t>
      </w:r>
      <w:r w:rsidRPr="00AE74AE">
        <w:rPr>
          <w:rFonts w:ascii="Garamond" w:hAnsi="Garamond"/>
          <w:lang w:val="pt-PT"/>
        </w:rPr>
        <w:t>homens</w:t>
      </w:r>
      <w:r>
        <w:rPr>
          <w:rFonts w:ascii="Garamond" w:hAnsi="Garamond"/>
          <w:lang w:val="pt-PT"/>
        </w:rPr>
        <w:t>.</w:t>
      </w:r>
      <w:r w:rsidRPr="00AE74AE">
        <w:rPr>
          <w:rFonts w:ascii="Garamond" w:hAnsi="Garamond"/>
          <w:lang w:val="pt-PT"/>
        </w:rPr>
        <w:t xml:space="preserve">      </w:t>
      </w:r>
    </w:p>
    <w:p w14:paraId="795FD8D0" w14:textId="77777777" w:rsidR="005E6AB0" w:rsidRPr="00AE74AE" w:rsidRDefault="005E6AB0" w:rsidP="00786DEC">
      <w:pPr>
        <w:pStyle w:val="PargrafodaLista"/>
        <w:numPr>
          <w:ilvl w:val="0"/>
          <w:numId w:val="20"/>
        </w:numPr>
        <w:spacing w:after="240"/>
        <w:jc w:val="both"/>
        <w:rPr>
          <w:rFonts w:ascii="Garamond" w:hAnsi="Garamond"/>
          <w:lang w:val="pt-PT"/>
        </w:rPr>
      </w:pPr>
      <w:r w:rsidRPr="00AE74AE">
        <w:rPr>
          <w:rFonts w:ascii="Garamond" w:hAnsi="Garamond"/>
          <w:lang w:val="pt-PT"/>
        </w:rPr>
        <w:t>Ao mesmo tempo</w:t>
      </w:r>
      <w:r>
        <w:rPr>
          <w:rFonts w:ascii="Garamond" w:hAnsi="Garamond"/>
          <w:lang w:val="pt-PT"/>
        </w:rPr>
        <w:t xml:space="preserve">, </w:t>
      </w:r>
      <w:r w:rsidRPr="00AE74AE">
        <w:rPr>
          <w:rFonts w:ascii="Garamond" w:hAnsi="Garamond"/>
          <w:lang w:val="pt-PT"/>
        </w:rPr>
        <w:t xml:space="preserve">formar as equipas responsáveis </w:t>
      </w:r>
      <w:proofErr w:type="spellStart"/>
      <w:r w:rsidRPr="00AE74AE">
        <w:rPr>
          <w:rFonts w:ascii="Garamond" w:hAnsi="Garamond"/>
          <w:lang w:val="pt-PT"/>
        </w:rPr>
        <w:t>pela</w:t>
      </w:r>
      <w:proofErr w:type="spellEnd"/>
      <w:r w:rsidRPr="00AE74AE">
        <w:rPr>
          <w:rFonts w:ascii="Garamond" w:hAnsi="Garamond"/>
          <w:lang w:val="pt-PT"/>
        </w:rPr>
        <w:t xml:space="preserve"> orientação e estabelecer um sistema de monitorização da integração d</w:t>
      </w:r>
      <w:r>
        <w:rPr>
          <w:rFonts w:ascii="Garamond" w:hAnsi="Garamond"/>
          <w:lang w:val="pt-PT"/>
        </w:rPr>
        <w:t xml:space="preserve">o </w:t>
      </w:r>
      <w:r w:rsidRPr="00AE74AE">
        <w:rPr>
          <w:rFonts w:ascii="Garamond" w:hAnsi="Garamond"/>
          <w:lang w:val="pt-PT"/>
        </w:rPr>
        <w:t xml:space="preserve">género nos serviços de orientação vocacional e traçar uma estratégia para a sensibilização de outros </w:t>
      </w:r>
      <w:proofErr w:type="spellStart"/>
      <w:r w:rsidRPr="00AE74AE">
        <w:rPr>
          <w:rFonts w:ascii="Garamond" w:hAnsi="Garamond"/>
          <w:lang w:val="pt-PT"/>
        </w:rPr>
        <w:t>atores</w:t>
      </w:r>
      <w:proofErr w:type="spellEnd"/>
      <w:r w:rsidRPr="00AE74AE">
        <w:rPr>
          <w:rFonts w:ascii="Garamond" w:hAnsi="Garamond"/>
          <w:lang w:val="pt-PT"/>
        </w:rPr>
        <w:t xml:space="preserve"> chave</w:t>
      </w:r>
      <w:r>
        <w:rPr>
          <w:rFonts w:ascii="Garamond" w:hAnsi="Garamond"/>
          <w:lang w:val="pt-PT"/>
        </w:rPr>
        <w:t>.</w:t>
      </w:r>
    </w:p>
    <w:p w14:paraId="6D0D8EA2" w14:textId="77777777" w:rsidR="005E6AB0" w:rsidRPr="00AE74AE" w:rsidRDefault="005E6AB0" w:rsidP="00786DEC">
      <w:pPr>
        <w:pStyle w:val="PargrafodaLista"/>
        <w:numPr>
          <w:ilvl w:val="0"/>
          <w:numId w:val="20"/>
        </w:numPr>
        <w:spacing w:after="240"/>
        <w:jc w:val="both"/>
        <w:rPr>
          <w:rFonts w:ascii="Garamond" w:hAnsi="Garamond"/>
          <w:lang w:val="pt-PT"/>
        </w:rPr>
      </w:pPr>
      <w:r>
        <w:rPr>
          <w:rFonts w:ascii="Garamond" w:hAnsi="Garamond"/>
          <w:lang w:val="pt-PT"/>
        </w:rPr>
        <w:t>O</w:t>
      </w:r>
      <w:r w:rsidRPr="00AE74AE">
        <w:rPr>
          <w:rFonts w:ascii="Garamond" w:hAnsi="Garamond"/>
          <w:lang w:val="pt-PT"/>
        </w:rPr>
        <w:t xml:space="preserve"> </w:t>
      </w:r>
      <w:r w:rsidRPr="00AE74AE">
        <w:rPr>
          <w:rFonts w:ascii="Garamond" w:hAnsi="Garamond"/>
          <w:i/>
          <w:lang w:val="pt-PT"/>
        </w:rPr>
        <w:t xml:space="preserve">Roteiro de Género do </w:t>
      </w:r>
      <w:proofErr w:type="spellStart"/>
      <w:r w:rsidRPr="00AE74AE">
        <w:rPr>
          <w:rFonts w:ascii="Garamond" w:hAnsi="Garamond"/>
          <w:i/>
          <w:lang w:val="pt-PT"/>
        </w:rPr>
        <w:t>setor</w:t>
      </w:r>
      <w:proofErr w:type="spellEnd"/>
      <w:r w:rsidRPr="00AE74AE">
        <w:rPr>
          <w:rFonts w:ascii="Garamond" w:hAnsi="Garamond"/>
          <w:i/>
          <w:lang w:val="pt-PT"/>
        </w:rPr>
        <w:t xml:space="preserve"> EFE </w:t>
      </w:r>
      <w:r w:rsidRPr="00AE74AE">
        <w:rPr>
          <w:rFonts w:ascii="Garamond" w:hAnsi="Garamond"/>
          <w:lang w:val="pt-PT"/>
        </w:rPr>
        <w:t>prevê o reforço da orientação vocacional sensível ao género no Ensino Técnico e Formação Profissional (</w:t>
      </w:r>
      <w:proofErr w:type="spellStart"/>
      <w:r w:rsidRPr="00AE74AE">
        <w:rPr>
          <w:rFonts w:ascii="Garamond" w:hAnsi="Garamond"/>
          <w:lang w:val="pt-PT"/>
        </w:rPr>
        <w:t>ETFP</w:t>
      </w:r>
      <w:proofErr w:type="spellEnd"/>
      <w:r w:rsidRPr="00AE74AE">
        <w:rPr>
          <w:rFonts w:ascii="Garamond" w:hAnsi="Garamond"/>
          <w:lang w:val="pt-PT"/>
        </w:rPr>
        <w:t>)</w:t>
      </w:r>
      <w:r>
        <w:rPr>
          <w:rFonts w:ascii="Garamond" w:hAnsi="Garamond"/>
          <w:lang w:val="pt-PT"/>
        </w:rPr>
        <w:t xml:space="preserve">, com </w:t>
      </w:r>
      <w:r w:rsidRPr="00AE74AE">
        <w:rPr>
          <w:rFonts w:ascii="Garamond" w:hAnsi="Garamond"/>
          <w:lang w:val="pt-PT"/>
        </w:rPr>
        <w:t>a divulgação dos cursos sem estereótipos de género</w:t>
      </w:r>
      <w:r>
        <w:rPr>
          <w:rFonts w:ascii="Garamond" w:hAnsi="Garamond"/>
          <w:lang w:val="pt-PT"/>
        </w:rPr>
        <w:t xml:space="preserve">, </w:t>
      </w:r>
      <w:proofErr w:type="spellStart"/>
      <w:r>
        <w:rPr>
          <w:rFonts w:ascii="Garamond" w:hAnsi="Garamond"/>
          <w:lang w:val="pt-PT"/>
        </w:rPr>
        <w:t>pelo</w:t>
      </w:r>
      <w:proofErr w:type="spellEnd"/>
      <w:r>
        <w:rPr>
          <w:rFonts w:ascii="Garamond" w:hAnsi="Garamond"/>
          <w:lang w:val="pt-PT"/>
        </w:rPr>
        <w:t xml:space="preserve"> que </w:t>
      </w:r>
      <w:r w:rsidRPr="00AE74AE">
        <w:rPr>
          <w:rFonts w:ascii="Garamond" w:hAnsi="Garamond"/>
          <w:lang w:val="pt-PT"/>
        </w:rPr>
        <w:t xml:space="preserve">as </w:t>
      </w:r>
      <w:proofErr w:type="spellStart"/>
      <w:r w:rsidRPr="00AE74AE">
        <w:rPr>
          <w:rFonts w:ascii="Garamond" w:hAnsi="Garamond"/>
          <w:lang w:val="pt-PT"/>
        </w:rPr>
        <w:t>ações</w:t>
      </w:r>
      <w:proofErr w:type="spellEnd"/>
      <w:r w:rsidRPr="00AE74AE">
        <w:rPr>
          <w:rFonts w:ascii="Garamond" w:hAnsi="Garamond"/>
          <w:lang w:val="pt-PT"/>
        </w:rPr>
        <w:t xml:space="preserve"> devem ser concertadas</w:t>
      </w:r>
      <w:r>
        <w:rPr>
          <w:rFonts w:ascii="Garamond" w:hAnsi="Garamond"/>
          <w:lang w:val="pt-PT"/>
        </w:rPr>
        <w:t>.</w:t>
      </w:r>
    </w:p>
    <w:p w14:paraId="3C25CC6C" w14:textId="77777777" w:rsidR="005E6AB0" w:rsidRPr="001C50C8" w:rsidRDefault="005E6AB0" w:rsidP="00786DEC">
      <w:pPr>
        <w:pStyle w:val="PargrafodaLista"/>
        <w:numPr>
          <w:ilvl w:val="0"/>
          <w:numId w:val="20"/>
        </w:numPr>
        <w:spacing w:after="240"/>
        <w:jc w:val="both"/>
        <w:rPr>
          <w:rFonts w:ascii="Garamond" w:hAnsi="Garamond"/>
          <w:lang w:val="pt-PT"/>
        </w:rPr>
      </w:pPr>
      <w:r w:rsidRPr="00AE74AE">
        <w:rPr>
          <w:rFonts w:ascii="Garamond" w:hAnsi="Garamond"/>
          <w:lang w:val="pt-PT"/>
        </w:rPr>
        <w:t xml:space="preserve">Devem ser estabelecidas medidas especiais temporárias para alguns cursos de formação, por via de quotas, campanhas de sensibilização, incentivos (ex. bolsa, financiamento) ou outras medidas, especialmente nas áreas de ponta e com potencial de empregabilidade (ex. para assegurar a paridade na formação ministrada </w:t>
      </w:r>
      <w:proofErr w:type="spellStart"/>
      <w:r w:rsidRPr="00AE74AE">
        <w:rPr>
          <w:rFonts w:ascii="Garamond" w:hAnsi="Garamond"/>
          <w:lang w:val="pt-PT"/>
        </w:rPr>
        <w:t>pelo</w:t>
      </w:r>
      <w:proofErr w:type="spellEnd"/>
      <w:r w:rsidRPr="00AE74AE">
        <w:rPr>
          <w:rFonts w:ascii="Garamond" w:hAnsi="Garamond"/>
          <w:lang w:val="pt-PT"/>
        </w:rPr>
        <w:t xml:space="preserve"> </w:t>
      </w:r>
      <w:proofErr w:type="spellStart"/>
      <w:r w:rsidRPr="00AE74AE">
        <w:rPr>
          <w:rFonts w:ascii="Garamond" w:hAnsi="Garamond"/>
          <w:lang w:val="pt-PT"/>
        </w:rPr>
        <w:t>CERMI</w:t>
      </w:r>
      <w:proofErr w:type="spellEnd"/>
      <w:r w:rsidRPr="00AE74AE">
        <w:rPr>
          <w:rFonts w:ascii="Garamond" w:hAnsi="Garamond"/>
          <w:lang w:val="pt-PT"/>
        </w:rPr>
        <w:t xml:space="preserve">, ou perspectivada no </w:t>
      </w:r>
      <w:r w:rsidRPr="001C50C8">
        <w:rPr>
          <w:rFonts w:ascii="Garamond" w:hAnsi="Garamond"/>
          <w:lang w:val="pt-PT"/>
        </w:rPr>
        <w:t xml:space="preserve">contexto da economia azul, </w:t>
      </w:r>
      <w:r>
        <w:rPr>
          <w:rFonts w:ascii="Garamond" w:hAnsi="Garamond"/>
          <w:lang w:val="pt-PT"/>
        </w:rPr>
        <w:t xml:space="preserve">da Agenda de Transformação Digital, e em linha com a </w:t>
      </w:r>
      <w:r w:rsidRPr="00D3581C">
        <w:rPr>
          <w:rFonts w:ascii="Garamond" w:hAnsi="Garamond"/>
          <w:lang w:val="pt-PT"/>
        </w:rPr>
        <w:t xml:space="preserve">Agenda Digital de Educação </w:t>
      </w:r>
      <w:r>
        <w:rPr>
          <w:rFonts w:ascii="Garamond" w:hAnsi="Garamond"/>
          <w:lang w:val="pt-PT"/>
        </w:rPr>
        <w:t>(</w:t>
      </w:r>
      <w:r w:rsidRPr="00D3581C">
        <w:rPr>
          <w:rFonts w:ascii="Garamond" w:hAnsi="Garamond"/>
          <w:lang w:val="pt-PT"/>
        </w:rPr>
        <w:t>2018</w:t>
      </w:r>
      <w:r>
        <w:rPr>
          <w:rFonts w:ascii="Garamond" w:hAnsi="Garamond"/>
          <w:lang w:val="pt-PT"/>
        </w:rPr>
        <w:t xml:space="preserve">), </w:t>
      </w:r>
      <w:proofErr w:type="spellStart"/>
      <w:r>
        <w:rPr>
          <w:rFonts w:ascii="Garamond" w:hAnsi="Garamond"/>
          <w:lang w:val="pt-PT"/>
        </w:rPr>
        <w:t>etc</w:t>
      </w:r>
      <w:proofErr w:type="spellEnd"/>
      <w:r>
        <w:rPr>
          <w:rFonts w:ascii="Garamond" w:hAnsi="Garamond"/>
          <w:lang w:val="pt-PT"/>
        </w:rPr>
        <w:t>)</w:t>
      </w:r>
      <w:r w:rsidRPr="001C50C8">
        <w:rPr>
          <w:rFonts w:ascii="Garamond" w:hAnsi="Garamond"/>
          <w:lang w:val="pt-PT"/>
        </w:rPr>
        <w:t xml:space="preserve">. </w:t>
      </w:r>
    </w:p>
    <w:p w14:paraId="1120108C" w14:textId="77777777" w:rsidR="005E6AB0" w:rsidRPr="001C50C8" w:rsidRDefault="005E6AB0" w:rsidP="005E6AB0">
      <w:pPr>
        <w:jc w:val="both"/>
        <w:rPr>
          <w:rFonts w:ascii="Garamond" w:hAnsi="Garamond"/>
          <w:b/>
          <w:bCs/>
          <w:lang w:val="pt-PT"/>
        </w:rPr>
      </w:pPr>
      <w:r w:rsidRPr="001C50C8">
        <w:rPr>
          <w:rFonts w:ascii="Garamond" w:hAnsi="Garamond"/>
          <w:b/>
          <w:bCs/>
          <w:lang w:val="pt-PT"/>
        </w:rPr>
        <w:t>Acesso, permanência e sucesso de alunos e alunas no sistema de ensino</w:t>
      </w:r>
    </w:p>
    <w:p w14:paraId="16277F03" w14:textId="77777777" w:rsidR="005E6AB0" w:rsidRPr="001C50C8" w:rsidRDefault="005E6AB0" w:rsidP="005E6AB0">
      <w:pPr>
        <w:jc w:val="both"/>
        <w:rPr>
          <w:rFonts w:ascii="Garamond" w:hAnsi="Garamond"/>
          <w:lang w:val="pt-PT"/>
        </w:rPr>
      </w:pPr>
      <w:r w:rsidRPr="001C50C8">
        <w:rPr>
          <w:rFonts w:ascii="Garamond" w:hAnsi="Garamond"/>
          <w:lang w:val="pt-PT"/>
        </w:rPr>
        <w:t>Globalmente, 48% dos alunos que frequentam o 1º ao 6º ano (antigo ensino básico) são do sexo feminino e 52% do sexo masculino, mas a percentagem de meninas que frequentam o ensino básico na idade prevista (6-11 anos) é superior à dos meninos (93,2% e 89,1%, respectivamente), ou seja</w:t>
      </w:r>
      <w:r>
        <w:rPr>
          <w:rFonts w:ascii="Garamond" w:hAnsi="Garamond"/>
          <w:lang w:val="pt-PT"/>
        </w:rPr>
        <w:t>,</w:t>
      </w:r>
      <w:r w:rsidRPr="001C50C8">
        <w:rPr>
          <w:rFonts w:ascii="Garamond" w:hAnsi="Garamond"/>
          <w:lang w:val="pt-PT"/>
        </w:rPr>
        <w:t xml:space="preserve"> mais meninos permanecem no ensino básico quando já poderiam ter transitado de nível. A taxa de reprovação dos meninos continua mais elevada do que das meninas (9,2% versus 5,2%</w:t>
      </w:r>
      <w:r>
        <w:rPr>
          <w:rFonts w:ascii="Garamond" w:hAnsi="Garamond"/>
          <w:lang w:val="pt-PT"/>
        </w:rPr>
        <w:t xml:space="preserve">), bem como </w:t>
      </w:r>
      <w:r w:rsidRPr="001C50C8">
        <w:rPr>
          <w:rFonts w:ascii="Garamond" w:hAnsi="Garamond"/>
          <w:lang w:val="pt-PT"/>
        </w:rPr>
        <w:t>a de abandono</w:t>
      </w:r>
      <w:r>
        <w:rPr>
          <w:rFonts w:ascii="Garamond" w:hAnsi="Garamond"/>
          <w:lang w:val="pt-PT"/>
        </w:rPr>
        <w:t xml:space="preserve"> (</w:t>
      </w:r>
      <w:r w:rsidRPr="001C50C8">
        <w:rPr>
          <w:rFonts w:ascii="Garamond" w:hAnsi="Garamond"/>
          <w:lang w:val="pt-PT"/>
        </w:rPr>
        <w:t>1,2% e 0,7%</w:t>
      </w:r>
      <w:r>
        <w:rPr>
          <w:rFonts w:ascii="Garamond" w:hAnsi="Garamond"/>
          <w:lang w:val="pt-PT"/>
        </w:rPr>
        <w:t>)</w:t>
      </w:r>
      <w:r w:rsidRPr="001C50C8">
        <w:rPr>
          <w:rFonts w:ascii="Garamond" w:hAnsi="Garamond"/>
          <w:lang w:val="pt-PT"/>
        </w:rPr>
        <w:t xml:space="preserve">.   </w:t>
      </w:r>
    </w:p>
    <w:p w14:paraId="044059C1" w14:textId="77777777" w:rsidR="005E6AB0" w:rsidRPr="001C50C8" w:rsidRDefault="005E6AB0" w:rsidP="005E6AB0">
      <w:pPr>
        <w:jc w:val="both"/>
        <w:rPr>
          <w:rFonts w:ascii="Garamond" w:hAnsi="Garamond"/>
          <w:lang w:val="pt-PT"/>
        </w:rPr>
      </w:pPr>
    </w:p>
    <w:p w14:paraId="33BFF56A" w14:textId="6254D88A" w:rsidR="005E6AB0" w:rsidRPr="00F65A08" w:rsidRDefault="005E6AB0" w:rsidP="005E6AB0">
      <w:pPr>
        <w:pStyle w:val="Legenda"/>
        <w:spacing w:after="0"/>
        <w:jc w:val="center"/>
        <w:rPr>
          <w:rFonts w:ascii="Garamond" w:hAnsi="Garamond"/>
          <w:b/>
          <w:bCs/>
          <w:i w:val="0"/>
          <w:iCs w:val="0"/>
          <w:color w:val="auto"/>
          <w:sz w:val="20"/>
          <w:szCs w:val="20"/>
          <w:lang w:val="pt-PT"/>
        </w:rPr>
      </w:pPr>
      <w:bookmarkStart w:id="88" w:name="_Toc32856926"/>
      <w:r w:rsidRPr="00F65A08">
        <w:rPr>
          <w:rFonts w:ascii="Garamond" w:hAnsi="Garamond"/>
          <w:b/>
          <w:bCs/>
          <w:i w:val="0"/>
          <w:iCs w:val="0"/>
          <w:color w:val="auto"/>
          <w:sz w:val="20"/>
          <w:szCs w:val="20"/>
          <w:lang w:val="pt-PT"/>
        </w:rPr>
        <w:t xml:space="preserve">Tabela </w:t>
      </w:r>
      <w:r w:rsidRPr="00F65A08">
        <w:rPr>
          <w:rFonts w:ascii="Garamond" w:hAnsi="Garamond"/>
          <w:b/>
          <w:bCs/>
          <w:i w:val="0"/>
          <w:iCs w:val="0"/>
          <w:color w:val="auto"/>
          <w:sz w:val="20"/>
          <w:szCs w:val="20"/>
        </w:rPr>
        <w:fldChar w:fldCharType="begin"/>
      </w:r>
      <w:r w:rsidRPr="00F65A08">
        <w:rPr>
          <w:rFonts w:ascii="Garamond" w:hAnsi="Garamond"/>
          <w:b/>
          <w:bCs/>
          <w:i w:val="0"/>
          <w:iCs w:val="0"/>
          <w:color w:val="auto"/>
          <w:sz w:val="20"/>
          <w:szCs w:val="20"/>
          <w:lang w:val="pt-PT"/>
        </w:rPr>
        <w:instrText xml:space="preserve"> SEQ Tabela \* ARABIC </w:instrText>
      </w:r>
      <w:r w:rsidRPr="00F65A08">
        <w:rPr>
          <w:rFonts w:ascii="Garamond" w:hAnsi="Garamond"/>
          <w:b/>
          <w:bCs/>
          <w:i w:val="0"/>
          <w:iCs w:val="0"/>
          <w:color w:val="auto"/>
          <w:sz w:val="20"/>
          <w:szCs w:val="20"/>
        </w:rPr>
        <w:fldChar w:fldCharType="separate"/>
      </w:r>
      <w:r w:rsidR="004723E2">
        <w:rPr>
          <w:rFonts w:ascii="Garamond" w:hAnsi="Garamond"/>
          <w:b/>
          <w:bCs/>
          <w:i w:val="0"/>
          <w:iCs w:val="0"/>
          <w:noProof/>
          <w:color w:val="auto"/>
          <w:sz w:val="20"/>
          <w:szCs w:val="20"/>
          <w:lang w:val="pt-PT"/>
        </w:rPr>
        <w:t>4</w:t>
      </w:r>
      <w:r w:rsidRPr="00F65A08">
        <w:rPr>
          <w:rFonts w:ascii="Garamond" w:hAnsi="Garamond"/>
          <w:b/>
          <w:bCs/>
          <w:i w:val="0"/>
          <w:iCs w:val="0"/>
          <w:color w:val="auto"/>
          <w:sz w:val="20"/>
          <w:szCs w:val="20"/>
        </w:rPr>
        <w:fldChar w:fldCharType="end"/>
      </w:r>
      <w:r w:rsidRPr="00F65A08">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w:t>
      </w:r>
      <w:r w:rsidRPr="00F65A08">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 xml:space="preserve">Indicadores seleccionados do </w:t>
      </w:r>
      <w:r w:rsidRPr="00F65A08">
        <w:rPr>
          <w:rFonts w:ascii="Garamond" w:hAnsi="Garamond"/>
          <w:b/>
          <w:bCs/>
          <w:i w:val="0"/>
          <w:iCs w:val="0"/>
          <w:color w:val="auto"/>
          <w:sz w:val="20"/>
          <w:szCs w:val="20"/>
          <w:lang w:val="pt-PT"/>
        </w:rPr>
        <w:t xml:space="preserve">Ensino </w:t>
      </w:r>
      <w:r>
        <w:rPr>
          <w:rFonts w:ascii="Garamond" w:hAnsi="Garamond"/>
          <w:b/>
          <w:bCs/>
          <w:i w:val="0"/>
          <w:iCs w:val="0"/>
          <w:color w:val="auto"/>
          <w:sz w:val="20"/>
          <w:szCs w:val="20"/>
          <w:lang w:val="pt-PT"/>
        </w:rPr>
        <w:t>B</w:t>
      </w:r>
      <w:r w:rsidRPr="00F65A08">
        <w:rPr>
          <w:rFonts w:ascii="Garamond" w:hAnsi="Garamond"/>
          <w:b/>
          <w:bCs/>
          <w:i w:val="0"/>
          <w:iCs w:val="0"/>
          <w:color w:val="auto"/>
          <w:sz w:val="20"/>
          <w:szCs w:val="20"/>
          <w:lang w:val="pt-PT"/>
        </w:rPr>
        <w:t>ásico</w:t>
      </w:r>
      <w:r>
        <w:rPr>
          <w:rFonts w:ascii="Garamond" w:hAnsi="Garamond"/>
          <w:b/>
          <w:bCs/>
          <w:i w:val="0"/>
          <w:iCs w:val="0"/>
          <w:color w:val="auto"/>
          <w:sz w:val="20"/>
          <w:szCs w:val="20"/>
          <w:lang w:val="pt-PT"/>
        </w:rPr>
        <w:t xml:space="preserve"> (ambos </w:t>
      </w:r>
      <w:proofErr w:type="spellStart"/>
      <w:r>
        <w:rPr>
          <w:rFonts w:ascii="Garamond" w:hAnsi="Garamond"/>
          <w:b/>
          <w:bCs/>
          <w:i w:val="0"/>
          <w:iCs w:val="0"/>
          <w:color w:val="auto"/>
          <w:sz w:val="20"/>
          <w:szCs w:val="20"/>
          <w:lang w:val="pt-PT"/>
        </w:rPr>
        <w:t>so</w:t>
      </w:r>
      <w:proofErr w:type="spellEnd"/>
      <w:r>
        <w:rPr>
          <w:rFonts w:ascii="Garamond" w:hAnsi="Garamond"/>
          <w:b/>
          <w:bCs/>
          <w:i w:val="0"/>
          <w:iCs w:val="0"/>
          <w:color w:val="auto"/>
          <w:sz w:val="20"/>
          <w:szCs w:val="20"/>
          <w:lang w:val="pt-PT"/>
        </w:rPr>
        <w:t xml:space="preserve"> sexos)</w:t>
      </w:r>
      <w:r w:rsidRPr="00F65A08">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w:t>
      </w:r>
      <w:r w:rsidRPr="00F65A08">
        <w:rPr>
          <w:rFonts w:ascii="Garamond" w:hAnsi="Garamond"/>
          <w:b/>
          <w:bCs/>
          <w:i w:val="0"/>
          <w:iCs w:val="0"/>
          <w:color w:val="auto"/>
          <w:sz w:val="20"/>
          <w:szCs w:val="20"/>
          <w:lang w:val="pt-PT"/>
        </w:rPr>
        <w:t>2016/2017</w:t>
      </w:r>
      <w:r>
        <w:rPr>
          <w:rFonts w:ascii="Garamond" w:hAnsi="Garamond"/>
          <w:b/>
          <w:bCs/>
          <w:i w:val="0"/>
          <w:iCs w:val="0"/>
          <w:color w:val="auto"/>
          <w:sz w:val="20"/>
          <w:szCs w:val="20"/>
          <w:lang w:val="pt-PT"/>
        </w:rPr>
        <w:t>)</w:t>
      </w:r>
      <w:bookmarkEnd w:id="88"/>
    </w:p>
    <w:tbl>
      <w:tblPr>
        <w:tblStyle w:val="TabelacomGrelh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1255"/>
        <w:gridCol w:w="1284"/>
        <w:gridCol w:w="1182"/>
      </w:tblGrid>
      <w:tr w:rsidR="005E6AB0" w:rsidRPr="00F65A08" w14:paraId="6FB728C4" w14:textId="77777777" w:rsidTr="00FE67BB">
        <w:trPr>
          <w:jc w:val="center"/>
        </w:trPr>
        <w:tc>
          <w:tcPr>
            <w:tcW w:w="2778" w:type="dxa"/>
            <w:shd w:val="clear" w:color="auto" w:fill="D9D9D9" w:themeFill="background1" w:themeFillShade="D9"/>
          </w:tcPr>
          <w:p w14:paraId="6636B51A" w14:textId="77777777" w:rsidR="005E6AB0" w:rsidRPr="00F65A08" w:rsidRDefault="005E6AB0" w:rsidP="00FE67BB">
            <w:pPr>
              <w:jc w:val="center"/>
              <w:rPr>
                <w:rFonts w:ascii="Garamond" w:hAnsi="Garamond"/>
                <w:sz w:val="20"/>
                <w:szCs w:val="20"/>
                <w:lang w:val="pt-PT"/>
              </w:rPr>
            </w:pPr>
          </w:p>
        </w:tc>
        <w:tc>
          <w:tcPr>
            <w:tcW w:w="1255" w:type="dxa"/>
            <w:shd w:val="clear" w:color="auto" w:fill="D9D9D9" w:themeFill="background1" w:themeFillShade="D9"/>
          </w:tcPr>
          <w:p w14:paraId="5BCE9F3A" w14:textId="77777777" w:rsidR="005E6AB0" w:rsidRPr="00F65A08" w:rsidRDefault="005E6AB0" w:rsidP="00FE67BB">
            <w:pPr>
              <w:jc w:val="center"/>
              <w:rPr>
                <w:rFonts w:ascii="Garamond" w:hAnsi="Garamond"/>
                <w:b/>
                <w:bCs/>
                <w:sz w:val="20"/>
                <w:szCs w:val="20"/>
                <w:lang w:val="pt-PT"/>
              </w:rPr>
            </w:pPr>
            <w:r w:rsidRPr="00F65A08">
              <w:rPr>
                <w:rFonts w:ascii="Garamond" w:hAnsi="Garamond"/>
                <w:b/>
                <w:bCs/>
                <w:sz w:val="20"/>
                <w:szCs w:val="20"/>
                <w:lang w:val="pt-PT"/>
              </w:rPr>
              <w:t>Feminino</w:t>
            </w:r>
          </w:p>
        </w:tc>
        <w:tc>
          <w:tcPr>
            <w:tcW w:w="1284" w:type="dxa"/>
            <w:shd w:val="clear" w:color="auto" w:fill="D9D9D9" w:themeFill="background1" w:themeFillShade="D9"/>
          </w:tcPr>
          <w:p w14:paraId="20BF6CC8" w14:textId="77777777" w:rsidR="005E6AB0" w:rsidRPr="00F65A08" w:rsidRDefault="005E6AB0" w:rsidP="00FE67BB">
            <w:pPr>
              <w:jc w:val="center"/>
              <w:rPr>
                <w:rFonts w:ascii="Garamond" w:hAnsi="Garamond"/>
                <w:b/>
                <w:bCs/>
                <w:sz w:val="20"/>
                <w:szCs w:val="20"/>
                <w:lang w:val="pt-PT"/>
              </w:rPr>
            </w:pPr>
            <w:r w:rsidRPr="00F65A08">
              <w:rPr>
                <w:rFonts w:ascii="Garamond" w:hAnsi="Garamond"/>
                <w:b/>
                <w:bCs/>
                <w:sz w:val="20"/>
                <w:szCs w:val="20"/>
                <w:lang w:val="pt-PT"/>
              </w:rPr>
              <w:t>Masculino</w:t>
            </w:r>
          </w:p>
        </w:tc>
        <w:tc>
          <w:tcPr>
            <w:tcW w:w="1182" w:type="dxa"/>
            <w:shd w:val="clear" w:color="auto" w:fill="D9D9D9" w:themeFill="background1" w:themeFillShade="D9"/>
          </w:tcPr>
          <w:p w14:paraId="6ABD0008" w14:textId="77777777" w:rsidR="005E6AB0" w:rsidRPr="00F65A08" w:rsidRDefault="005E6AB0" w:rsidP="00FE67BB">
            <w:pPr>
              <w:jc w:val="center"/>
              <w:rPr>
                <w:rFonts w:ascii="Garamond" w:hAnsi="Garamond"/>
                <w:b/>
                <w:bCs/>
                <w:sz w:val="20"/>
                <w:szCs w:val="20"/>
                <w:lang w:val="pt-PT"/>
              </w:rPr>
            </w:pPr>
            <w:r w:rsidRPr="00F65A08">
              <w:rPr>
                <w:rFonts w:ascii="Garamond" w:hAnsi="Garamond"/>
                <w:b/>
                <w:bCs/>
                <w:sz w:val="20"/>
                <w:szCs w:val="20"/>
                <w:lang w:val="pt-PT"/>
              </w:rPr>
              <w:t>Total</w:t>
            </w:r>
          </w:p>
        </w:tc>
      </w:tr>
      <w:tr w:rsidR="005E6AB0" w:rsidRPr="00F65A08" w14:paraId="2566C4D7" w14:textId="77777777" w:rsidTr="00FE67BB">
        <w:trPr>
          <w:jc w:val="center"/>
        </w:trPr>
        <w:tc>
          <w:tcPr>
            <w:tcW w:w="2778" w:type="dxa"/>
            <w:tcBorders>
              <w:bottom w:val="single" w:sz="4" w:space="0" w:color="auto"/>
            </w:tcBorders>
          </w:tcPr>
          <w:p w14:paraId="60A3DCB0" w14:textId="77777777" w:rsidR="005E6AB0" w:rsidRPr="00F65A08" w:rsidRDefault="005E6AB0" w:rsidP="00FE67BB">
            <w:pPr>
              <w:spacing w:before="60"/>
              <w:jc w:val="both"/>
              <w:rPr>
                <w:rFonts w:ascii="Garamond" w:hAnsi="Garamond"/>
                <w:sz w:val="20"/>
                <w:szCs w:val="20"/>
                <w:lang w:val="pt-PT"/>
              </w:rPr>
            </w:pPr>
            <w:r w:rsidRPr="00F65A08">
              <w:rPr>
                <w:rFonts w:ascii="Garamond" w:hAnsi="Garamond"/>
                <w:sz w:val="20"/>
                <w:szCs w:val="20"/>
                <w:lang w:val="pt-PT"/>
              </w:rPr>
              <w:t>Taxa escolarização líquida</w:t>
            </w:r>
          </w:p>
        </w:tc>
        <w:tc>
          <w:tcPr>
            <w:tcW w:w="1255" w:type="dxa"/>
            <w:tcBorders>
              <w:bottom w:val="single" w:sz="4" w:space="0" w:color="auto"/>
            </w:tcBorders>
          </w:tcPr>
          <w:p w14:paraId="095644F3"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90,9%</w:t>
            </w:r>
          </w:p>
        </w:tc>
        <w:tc>
          <w:tcPr>
            <w:tcW w:w="1284" w:type="dxa"/>
            <w:tcBorders>
              <w:bottom w:val="single" w:sz="4" w:space="0" w:color="auto"/>
            </w:tcBorders>
          </w:tcPr>
          <w:p w14:paraId="4D9FDF2A"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94,8%</w:t>
            </w:r>
          </w:p>
        </w:tc>
        <w:tc>
          <w:tcPr>
            <w:tcW w:w="1182" w:type="dxa"/>
            <w:tcBorders>
              <w:bottom w:val="single" w:sz="4" w:space="0" w:color="auto"/>
            </w:tcBorders>
          </w:tcPr>
          <w:p w14:paraId="094133A4"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92,8%</w:t>
            </w:r>
          </w:p>
        </w:tc>
      </w:tr>
      <w:tr w:rsidR="005E6AB0" w:rsidRPr="00F65A08" w14:paraId="2BC9AE42" w14:textId="77777777" w:rsidTr="00FE67BB">
        <w:trPr>
          <w:jc w:val="center"/>
        </w:trPr>
        <w:tc>
          <w:tcPr>
            <w:tcW w:w="2778" w:type="dxa"/>
            <w:tcBorders>
              <w:top w:val="single" w:sz="4" w:space="0" w:color="auto"/>
              <w:bottom w:val="single" w:sz="4" w:space="0" w:color="auto"/>
            </w:tcBorders>
          </w:tcPr>
          <w:p w14:paraId="729A30A9" w14:textId="77777777" w:rsidR="005E6AB0" w:rsidRPr="00F65A08" w:rsidRDefault="005E6AB0" w:rsidP="00FE67BB">
            <w:pPr>
              <w:spacing w:before="60"/>
              <w:jc w:val="both"/>
              <w:rPr>
                <w:rFonts w:ascii="Garamond" w:hAnsi="Garamond"/>
                <w:sz w:val="20"/>
                <w:szCs w:val="20"/>
                <w:lang w:val="pt-PT"/>
              </w:rPr>
            </w:pPr>
            <w:r w:rsidRPr="00F65A08">
              <w:rPr>
                <w:rFonts w:ascii="Garamond" w:hAnsi="Garamond"/>
                <w:sz w:val="20"/>
                <w:szCs w:val="20"/>
                <w:lang w:val="pt-PT"/>
              </w:rPr>
              <w:t>Taxa de reprovação</w:t>
            </w:r>
          </w:p>
        </w:tc>
        <w:tc>
          <w:tcPr>
            <w:tcW w:w="1255" w:type="dxa"/>
            <w:tcBorders>
              <w:top w:val="single" w:sz="4" w:space="0" w:color="auto"/>
              <w:bottom w:val="single" w:sz="4" w:space="0" w:color="auto"/>
            </w:tcBorders>
          </w:tcPr>
          <w:p w14:paraId="2049CB51"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5,2</w:t>
            </w:r>
          </w:p>
        </w:tc>
        <w:tc>
          <w:tcPr>
            <w:tcW w:w="1284" w:type="dxa"/>
            <w:tcBorders>
              <w:top w:val="single" w:sz="4" w:space="0" w:color="auto"/>
              <w:bottom w:val="single" w:sz="4" w:space="0" w:color="auto"/>
            </w:tcBorders>
          </w:tcPr>
          <w:p w14:paraId="4A09A915"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9,2</w:t>
            </w:r>
          </w:p>
        </w:tc>
        <w:tc>
          <w:tcPr>
            <w:tcW w:w="1182" w:type="dxa"/>
            <w:tcBorders>
              <w:top w:val="single" w:sz="4" w:space="0" w:color="auto"/>
              <w:bottom w:val="single" w:sz="4" w:space="0" w:color="auto"/>
            </w:tcBorders>
          </w:tcPr>
          <w:p w14:paraId="6FA86F7B"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7,3</w:t>
            </w:r>
          </w:p>
        </w:tc>
      </w:tr>
      <w:tr w:rsidR="005E6AB0" w:rsidRPr="00F65A08" w14:paraId="6AC98609" w14:textId="77777777" w:rsidTr="00FE67BB">
        <w:trPr>
          <w:jc w:val="center"/>
        </w:trPr>
        <w:tc>
          <w:tcPr>
            <w:tcW w:w="2778" w:type="dxa"/>
            <w:tcBorders>
              <w:top w:val="single" w:sz="4" w:space="0" w:color="auto"/>
              <w:bottom w:val="single" w:sz="4" w:space="0" w:color="auto"/>
            </w:tcBorders>
          </w:tcPr>
          <w:p w14:paraId="732ED518" w14:textId="77777777" w:rsidR="005E6AB0" w:rsidRPr="00F65A08" w:rsidRDefault="005E6AB0" w:rsidP="00FE67BB">
            <w:pPr>
              <w:spacing w:before="60"/>
              <w:jc w:val="both"/>
              <w:rPr>
                <w:rFonts w:ascii="Garamond" w:hAnsi="Garamond"/>
                <w:sz w:val="20"/>
                <w:szCs w:val="20"/>
                <w:lang w:val="pt-PT"/>
              </w:rPr>
            </w:pPr>
            <w:r w:rsidRPr="00F65A08">
              <w:rPr>
                <w:rFonts w:ascii="Garamond" w:hAnsi="Garamond"/>
                <w:sz w:val="20"/>
                <w:szCs w:val="20"/>
                <w:lang w:val="pt-PT"/>
              </w:rPr>
              <w:t>Taxa de abandono</w:t>
            </w:r>
          </w:p>
        </w:tc>
        <w:tc>
          <w:tcPr>
            <w:tcW w:w="1255" w:type="dxa"/>
            <w:tcBorders>
              <w:top w:val="single" w:sz="4" w:space="0" w:color="auto"/>
              <w:bottom w:val="single" w:sz="4" w:space="0" w:color="auto"/>
            </w:tcBorders>
          </w:tcPr>
          <w:p w14:paraId="66B1DF9F"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0,7%</w:t>
            </w:r>
          </w:p>
        </w:tc>
        <w:tc>
          <w:tcPr>
            <w:tcW w:w="1284" w:type="dxa"/>
            <w:tcBorders>
              <w:top w:val="single" w:sz="4" w:space="0" w:color="auto"/>
              <w:bottom w:val="single" w:sz="4" w:space="0" w:color="auto"/>
            </w:tcBorders>
          </w:tcPr>
          <w:p w14:paraId="50DCB1CD"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1,2%</w:t>
            </w:r>
          </w:p>
        </w:tc>
        <w:tc>
          <w:tcPr>
            <w:tcW w:w="1182" w:type="dxa"/>
            <w:tcBorders>
              <w:top w:val="single" w:sz="4" w:space="0" w:color="auto"/>
              <w:bottom w:val="single" w:sz="4" w:space="0" w:color="auto"/>
            </w:tcBorders>
          </w:tcPr>
          <w:p w14:paraId="3D9DD38C" w14:textId="77777777" w:rsidR="005E6AB0" w:rsidRPr="00F65A08" w:rsidRDefault="005E6AB0" w:rsidP="00FE67BB">
            <w:pPr>
              <w:spacing w:before="60"/>
              <w:jc w:val="center"/>
              <w:rPr>
                <w:rFonts w:ascii="Garamond" w:hAnsi="Garamond"/>
                <w:sz w:val="20"/>
                <w:szCs w:val="20"/>
                <w:lang w:val="pt-PT"/>
              </w:rPr>
            </w:pPr>
            <w:r w:rsidRPr="00F65A08">
              <w:rPr>
                <w:rFonts w:ascii="Garamond" w:hAnsi="Garamond"/>
                <w:sz w:val="20"/>
                <w:szCs w:val="20"/>
                <w:lang w:val="pt-PT"/>
              </w:rPr>
              <w:t>1%</w:t>
            </w:r>
          </w:p>
        </w:tc>
      </w:tr>
    </w:tbl>
    <w:p w14:paraId="502801DA" w14:textId="77777777" w:rsidR="005E6AB0" w:rsidRPr="00306C9F" w:rsidRDefault="005E6AB0" w:rsidP="005E6AB0">
      <w:pPr>
        <w:pStyle w:val="Textodenotaderodap"/>
        <w:spacing w:after="240"/>
        <w:jc w:val="center"/>
        <w:rPr>
          <w:rFonts w:ascii="Garamond" w:hAnsi="Garamond"/>
          <w:b/>
          <w:bCs/>
        </w:rPr>
      </w:pPr>
      <w:r>
        <w:rPr>
          <w:rFonts w:ascii="Garamond" w:hAnsi="Garamond"/>
          <w:b/>
          <w:bCs/>
        </w:rPr>
        <w:t xml:space="preserve">Fonte: elaboração própria com base nos </w:t>
      </w:r>
      <w:r w:rsidRPr="00306C9F">
        <w:rPr>
          <w:rFonts w:ascii="Garamond" w:hAnsi="Garamond"/>
          <w:b/>
          <w:bCs/>
        </w:rPr>
        <w:t>Principais Indicadores da Educação 2016-2017</w:t>
      </w:r>
      <w:r>
        <w:rPr>
          <w:rFonts w:ascii="Garamond" w:hAnsi="Garamond"/>
          <w:b/>
          <w:bCs/>
        </w:rPr>
        <w:t xml:space="preserve"> (ME)</w:t>
      </w:r>
    </w:p>
    <w:p w14:paraId="29DBE854" w14:textId="77777777" w:rsidR="005E6AB0" w:rsidRPr="00024C22" w:rsidRDefault="005E6AB0" w:rsidP="005E6AB0">
      <w:pPr>
        <w:spacing w:after="240"/>
        <w:jc w:val="both"/>
        <w:rPr>
          <w:rFonts w:ascii="Garamond" w:hAnsi="Garamond"/>
          <w:b/>
          <w:bCs/>
          <w:lang w:val="pt-PT"/>
        </w:rPr>
      </w:pPr>
      <w:r w:rsidRPr="00F65A08">
        <w:rPr>
          <w:rFonts w:ascii="Garamond" w:hAnsi="Garamond"/>
          <w:b/>
          <w:bCs/>
          <w:color w:val="FF0000"/>
          <w:sz w:val="20"/>
          <w:szCs w:val="20"/>
          <w:lang w:val="pt-PT"/>
        </w:rPr>
        <w:t xml:space="preserve"> </w:t>
      </w:r>
      <w:r w:rsidRPr="001C50C8">
        <w:rPr>
          <w:rFonts w:ascii="Garamond" w:hAnsi="Garamond"/>
          <w:lang w:val="pt-PT"/>
        </w:rPr>
        <w:t>Praticamente 9 em cada 10 alunos transita do ensino básico para o secundário (89,6%), dados que não são, contudo, apresentados desagregados por sexo.</w:t>
      </w:r>
      <w:r w:rsidRPr="001C50C8">
        <w:rPr>
          <w:rStyle w:val="Refdenotaderodap"/>
          <w:rFonts w:ascii="Garamond" w:hAnsi="Garamond"/>
          <w:lang w:val="pt-PT"/>
        </w:rPr>
        <w:footnoteReference w:id="91"/>
      </w:r>
      <w:r>
        <w:rPr>
          <w:rFonts w:ascii="Garamond" w:hAnsi="Garamond"/>
          <w:lang w:val="pt-PT"/>
        </w:rPr>
        <w:t xml:space="preserve"> </w:t>
      </w:r>
      <w:r w:rsidRPr="001C50C8">
        <w:rPr>
          <w:rFonts w:ascii="Garamond" w:hAnsi="Garamond"/>
          <w:lang w:val="pt-PT"/>
        </w:rPr>
        <w:t>No ensino secundário, globalmente 51,2% dos alunos são do sexo feminino e 48,1% do sexo masculino</w:t>
      </w:r>
      <w:r>
        <w:rPr>
          <w:rFonts w:ascii="Garamond" w:hAnsi="Garamond"/>
          <w:lang w:val="pt-PT"/>
        </w:rPr>
        <w:t>. A</w:t>
      </w:r>
      <w:r w:rsidRPr="001C50C8">
        <w:rPr>
          <w:rFonts w:ascii="Garamond" w:hAnsi="Garamond"/>
          <w:lang w:val="pt-PT"/>
        </w:rPr>
        <w:t xml:space="preserve"> taxa de escolarização líquida </w:t>
      </w:r>
      <w:r>
        <w:rPr>
          <w:rFonts w:ascii="Garamond" w:hAnsi="Garamond"/>
          <w:lang w:val="pt-PT"/>
        </w:rPr>
        <w:t xml:space="preserve">é </w:t>
      </w:r>
      <w:r w:rsidRPr="001C50C8">
        <w:rPr>
          <w:rFonts w:ascii="Garamond" w:hAnsi="Garamond"/>
          <w:lang w:val="pt-PT"/>
        </w:rPr>
        <w:t xml:space="preserve">de 71,3% (taxa bruta de escolarização de 84,5%), </w:t>
      </w:r>
      <w:r>
        <w:rPr>
          <w:rFonts w:ascii="Garamond" w:hAnsi="Garamond"/>
          <w:lang w:val="pt-PT"/>
        </w:rPr>
        <w:t xml:space="preserve">sendo </w:t>
      </w:r>
      <w:r w:rsidRPr="001C50C8">
        <w:rPr>
          <w:rFonts w:ascii="Garamond" w:hAnsi="Garamond"/>
          <w:lang w:val="pt-PT"/>
        </w:rPr>
        <w:t>mais elevada entre as estudantes do sexo feminino (75,5%) do que do sexo masculino (67,2%). A taxa de reprovação no secundário continua mais elevada entre os estudantes (28,7% versus 19,7%</w:t>
      </w:r>
      <w:r>
        <w:rPr>
          <w:rFonts w:ascii="Garamond" w:hAnsi="Garamond"/>
          <w:lang w:val="pt-PT"/>
        </w:rPr>
        <w:t xml:space="preserve"> para as estudantes</w:t>
      </w:r>
      <w:r w:rsidRPr="001C50C8">
        <w:rPr>
          <w:rFonts w:ascii="Garamond" w:hAnsi="Garamond"/>
          <w:lang w:val="pt-PT"/>
        </w:rPr>
        <w:t>), o que também se aplica à taxa de abandono (8,1% e 5,3%,). Assim, os fossos registados no desempenho e abando por parte dos meninos constituem-se como um desafio de género a equacionar. Situação que impacta o nível seguinte, do ensino superior: em 2016/2017, dos 12.446 estudantes 59% são estudantes do sexo feminino e 41% do sexo masculino</w:t>
      </w:r>
      <w:r>
        <w:rPr>
          <w:rFonts w:ascii="Garamond" w:hAnsi="Garamond"/>
          <w:lang w:val="pt-PT"/>
        </w:rPr>
        <w:t>; e</w:t>
      </w:r>
      <w:r w:rsidRPr="001C50C8">
        <w:rPr>
          <w:rFonts w:ascii="Garamond" w:hAnsi="Garamond"/>
          <w:lang w:val="pt-PT"/>
        </w:rPr>
        <w:t xml:space="preserve"> 62,6% dos diplomados nesse ano lectivo (1.137 estudantes) são mulheres.</w:t>
      </w:r>
    </w:p>
    <w:p w14:paraId="746CBA13" w14:textId="3F87430F" w:rsidR="005E6AB0" w:rsidRPr="00F65A08" w:rsidRDefault="005E6AB0" w:rsidP="005E6AB0">
      <w:pPr>
        <w:pStyle w:val="Legenda"/>
        <w:spacing w:after="0"/>
        <w:jc w:val="center"/>
        <w:rPr>
          <w:rFonts w:ascii="Garamond" w:hAnsi="Garamond"/>
          <w:b/>
          <w:bCs/>
          <w:i w:val="0"/>
          <w:iCs w:val="0"/>
          <w:color w:val="auto"/>
          <w:sz w:val="20"/>
          <w:szCs w:val="20"/>
          <w:lang w:val="pt-PT"/>
        </w:rPr>
      </w:pPr>
      <w:bookmarkStart w:id="89" w:name="_Toc32856927"/>
      <w:r w:rsidRPr="00F65A08">
        <w:rPr>
          <w:rFonts w:ascii="Garamond" w:hAnsi="Garamond"/>
          <w:b/>
          <w:bCs/>
          <w:i w:val="0"/>
          <w:iCs w:val="0"/>
          <w:color w:val="auto"/>
          <w:sz w:val="20"/>
          <w:szCs w:val="20"/>
          <w:lang w:val="pt-PT"/>
        </w:rPr>
        <w:t xml:space="preserve">Tabela </w:t>
      </w:r>
      <w:r w:rsidRPr="00F65A08">
        <w:rPr>
          <w:rFonts w:ascii="Garamond" w:hAnsi="Garamond"/>
          <w:b/>
          <w:bCs/>
          <w:i w:val="0"/>
          <w:iCs w:val="0"/>
          <w:color w:val="auto"/>
          <w:sz w:val="20"/>
          <w:szCs w:val="20"/>
          <w:lang w:val="pt-PT"/>
        </w:rPr>
        <w:fldChar w:fldCharType="begin"/>
      </w:r>
      <w:r w:rsidRPr="00F65A08">
        <w:rPr>
          <w:rFonts w:ascii="Garamond" w:hAnsi="Garamond"/>
          <w:b/>
          <w:bCs/>
          <w:i w:val="0"/>
          <w:iCs w:val="0"/>
          <w:color w:val="auto"/>
          <w:sz w:val="20"/>
          <w:szCs w:val="20"/>
          <w:lang w:val="pt-PT"/>
        </w:rPr>
        <w:instrText xml:space="preserve"> SEQ Tabela \* ARABIC </w:instrText>
      </w:r>
      <w:r w:rsidRPr="00F65A08">
        <w:rPr>
          <w:rFonts w:ascii="Garamond" w:hAnsi="Garamond"/>
          <w:b/>
          <w:bCs/>
          <w:i w:val="0"/>
          <w:iCs w:val="0"/>
          <w:color w:val="auto"/>
          <w:sz w:val="20"/>
          <w:szCs w:val="20"/>
          <w:lang w:val="pt-PT"/>
        </w:rPr>
        <w:fldChar w:fldCharType="separate"/>
      </w:r>
      <w:r w:rsidR="004723E2">
        <w:rPr>
          <w:rFonts w:ascii="Garamond" w:hAnsi="Garamond"/>
          <w:b/>
          <w:bCs/>
          <w:i w:val="0"/>
          <w:iCs w:val="0"/>
          <w:noProof/>
          <w:color w:val="auto"/>
          <w:sz w:val="20"/>
          <w:szCs w:val="20"/>
          <w:lang w:val="pt-PT"/>
        </w:rPr>
        <w:t>5</w:t>
      </w:r>
      <w:r w:rsidRPr="00F65A08">
        <w:rPr>
          <w:rFonts w:ascii="Garamond" w:hAnsi="Garamond"/>
          <w:b/>
          <w:bCs/>
          <w:i w:val="0"/>
          <w:iCs w:val="0"/>
          <w:color w:val="auto"/>
          <w:sz w:val="20"/>
          <w:szCs w:val="20"/>
          <w:lang w:val="pt-PT"/>
        </w:rPr>
        <w:fldChar w:fldCharType="end"/>
      </w:r>
      <w:r w:rsidRPr="00F65A08">
        <w:rPr>
          <w:rFonts w:ascii="Garamond" w:hAnsi="Garamond"/>
          <w:b/>
          <w:bCs/>
          <w:i w:val="0"/>
          <w:iCs w:val="0"/>
          <w:color w:val="auto"/>
          <w:sz w:val="20"/>
          <w:szCs w:val="20"/>
          <w:lang w:val="pt-PT"/>
        </w:rPr>
        <w:t xml:space="preserve"> </w:t>
      </w:r>
      <w:r>
        <w:rPr>
          <w:rFonts w:ascii="Garamond" w:hAnsi="Garamond"/>
          <w:b/>
          <w:bCs/>
          <w:i w:val="0"/>
          <w:iCs w:val="0"/>
          <w:color w:val="auto"/>
          <w:sz w:val="20"/>
          <w:szCs w:val="20"/>
          <w:lang w:val="pt-PT"/>
        </w:rPr>
        <w:t xml:space="preserve">- Indicadores seleccionados do </w:t>
      </w:r>
      <w:r w:rsidRPr="00F65A08">
        <w:rPr>
          <w:rFonts w:ascii="Garamond" w:hAnsi="Garamond"/>
          <w:b/>
          <w:bCs/>
          <w:i w:val="0"/>
          <w:iCs w:val="0"/>
          <w:color w:val="auto"/>
          <w:sz w:val="20"/>
          <w:szCs w:val="20"/>
          <w:lang w:val="pt-PT"/>
        </w:rPr>
        <w:t xml:space="preserve">Ensino </w:t>
      </w:r>
      <w:r>
        <w:rPr>
          <w:rFonts w:ascii="Garamond" w:hAnsi="Garamond"/>
          <w:b/>
          <w:bCs/>
          <w:i w:val="0"/>
          <w:iCs w:val="0"/>
          <w:color w:val="auto"/>
          <w:sz w:val="20"/>
          <w:szCs w:val="20"/>
          <w:lang w:val="pt-PT"/>
        </w:rPr>
        <w:t>S</w:t>
      </w:r>
      <w:r w:rsidRPr="00F65A08">
        <w:rPr>
          <w:rFonts w:ascii="Garamond" w:hAnsi="Garamond"/>
          <w:b/>
          <w:bCs/>
          <w:i w:val="0"/>
          <w:iCs w:val="0"/>
          <w:color w:val="auto"/>
          <w:sz w:val="20"/>
          <w:szCs w:val="20"/>
          <w:lang w:val="pt-PT"/>
        </w:rPr>
        <w:t>ecundário</w:t>
      </w:r>
      <w:r>
        <w:rPr>
          <w:rFonts w:ascii="Garamond" w:hAnsi="Garamond"/>
          <w:b/>
          <w:bCs/>
          <w:i w:val="0"/>
          <w:iCs w:val="0"/>
          <w:color w:val="auto"/>
          <w:sz w:val="20"/>
          <w:szCs w:val="20"/>
          <w:lang w:val="pt-PT"/>
        </w:rPr>
        <w:t xml:space="preserve"> (ambos os sexos) (</w:t>
      </w:r>
      <w:r w:rsidRPr="00F65A08">
        <w:rPr>
          <w:rFonts w:ascii="Garamond" w:hAnsi="Garamond"/>
          <w:b/>
          <w:bCs/>
          <w:i w:val="0"/>
          <w:iCs w:val="0"/>
          <w:color w:val="auto"/>
          <w:sz w:val="20"/>
          <w:szCs w:val="20"/>
          <w:lang w:val="pt-PT"/>
        </w:rPr>
        <w:t>2016/2017</w:t>
      </w:r>
      <w:r>
        <w:rPr>
          <w:rFonts w:ascii="Garamond" w:hAnsi="Garamond"/>
          <w:b/>
          <w:bCs/>
          <w:i w:val="0"/>
          <w:iCs w:val="0"/>
          <w:color w:val="auto"/>
          <w:sz w:val="20"/>
          <w:szCs w:val="20"/>
          <w:lang w:val="pt-PT"/>
        </w:rPr>
        <w:t>)</w:t>
      </w:r>
      <w:bookmarkEnd w:id="89"/>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1255"/>
        <w:gridCol w:w="1284"/>
        <w:gridCol w:w="1182"/>
      </w:tblGrid>
      <w:tr w:rsidR="005E6AB0" w:rsidRPr="00306C9F" w14:paraId="6ABBC84D" w14:textId="77777777" w:rsidTr="00FE67BB">
        <w:trPr>
          <w:jc w:val="center"/>
        </w:trPr>
        <w:tc>
          <w:tcPr>
            <w:tcW w:w="2778" w:type="dxa"/>
            <w:tcBorders>
              <w:top w:val="single" w:sz="4" w:space="0" w:color="auto"/>
              <w:bottom w:val="single" w:sz="4" w:space="0" w:color="auto"/>
            </w:tcBorders>
            <w:shd w:val="clear" w:color="auto" w:fill="D9D9D9" w:themeFill="background1" w:themeFillShade="D9"/>
          </w:tcPr>
          <w:p w14:paraId="0A2B69C2" w14:textId="77777777" w:rsidR="005E6AB0" w:rsidRPr="00306C9F" w:rsidRDefault="005E6AB0" w:rsidP="00FE67BB">
            <w:pPr>
              <w:jc w:val="center"/>
              <w:rPr>
                <w:rFonts w:ascii="Garamond" w:hAnsi="Garamond"/>
                <w:sz w:val="20"/>
                <w:szCs w:val="20"/>
                <w:lang w:val="pt-PT"/>
              </w:rPr>
            </w:pPr>
          </w:p>
        </w:tc>
        <w:tc>
          <w:tcPr>
            <w:tcW w:w="1255" w:type="dxa"/>
            <w:tcBorders>
              <w:top w:val="single" w:sz="4" w:space="0" w:color="auto"/>
              <w:bottom w:val="single" w:sz="4" w:space="0" w:color="auto"/>
            </w:tcBorders>
            <w:shd w:val="clear" w:color="auto" w:fill="D9D9D9" w:themeFill="background1" w:themeFillShade="D9"/>
          </w:tcPr>
          <w:p w14:paraId="3E84FEE2" w14:textId="77777777" w:rsidR="005E6AB0" w:rsidRPr="00306C9F" w:rsidRDefault="005E6AB0" w:rsidP="00FE67BB">
            <w:pPr>
              <w:jc w:val="center"/>
              <w:rPr>
                <w:rFonts w:ascii="Garamond" w:hAnsi="Garamond"/>
                <w:b/>
                <w:bCs/>
                <w:sz w:val="20"/>
                <w:szCs w:val="20"/>
                <w:lang w:val="pt-PT"/>
              </w:rPr>
            </w:pPr>
            <w:r w:rsidRPr="00306C9F">
              <w:rPr>
                <w:rFonts w:ascii="Garamond" w:hAnsi="Garamond"/>
                <w:b/>
                <w:bCs/>
                <w:sz w:val="20"/>
                <w:szCs w:val="20"/>
                <w:lang w:val="pt-PT"/>
              </w:rPr>
              <w:t>Feminino</w:t>
            </w:r>
          </w:p>
        </w:tc>
        <w:tc>
          <w:tcPr>
            <w:tcW w:w="1284" w:type="dxa"/>
            <w:tcBorders>
              <w:top w:val="single" w:sz="4" w:space="0" w:color="auto"/>
              <w:bottom w:val="single" w:sz="4" w:space="0" w:color="auto"/>
            </w:tcBorders>
            <w:shd w:val="clear" w:color="auto" w:fill="D9D9D9" w:themeFill="background1" w:themeFillShade="D9"/>
          </w:tcPr>
          <w:p w14:paraId="0F3301EA" w14:textId="77777777" w:rsidR="005E6AB0" w:rsidRPr="00306C9F" w:rsidRDefault="005E6AB0" w:rsidP="00FE67BB">
            <w:pPr>
              <w:jc w:val="center"/>
              <w:rPr>
                <w:rFonts w:ascii="Garamond" w:hAnsi="Garamond"/>
                <w:b/>
                <w:bCs/>
                <w:sz w:val="20"/>
                <w:szCs w:val="20"/>
                <w:lang w:val="pt-PT"/>
              </w:rPr>
            </w:pPr>
            <w:r w:rsidRPr="00306C9F">
              <w:rPr>
                <w:rFonts w:ascii="Garamond" w:hAnsi="Garamond"/>
                <w:b/>
                <w:bCs/>
                <w:sz w:val="20"/>
                <w:szCs w:val="20"/>
                <w:lang w:val="pt-PT"/>
              </w:rPr>
              <w:t>Masculino</w:t>
            </w:r>
          </w:p>
        </w:tc>
        <w:tc>
          <w:tcPr>
            <w:tcW w:w="1182" w:type="dxa"/>
            <w:tcBorders>
              <w:top w:val="single" w:sz="4" w:space="0" w:color="auto"/>
              <w:bottom w:val="single" w:sz="4" w:space="0" w:color="auto"/>
            </w:tcBorders>
            <w:shd w:val="clear" w:color="auto" w:fill="D9D9D9" w:themeFill="background1" w:themeFillShade="D9"/>
          </w:tcPr>
          <w:p w14:paraId="32DD315F" w14:textId="77777777" w:rsidR="005E6AB0" w:rsidRPr="00306C9F" w:rsidRDefault="005E6AB0" w:rsidP="00FE67BB">
            <w:pPr>
              <w:jc w:val="center"/>
              <w:rPr>
                <w:rFonts w:ascii="Garamond" w:hAnsi="Garamond"/>
                <w:b/>
                <w:bCs/>
                <w:sz w:val="20"/>
                <w:szCs w:val="20"/>
                <w:lang w:val="pt-PT"/>
              </w:rPr>
            </w:pPr>
            <w:r w:rsidRPr="00306C9F">
              <w:rPr>
                <w:rFonts w:ascii="Garamond" w:hAnsi="Garamond"/>
                <w:b/>
                <w:bCs/>
                <w:sz w:val="20"/>
                <w:szCs w:val="20"/>
                <w:lang w:val="pt-PT"/>
              </w:rPr>
              <w:t>Total</w:t>
            </w:r>
          </w:p>
        </w:tc>
      </w:tr>
      <w:tr w:rsidR="005E6AB0" w:rsidRPr="00306C9F" w14:paraId="713B2E19" w14:textId="77777777" w:rsidTr="00FE67BB">
        <w:trPr>
          <w:jc w:val="center"/>
        </w:trPr>
        <w:tc>
          <w:tcPr>
            <w:tcW w:w="2778" w:type="dxa"/>
            <w:tcBorders>
              <w:top w:val="single" w:sz="4" w:space="0" w:color="auto"/>
              <w:bottom w:val="single" w:sz="4" w:space="0" w:color="auto"/>
            </w:tcBorders>
            <w:shd w:val="clear" w:color="auto" w:fill="FFFFFF" w:themeFill="background1"/>
          </w:tcPr>
          <w:p w14:paraId="4100140E" w14:textId="77777777" w:rsidR="005E6AB0" w:rsidRPr="00306C9F" w:rsidRDefault="005E6AB0" w:rsidP="00FE67BB">
            <w:pPr>
              <w:spacing w:before="60"/>
              <w:rPr>
                <w:rFonts w:ascii="Garamond" w:hAnsi="Garamond"/>
                <w:sz w:val="20"/>
                <w:szCs w:val="20"/>
                <w:lang w:val="pt-PT"/>
              </w:rPr>
            </w:pPr>
            <w:r w:rsidRPr="00306C9F">
              <w:rPr>
                <w:rFonts w:ascii="Garamond" w:hAnsi="Garamond"/>
                <w:sz w:val="20"/>
                <w:szCs w:val="20"/>
                <w:lang w:val="pt-PT"/>
              </w:rPr>
              <w:t>Taxa escolarização líquida</w:t>
            </w:r>
          </w:p>
        </w:tc>
        <w:tc>
          <w:tcPr>
            <w:tcW w:w="1255" w:type="dxa"/>
            <w:tcBorders>
              <w:top w:val="single" w:sz="4" w:space="0" w:color="auto"/>
              <w:bottom w:val="single" w:sz="4" w:space="0" w:color="auto"/>
            </w:tcBorders>
            <w:shd w:val="clear" w:color="auto" w:fill="FFFFFF" w:themeFill="background1"/>
          </w:tcPr>
          <w:p w14:paraId="3B0E2E02"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75,5 %</w:t>
            </w:r>
          </w:p>
        </w:tc>
        <w:tc>
          <w:tcPr>
            <w:tcW w:w="1284" w:type="dxa"/>
            <w:tcBorders>
              <w:top w:val="single" w:sz="4" w:space="0" w:color="auto"/>
              <w:bottom w:val="single" w:sz="4" w:space="0" w:color="auto"/>
            </w:tcBorders>
            <w:shd w:val="clear" w:color="auto" w:fill="FFFFFF" w:themeFill="background1"/>
          </w:tcPr>
          <w:p w14:paraId="2A07E329"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67,2%</w:t>
            </w:r>
          </w:p>
        </w:tc>
        <w:tc>
          <w:tcPr>
            <w:tcW w:w="1182" w:type="dxa"/>
            <w:tcBorders>
              <w:top w:val="single" w:sz="4" w:space="0" w:color="auto"/>
              <w:bottom w:val="single" w:sz="4" w:space="0" w:color="auto"/>
            </w:tcBorders>
            <w:shd w:val="clear" w:color="auto" w:fill="FFFFFF" w:themeFill="background1"/>
          </w:tcPr>
          <w:p w14:paraId="0BA26CF8"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71,3%</w:t>
            </w:r>
          </w:p>
        </w:tc>
      </w:tr>
      <w:tr w:rsidR="005E6AB0" w:rsidRPr="00306C9F" w14:paraId="0889758A" w14:textId="77777777" w:rsidTr="00FE67BB">
        <w:trPr>
          <w:jc w:val="center"/>
        </w:trPr>
        <w:tc>
          <w:tcPr>
            <w:tcW w:w="2778" w:type="dxa"/>
            <w:tcBorders>
              <w:top w:val="single" w:sz="4" w:space="0" w:color="auto"/>
              <w:bottom w:val="single" w:sz="4" w:space="0" w:color="auto"/>
            </w:tcBorders>
            <w:shd w:val="clear" w:color="auto" w:fill="FFFFFF" w:themeFill="background1"/>
          </w:tcPr>
          <w:p w14:paraId="06646448" w14:textId="77777777" w:rsidR="005E6AB0" w:rsidRPr="00306C9F" w:rsidRDefault="005E6AB0" w:rsidP="00FE67BB">
            <w:pPr>
              <w:spacing w:before="60"/>
              <w:rPr>
                <w:rFonts w:ascii="Garamond" w:hAnsi="Garamond"/>
                <w:sz w:val="20"/>
                <w:szCs w:val="20"/>
                <w:lang w:val="pt-PT"/>
              </w:rPr>
            </w:pPr>
            <w:r w:rsidRPr="00306C9F">
              <w:rPr>
                <w:rFonts w:ascii="Garamond" w:hAnsi="Garamond"/>
                <w:sz w:val="20"/>
                <w:szCs w:val="20"/>
                <w:lang w:val="pt-PT"/>
              </w:rPr>
              <w:t>Taxa de reprovação</w:t>
            </w:r>
          </w:p>
        </w:tc>
        <w:tc>
          <w:tcPr>
            <w:tcW w:w="1255" w:type="dxa"/>
            <w:tcBorders>
              <w:top w:val="single" w:sz="4" w:space="0" w:color="auto"/>
              <w:bottom w:val="single" w:sz="4" w:space="0" w:color="auto"/>
            </w:tcBorders>
            <w:shd w:val="clear" w:color="auto" w:fill="FFFFFF" w:themeFill="background1"/>
          </w:tcPr>
          <w:p w14:paraId="5467C08C"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19,7%</w:t>
            </w:r>
          </w:p>
        </w:tc>
        <w:tc>
          <w:tcPr>
            <w:tcW w:w="1284" w:type="dxa"/>
            <w:tcBorders>
              <w:top w:val="single" w:sz="4" w:space="0" w:color="auto"/>
              <w:bottom w:val="single" w:sz="4" w:space="0" w:color="auto"/>
            </w:tcBorders>
            <w:shd w:val="clear" w:color="auto" w:fill="FFFFFF" w:themeFill="background1"/>
          </w:tcPr>
          <w:p w14:paraId="2B52A303"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28,7%</w:t>
            </w:r>
          </w:p>
        </w:tc>
        <w:tc>
          <w:tcPr>
            <w:tcW w:w="1182" w:type="dxa"/>
            <w:tcBorders>
              <w:top w:val="single" w:sz="4" w:space="0" w:color="auto"/>
              <w:bottom w:val="single" w:sz="4" w:space="0" w:color="auto"/>
            </w:tcBorders>
            <w:shd w:val="clear" w:color="auto" w:fill="FFFFFF" w:themeFill="background1"/>
          </w:tcPr>
          <w:p w14:paraId="1C447000"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24%</w:t>
            </w:r>
          </w:p>
        </w:tc>
      </w:tr>
      <w:tr w:rsidR="005E6AB0" w:rsidRPr="00306C9F" w14:paraId="68CBA166" w14:textId="77777777" w:rsidTr="00FE67BB">
        <w:trPr>
          <w:jc w:val="center"/>
        </w:trPr>
        <w:tc>
          <w:tcPr>
            <w:tcW w:w="2778" w:type="dxa"/>
            <w:tcBorders>
              <w:top w:val="single" w:sz="4" w:space="0" w:color="auto"/>
              <w:bottom w:val="single" w:sz="4" w:space="0" w:color="auto"/>
            </w:tcBorders>
            <w:shd w:val="clear" w:color="auto" w:fill="FFFFFF" w:themeFill="background1"/>
          </w:tcPr>
          <w:p w14:paraId="1C6ED1D4" w14:textId="77777777" w:rsidR="005E6AB0" w:rsidRPr="00306C9F" w:rsidRDefault="005E6AB0" w:rsidP="00FE67BB">
            <w:pPr>
              <w:spacing w:before="60"/>
              <w:rPr>
                <w:rFonts w:ascii="Garamond" w:hAnsi="Garamond"/>
                <w:sz w:val="20"/>
                <w:szCs w:val="20"/>
                <w:lang w:val="pt-PT"/>
              </w:rPr>
            </w:pPr>
            <w:r w:rsidRPr="00306C9F">
              <w:rPr>
                <w:rFonts w:ascii="Garamond" w:hAnsi="Garamond"/>
                <w:sz w:val="20"/>
                <w:szCs w:val="20"/>
                <w:lang w:val="pt-PT"/>
              </w:rPr>
              <w:t>Taxa de abandono</w:t>
            </w:r>
          </w:p>
        </w:tc>
        <w:tc>
          <w:tcPr>
            <w:tcW w:w="1255" w:type="dxa"/>
            <w:tcBorders>
              <w:top w:val="single" w:sz="4" w:space="0" w:color="auto"/>
              <w:bottom w:val="single" w:sz="4" w:space="0" w:color="auto"/>
            </w:tcBorders>
            <w:shd w:val="clear" w:color="auto" w:fill="FFFFFF" w:themeFill="background1"/>
          </w:tcPr>
          <w:p w14:paraId="62746950"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5,3%</w:t>
            </w:r>
          </w:p>
        </w:tc>
        <w:tc>
          <w:tcPr>
            <w:tcW w:w="1284" w:type="dxa"/>
            <w:tcBorders>
              <w:top w:val="single" w:sz="4" w:space="0" w:color="auto"/>
              <w:bottom w:val="single" w:sz="4" w:space="0" w:color="auto"/>
            </w:tcBorders>
            <w:shd w:val="clear" w:color="auto" w:fill="FFFFFF" w:themeFill="background1"/>
          </w:tcPr>
          <w:p w14:paraId="26F8FDDA"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 xml:space="preserve">8,1%  </w:t>
            </w:r>
          </w:p>
        </w:tc>
        <w:tc>
          <w:tcPr>
            <w:tcW w:w="1182" w:type="dxa"/>
            <w:tcBorders>
              <w:top w:val="single" w:sz="4" w:space="0" w:color="auto"/>
              <w:bottom w:val="single" w:sz="4" w:space="0" w:color="auto"/>
            </w:tcBorders>
            <w:shd w:val="clear" w:color="auto" w:fill="FFFFFF" w:themeFill="background1"/>
          </w:tcPr>
          <w:p w14:paraId="392F5B3A" w14:textId="77777777" w:rsidR="005E6AB0" w:rsidRPr="00306C9F" w:rsidRDefault="005E6AB0" w:rsidP="00FE67BB">
            <w:pPr>
              <w:spacing w:before="60"/>
              <w:jc w:val="center"/>
              <w:rPr>
                <w:rFonts w:ascii="Garamond" w:hAnsi="Garamond"/>
                <w:sz w:val="20"/>
                <w:szCs w:val="20"/>
                <w:lang w:val="pt-PT"/>
              </w:rPr>
            </w:pPr>
            <w:r w:rsidRPr="00306C9F">
              <w:rPr>
                <w:rFonts w:ascii="Garamond" w:hAnsi="Garamond"/>
                <w:sz w:val="20"/>
                <w:szCs w:val="20"/>
                <w:lang w:val="pt-PT"/>
              </w:rPr>
              <w:t xml:space="preserve">6,8%  </w:t>
            </w:r>
          </w:p>
        </w:tc>
      </w:tr>
    </w:tbl>
    <w:p w14:paraId="66FBC462" w14:textId="77777777" w:rsidR="005E6AB0" w:rsidRPr="00306C9F" w:rsidRDefault="005E6AB0" w:rsidP="005E6AB0">
      <w:pPr>
        <w:pStyle w:val="Textodenotaderodap"/>
        <w:jc w:val="center"/>
        <w:rPr>
          <w:rFonts w:ascii="Garamond" w:hAnsi="Garamond"/>
          <w:b/>
          <w:bCs/>
        </w:rPr>
      </w:pPr>
      <w:r>
        <w:rPr>
          <w:rFonts w:ascii="Garamond" w:hAnsi="Garamond"/>
          <w:b/>
          <w:bCs/>
        </w:rPr>
        <w:t xml:space="preserve">Fonte: elaboração própria com base nos </w:t>
      </w:r>
      <w:r w:rsidRPr="00306C9F">
        <w:rPr>
          <w:rFonts w:ascii="Garamond" w:hAnsi="Garamond"/>
          <w:b/>
          <w:bCs/>
        </w:rPr>
        <w:t>Principais Indicadores da Educação 2016-2017</w:t>
      </w:r>
      <w:r>
        <w:rPr>
          <w:rFonts w:ascii="Garamond" w:hAnsi="Garamond"/>
          <w:b/>
          <w:bCs/>
        </w:rPr>
        <w:t xml:space="preserve"> (ME)</w:t>
      </w:r>
    </w:p>
    <w:p w14:paraId="63A9C6E1" w14:textId="77777777" w:rsidR="005E6AB0" w:rsidRPr="001C50C8" w:rsidRDefault="005E6AB0" w:rsidP="005E6AB0">
      <w:pPr>
        <w:autoSpaceDE w:val="0"/>
        <w:autoSpaceDN w:val="0"/>
        <w:adjustRightInd w:val="0"/>
        <w:jc w:val="both"/>
        <w:rPr>
          <w:rFonts w:ascii="Garamond" w:hAnsi="Garamond"/>
          <w:lang w:val="pt-PT"/>
        </w:rPr>
      </w:pPr>
    </w:p>
    <w:p w14:paraId="033F996E" w14:textId="77777777" w:rsidR="005E6AB0" w:rsidRPr="001C50C8" w:rsidRDefault="005E6AB0" w:rsidP="00786DEC">
      <w:pPr>
        <w:pStyle w:val="PargrafodaLista"/>
        <w:numPr>
          <w:ilvl w:val="0"/>
          <w:numId w:val="30"/>
        </w:numPr>
        <w:autoSpaceDE w:val="0"/>
        <w:autoSpaceDN w:val="0"/>
        <w:adjustRightInd w:val="0"/>
        <w:spacing w:after="240"/>
        <w:jc w:val="both"/>
        <w:rPr>
          <w:rFonts w:ascii="Garamond" w:hAnsi="Garamond"/>
          <w:lang w:val="pt-PT"/>
        </w:rPr>
      </w:pPr>
      <w:r w:rsidRPr="001C50C8">
        <w:rPr>
          <w:rFonts w:ascii="Garamond" w:hAnsi="Garamond"/>
          <w:lang w:val="pt-PT"/>
        </w:rPr>
        <w:t xml:space="preserve">Como já havia sido sinalizado no </w:t>
      </w:r>
      <w:proofErr w:type="spellStart"/>
      <w:r w:rsidRPr="001C50C8">
        <w:rPr>
          <w:rFonts w:ascii="Garamond" w:hAnsi="Garamond"/>
          <w:lang w:val="pt-PT"/>
        </w:rPr>
        <w:t>PNIG</w:t>
      </w:r>
      <w:proofErr w:type="spellEnd"/>
      <w:r w:rsidRPr="001C50C8">
        <w:rPr>
          <w:rFonts w:ascii="Garamond" w:hAnsi="Garamond"/>
          <w:lang w:val="pt-PT"/>
        </w:rPr>
        <w:t xml:space="preserve"> anterior, mantem-se a necessidade de analisar as especificidades quanto à forma como meninos progridem no sistema educativo e desenhar estratégias/intervenções para promover o seu sucesso escolar</w:t>
      </w:r>
      <w:r>
        <w:rPr>
          <w:rFonts w:ascii="Garamond" w:hAnsi="Garamond"/>
          <w:lang w:val="pt-PT"/>
        </w:rPr>
        <w:t>.</w:t>
      </w:r>
    </w:p>
    <w:p w14:paraId="39EDD5D2" w14:textId="78DAB5C7" w:rsidR="005E6AB0" w:rsidRPr="001C50C8" w:rsidRDefault="005E6AB0" w:rsidP="005E6AB0">
      <w:pPr>
        <w:autoSpaceDE w:val="0"/>
        <w:autoSpaceDN w:val="0"/>
        <w:adjustRightInd w:val="0"/>
        <w:spacing w:after="240"/>
        <w:jc w:val="both"/>
        <w:rPr>
          <w:rFonts w:ascii="Garamond" w:hAnsi="Garamond"/>
          <w:lang w:val="pt-PT"/>
        </w:rPr>
      </w:pPr>
      <w:r w:rsidRPr="001C50C8">
        <w:rPr>
          <w:rFonts w:ascii="Garamond" w:hAnsi="Garamond"/>
          <w:lang w:val="pt-PT"/>
        </w:rPr>
        <w:t xml:space="preserve">No caso das alunas, muitas vêem o seu percurso educativo </w:t>
      </w:r>
      <w:proofErr w:type="spellStart"/>
      <w:r w:rsidRPr="001C50C8">
        <w:rPr>
          <w:rFonts w:ascii="Garamond" w:hAnsi="Garamond"/>
          <w:lang w:val="pt-PT"/>
        </w:rPr>
        <w:t>afetado</w:t>
      </w:r>
      <w:proofErr w:type="spellEnd"/>
      <w:r w:rsidRPr="001C50C8">
        <w:rPr>
          <w:rFonts w:ascii="Garamond" w:hAnsi="Garamond"/>
          <w:lang w:val="pt-PT"/>
        </w:rPr>
        <w:t xml:space="preserve"> por uma gravidez: os dados do </w:t>
      </w:r>
      <w:proofErr w:type="spellStart"/>
      <w:r w:rsidR="00FE1548">
        <w:rPr>
          <w:rFonts w:ascii="Garamond" w:hAnsi="Garamond"/>
          <w:lang w:val="pt-PT"/>
        </w:rPr>
        <w:t>RGPH</w:t>
      </w:r>
      <w:proofErr w:type="spellEnd"/>
      <w:r w:rsidRPr="001C50C8">
        <w:rPr>
          <w:rFonts w:ascii="Garamond" w:hAnsi="Garamond"/>
          <w:lang w:val="pt-PT"/>
        </w:rPr>
        <w:t xml:space="preserve"> 2010, desagregados por situação escolar, mostram que das 868 adolescentes dos 15 aos 17 anos que já são mães, 242 frequentam a escola e 626 não frequentam.</w:t>
      </w:r>
      <w:r w:rsidRPr="001C50C8">
        <w:rPr>
          <w:rStyle w:val="Refdenotaderodap"/>
          <w:rFonts w:ascii="Garamond" w:hAnsi="Garamond"/>
          <w:lang w:val="pt-PT"/>
        </w:rPr>
        <w:footnoteReference w:id="92"/>
      </w:r>
      <w:r w:rsidRPr="001C50C8">
        <w:rPr>
          <w:rFonts w:ascii="Garamond" w:hAnsi="Garamond"/>
          <w:lang w:val="pt-PT"/>
        </w:rPr>
        <w:t xml:space="preserve"> O Decreto-Lei nº 47/2017, de 26 de </w:t>
      </w:r>
      <w:proofErr w:type="spellStart"/>
      <w:r w:rsidRPr="001C50C8">
        <w:rPr>
          <w:rFonts w:ascii="Garamond" w:hAnsi="Garamond"/>
          <w:lang w:val="pt-PT"/>
        </w:rPr>
        <w:t>outubro</w:t>
      </w:r>
      <w:proofErr w:type="spellEnd"/>
      <w:r w:rsidRPr="001C50C8">
        <w:rPr>
          <w:rFonts w:ascii="Garamond" w:hAnsi="Garamond"/>
          <w:lang w:val="pt-PT"/>
        </w:rPr>
        <w:t xml:space="preserve"> de 2017, estabeleceu as medidas de apoio social e escolar dirigidas a alunas grávidas, puérperas e lactantes, considerando vários níveis de ensino (básico, secundário, formação profissional, ensino superior), com vista a garantir o seu acesso e permanência no sistema de ensino.</w:t>
      </w:r>
    </w:p>
    <w:p w14:paraId="7430B05B" w14:textId="77777777" w:rsidR="005E6AB0" w:rsidRPr="001C50C8" w:rsidRDefault="005E6AB0" w:rsidP="005E6AB0">
      <w:pPr>
        <w:shd w:val="clear" w:color="auto" w:fill="DEEAF6" w:themeFill="accent5" w:themeFillTint="33"/>
        <w:autoSpaceDE w:val="0"/>
        <w:autoSpaceDN w:val="0"/>
        <w:adjustRightInd w:val="0"/>
        <w:jc w:val="both"/>
        <w:rPr>
          <w:rFonts w:ascii="Garamond" w:hAnsi="Garamond"/>
          <w:sz w:val="22"/>
          <w:szCs w:val="22"/>
        </w:rPr>
      </w:pPr>
      <w:proofErr w:type="spellStart"/>
      <w:r w:rsidRPr="001C50C8">
        <w:rPr>
          <w:rFonts w:ascii="Garamond" w:hAnsi="Garamond"/>
          <w:b/>
          <w:bCs/>
          <w:sz w:val="22"/>
          <w:szCs w:val="22"/>
        </w:rPr>
        <w:t>Prevê</w:t>
      </w:r>
      <w:proofErr w:type="spellEnd"/>
      <w:r w:rsidRPr="001C50C8">
        <w:rPr>
          <w:rFonts w:ascii="Garamond" w:hAnsi="Garamond"/>
          <w:b/>
          <w:bCs/>
          <w:sz w:val="22"/>
          <w:szCs w:val="22"/>
        </w:rPr>
        <w:t xml:space="preserve"> o </w:t>
      </w:r>
      <w:proofErr w:type="spellStart"/>
      <w:r w:rsidRPr="001C50C8">
        <w:rPr>
          <w:rFonts w:ascii="Garamond" w:hAnsi="Garamond"/>
          <w:b/>
          <w:bCs/>
          <w:sz w:val="22"/>
          <w:szCs w:val="22"/>
        </w:rPr>
        <w:t>direito</w:t>
      </w:r>
      <w:proofErr w:type="spellEnd"/>
      <w:r w:rsidRPr="001C50C8">
        <w:rPr>
          <w:rFonts w:ascii="Garamond" w:hAnsi="Garamond"/>
          <w:b/>
          <w:bCs/>
          <w:sz w:val="22"/>
          <w:szCs w:val="22"/>
        </w:rPr>
        <w:t xml:space="preserve"> a</w:t>
      </w:r>
      <w:r w:rsidRPr="001C50C8">
        <w:rPr>
          <w:rFonts w:ascii="Garamond" w:hAnsi="Garamond"/>
          <w:sz w:val="22"/>
          <w:szCs w:val="22"/>
        </w:rPr>
        <w:t>:</w:t>
      </w:r>
    </w:p>
    <w:p w14:paraId="0AEA8674"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Dispensa por maternidade de 60 dias a seguir ao parto</w:t>
      </w:r>
    </w:p>
    <w:p w14:paraId="6234B920"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Dispensa antes do parto em situações de risco clínico</w:t>
      </w:r>
    </w:p>
    <w:p w14:paraId="1BAEE82E"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 xml:space="preserve">Um regime especial de faltas no pós-parto (faltas justificadas para consultas pré-natais, doença e assistência a filhos) </w:t>
      </w:r>
    </w:p>
    <w:p w14:paraId="200DE13D"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Gestão da avaliação de acordo com as necessidades (prazos e modalidades)</w:t>
      </w:r>
    </w:p>
    <w:p w14:paraId="4F86A14C"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Possibilidade de época especial de avaliação</w:t>
      </w:r>
    </w:p>
    <w:p w14:paraId="7AE6CD07"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Não obrigatoriedade de matrícula num número mínimo de disciplinas</w:t>
      </w:r>
    </w:p>
    <w:p w14:paraId="03547F61" w14:textId="77777777" w:rsidR="005E6AB0" w:rsidRPr="001C50C8" w:rsidRDefault="005E6AB0" w:rsidP="00786DEC">
      <w:pPr>
        <w:pStyle w:val="PargrafodaLista"/>
        <w:numPr>
          <w:ilvl w:val="0"/>
          <w:numId w:val="23"/>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Condições especiais de transferência de estabelecimento de ensino</w:t>
      </w:r>
    </w:p>
    <w:p w14:paraId="5BA76D33" w14:textId="77777777" w:rsidR="005E6AB0" w:rsidRPr="001C50C8" w:rsidRDefault="005E6AB0" w:rsidP="005E6AB0">
      <w:pPr>
        <w:shd w:val="clear" w:color="auto" w:fill="DEEAF6" w:themeFill="accent5" w:themeFillTint="33"/>
        <w:autoSpaceDE w:val="0"/>
        <w:autoSpaceDN w:val="0"/>
        <w:adjustRightInd w:val="0"/>
        <w:jc w:val="both"/>
        <w:rPr>
          <w:rFonts w:ascii="Garamond" w:hAnsi="Garamond"/>
          <w:b/>
          <w:bCs/>
          <w:sz w:val="22"/>
          <w:szCs w:val="22"/>
          <w:lang w:val="pt-PT"/>
        </w:rPr>
      </w:pPr>
    </w:p>
    <w:p w14:paraId="411529E0" w14:textId="77777777" w:rsidR="005E6AB0" w:rsidRPr="001C50C8" w:rsidRDefault="005E6AB0" w:rsidP="005E6AB0">
      <w:p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b/>
          <w:bCs/>
          <w:sz w:val="22"/>
          <w:szCs w:val="22"/>
          <w:lang w:val="pt-PT"/>
        </w:rPr>
        <w:t>Prevê o dever das instituições de educação na</w:t>
      </w:r>
      <w:r w:rsidRPr="001C50C8">
        <w:rPr>
          <w:rFonts w:ascii="Garamond" w:hAnsi="Garamond"/>
          <w:sz w:val="22"/>
          <w:szCs w:val="22"/>
          <w:lang w:val="pt-PT"/>
        </w:rPr>
        <w:t>:</w:t>
      </w:r>
    </w:p>
    <w:p w14:paraId="63F459E1" w14:textId="77777777" w:rsidR="005E6AB0" w:rsidRPr="001C50C8" w:rsidRDefault="005E6AB0" w:rsidP="00786DEC">
      <w:pPr>
        <w:pStyle w:val="PargrafodaLista"/>
        <w:numPr>
          <w:ilvl w:val="0"/>
          <w:numId w:val="22"/>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 xml:space="preserve">Prestação de orientação específica às alunas </w:t>
      </w:r>
      <w:proofErr w:type="spellStart"/>
      <w:r w:rsidRPr="001C50C8">
        <w:rPr>
          <w:rFonts w:ascii="Garamond" w:hAnsi="Garamond"/>
          <w:sz w:val="22"/>
          <w:szCs w:val="22"/>
          <w:lang w:val="pt-PT"/>
        </w:rPr>
        <w:t>pelos</w:t>
      </w:r>
      <w:proofErr w:type="spellEnd"/>
      <w:r w:rsidRPr="001C50C8">
        <w:rPr>
          <w:rFonts w:ascii="Garamond" w:hAnsi="Garamond"/>
          <w:sz w:val="22"/>
          <w:szCs w:val="22"/>
          <w:lang w:val="pt-PT"/>
        </w:rPr>
        <w:t xml:space="preserve"> Serviços de </w:t>
      </w:r>
      <w:proofErr w:type="spellStart"/>
      <w:r w:rsidRPr="001C50C8">
        <w:rPr>
          <w:rFonts w:ascii="Garamond" w:hAnsi="Garamond"/>
          <w:sz w:val="22"/>
          <w:szCs w:val="22"/>
          <w:lang w:val="pt-PT"/>
        </w:rPr>
        <w:t>Ação</w:t>
      </w:r>
      <w:proofErr w:type="spellEnd"/>
      <w:r w:rsidRPr="001C50C8">
        <w:rPr>
          <w:rFonts w:ascii="Garamond" w:hAnsi="Garamond"/>
          <w:sz w:val="22"/>
          <w:szCs w:val="22"/>
          <w:lang w:val="pt-PT"/>
        </w:rPr>
        <w:t xml:space="preserve"> Social da Escola</w:t>
      </w:r>
    </w:p>
    <w:p w14:paraId="3028EEF8" w14:textId="77777777" w:rsidR="005E6AB0" w:rsidRPr="001C50C8" w:rsidRDefault="005E6AB0" w:rsidP="00786DEC">
      <w:pPr>
        <w:pStyle w:val="PargrafodaLista"/>
        <w:numPr>
          <w:ilvl w:val="0"/>
          <w:numId w:val="22"/>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 xml:space="preserve">Tomada de medidas de formação dos professores em matéria de educação sobre </w:t>
      </w:r>
      <w:proofErr w:type="spellStart"/>
      <w:r w:rsidRPr="001C50C8">
        <w:rPr>
          <w:rFonts w:ascii="Garamond" w:hAnsi="Garamond"/>
          <w:sz w:val="22"/>
          <w:szCs w:val="22"/>
          <w:lang w:val="pt-PT"/>
        </w:rPr>
        <w:t>SSR</w:t>
      </w:r>
      <w:proofErr w:type="spellEnd"/>
    </w:p>
    <w:p w14:paraId="2D647EF4" w14:textId="77777777" w:rsidR="005E6AB0" w:rsidRPr="001C50C8" w:rsidRDefault="005E6AB0" w:rsidP="00786DEC">
      <w:pPr>
        <w:pStyle w:val="PargrafodaLista"/>
        <w:numPr>
          <w:ilvl w:val="0"/>
          <w:numId w:val="22"/>
        </w:numPr>
        <w:shd w:val="clear" w:color="auto" w:fill="DEEAF6" w:themeFill="accent5" w:themeFillTint="33"/>
        <w:autoSpaceDE w:val="0"/>
        <w:autoSpaceDN w:val="0"/>
        <w:adjustRightInd w:val="0"/>
        <w:jc w:val="both"/>
        <w:rPr>
          <w:rFonts w:ascii="Garamond" w:hAnsi="Garamond"/>
          <w:sz w:val="22"/>
          <w:szCs w:val="22"/>
          <w:lang w:val="pt-PT"/>
        </w:rPr>
      </w:pPr>
      <w:r w:rsidRPr="001C50C8">
        <w:rPr>
          <w:rFonts w:ascii="Garamond" w:hAnsi="Garamond"/>
          <w:sz w:val="22"/>
          <w:szCs w:val="22"/>
          <w:lang w:val="pt-PT"/>
        </w:rPr>
        <w:t>Adaptação às disposições do diploma e sua divulgação, inclusive junto das alunas grávidas</w:t>
      </w:r>
    </w:p>
    <w:p w14:paraId="03672ED6" w14:textId="77777777" w:rsidR="005E6AB0" w:rsidRPr="001C50C8" w:rsidRDefault="005E6AB0" w:rsidP="00786DEC">
      <w:pPr>
        <w:pStyle w:val="PargrafodaLista"/>
        <w:numPr>
          <w:ilvl w:val="0"/>
          <w:numId w:val="22"/>
        </w:numPr>
        <w:shd w:val="clear" w:color="auto" w:fill="DEEAF6" w:themeFill="accent5" w:themeFillTint="33"/>
        <w:autoSpaceDE w:val="0"/>
        <w:autoSpaceDN w:val="0"/>
        <w:adjustRightInd w:val="0"/>
        <w:spacing w:after="240"/>
        <w:ind w:left="357" w:hanging="357"/>
        <w:contextualSpacing w:val="0"/>
        <w:jc w:val="both"/>
        <w:rPr>
          <w:rFonts w:ascii="Garamond" w:hAnsi="Garamond"/>
          <w:sz w:val="22"/>
          <w:szCs w:val="22"/>
          <w:lang w:val="pt-PT"/>
        </w:rPr>
      </w:pPr>
      <w:r w:rsidRPr="001C50C8">
        <w:rPr>
          <w:rFonts w:ascii="Garamond" w:hAnsi="Garamond"/>
          <w:sz w:val="22"/>
          <w:szCs w:val="22"/>
          <w:lang w:val="pt-PT"/>
        </w:rPr>
        <w:t xml:space="preserve">Promoção de um contexto livre de discriminação. </w:t>
      </w:r>
    </w:p>
    <w:p w14:paraId="287C7334" w14:textId="77777777" w:rsidR="005E6AB0" w:rsidRPr="001C50C8" w:rsidRDefault="005E6AB0" w:rsidP="00786DEC">
      <w:pPr>
        <w:pStyle w:val="PargrafodaLista"/>
        <w:numPr>
          <w:ilvl w:val="0"/>
          <w:numId w:val="21"/>
        </w:numPr>
        <w:autoSpaceDE w:val="0"/>
        <w:autoSpaceDN w:val="0"/>
        <w:adjustRightInd w:val="0"/>
        <w:spacing w:after="240"/>
        <w:jc w:val="both"/>
        <w:rPr>
          <w:rFonts w:ascii="Garamond" w:hAnsi="Garamond"/>
          <w:lang w:val="pt-PT"/>
        </w:rPr>
      </w:pPr>
      <w:r w:rsidRPr="001C50C8">
        <w:rPr>
          <w:rFonts w:ascii="Garamond" w:hAnsi="Garamond"/>
          <w:lang w:val="pt-PT"/>
        </w:rPr>
        <w:t xml:space="preserve">O fato de não existirem dados sistematizados sobre o número de alunas grávidas identificados por escola, bem como quanto ao seu percurso na escola (frequência e sucesso escolar) não facilita o acompanhamento da medida e avaliação da sua eficácia, </w:t>
      </w:r>
      <w:proofErr w:type="spellStart"/>
      <w:r w:rsidRPr="001C50C8">
        <w:rPr>
          <w:rFonts w:ascii="Garamond" w:hAnsi="Garamond"/>
          <w:lang w:val="pt-PT"/>
        </w:rPr>
        <w:t>pelo</w:t>
      </w:r>
      <w:proofErr w:type="spellEnd"/>
      <w:r w:rsidRPr="001C50C8">
        <w:rPr>
          <w:rFonts w:ascii="Garamond" w:hAnsi="Garamond"/>
          <w:lang w:val="pt-PT"/>
        </w:rPr>
        <w:t xml:space="preserve"> que será necessário desenvolver e implementar um sistema para este seguimento</w:t>
      </w:r>
    </w:p>
    <w:p w14:paraId="495C52DA" w14:textId="77777777" w:rsidR="005E6AB0" w:rsidRPr="001C50C8" w:rsidRDefault="005E6AB0" w:rsidP="00786DEC">
      <w:pPr>
        <w:pStyle w:val="PargrafodaLista"/>
        <w:numPr>
          <w:ilvl w:val="0"/>
          <w:numId w:val="21"/>
        </w:numPr>
        <w:autoSpaceDE w:val="0"/>
        <w:autoSpaceDN w:val="0"/>
        <w:adjustRightInd w:val="0"/>
        <w:spacing w:after="240"/>
        <w:jc w:val="both"/>
        <w:rPr>
          <w:rFonts w:ascii="Garamond" w:hAnsi="Garamond"/>
          <w:lang w:val="pt-PT"/>
        </w:rPr>
      </w:pPr>
      <w:r w:rsidRPr="001C50C8">
        <w:rPr>
          <w:rFonts w:ascii="Garamond" w:hAnsi="Garamond"/>
          <w:lang w:val="pt-PT"/>
        </w:rPr>
        <w:t xml:space="preserve">Concomitantemente deve ser realizado um estudo de cariz qualitativo que permita analisar os desafios e boas práticas na prevenção da gravidez na adolescência e implementação da medida nalgumas escolas, com vista a elaborar recomendações </w:t>
      </w:r>
      <w:r>
        <w:rPr>
          <w:rFonts w:ascii="Garamond" w:hAnsi="Garamond"/>
          <w:lang w:val="pt-PT"/>
        </w:rPr>
        <w:t>s</w:t>
      </w:r>
      <w:r w:rsidRPr="001C50C8">
        <w:rPr>
          <w:rFonts w:ascii="Garamond" w:hAnsi="Garamond"/>
          <w:lang w:val="pt-PT"/>
        </w:rPr>
        <w:t xml:space="preserve">obre a matéria </w:t>
      </w:r>
      <w:r>
        <w:rPr>
          <w:rFonts w:ascii="Garamond" w:hAnsi="Garamond"/>
          <w:lang w:val="pt-PT"/>
        </w:rPr>
        <w:t xml:space="preserve">a partilhar e </w:t>
      </w:r>
      <w:r w:rsidRPr="001C50C8">
        <w:rPr>
          <w:rFonts w:ascii="Garamond" w:hAnsi="Garamond"/>
          <w:lang w:val="pt-PT"/>
        </w:rPr>
        <w:t>implementar em todas as escolas secundárias</w:t>
      </w:r>
    </w:p>
    <w:p w14:paraId="75E3618A" w14:textId="7D01725E" w:rsidR="005E6AB0" w:rsidRPr="00AE74AE" w:rsidRDefault="005E6AB0" w:rsidP="005E6AB0">
      <w:pPr>
        <w:spacing w:after="240"/>
        <w:jc w:val="both"/>
        <w:rPr>
          <w:rFonts w:ascii="Garamond" w:hAnsi="Garamond"/>
          <w:lang w:val="pt-PT"/>
        </w:rPr>
      </w:pPr>
      <w:r w:rsidRPr="001C50C8">
        <w:rPr>
          <w:rFonts w:ascii="Garamond" w:hAnsi="Garamond"/>
          <w:lang w:val="pt-PT"/>
        </w:rPr>
        <w:t xml:space="preserve">É importante </w:t>
      </w:r>
      <w:r>
        <w:rPr>
          <w:rFonts w:ascii="Garamond" w:hAnsi="Garamond"/>
          <w:lang w:val="pt-PT"/>
        </w:rPr>
        <w:t>notar</w:t>
      </w:r>
      <w:r w:rsidRPr="001C50C8">
        <w:rPr>
          <w:rFonts w:ascii="Garamond" w:hAnsi="Garamond"/>
          <w:lang w:val="pt-PT"/>
        </w:rPr>
        <w:t xml:space="preserve"> que o Comité </w:t>
      </w:r>
      <w:proofErr w:type="spellStart"/>
      <w:r w:rsidRPr="001C50C8">
        <w:rPr>
          <w:rFonts w:ascii="Garamond" w:hAnsi="Garamond"/>
          <w:lang w:val="pt-PT"/>
        </w:rPr>
        <w:t>CEDAW</w:t>
      </w:r>
      <w:proofErr w:type="spellEnd"/>
      <w:r w:rsidRPr="001C50C8">
        <w:rPr>
          <w:rFonts w:ascii="Garamond" w:hAnsi="Garamond"/>
          <w:lang w:val="pt-PT"/>
        </w:rPr>
        <w:t xml:space="preserve"> recomendou </w:t>
      </w:r>
      <w:r>
        <w:rPr>
          <w:rFonts w:ascii="Garamond" w:hAnsi="Garamond"/>
          <w:lang w:val="pt-PT"/>
        </w:rPr>
        <w:t xml:space="preserve">a Cabo verde </w:t>
      </w:r>
      <w:r w:rsidRPr="001C50C8">
        <w:rPr>
          <w:rFonts w:ascii="Garamond" w:hAnsi="Garamond"/>
          <w:lang w:val="pt-PT"/>
        </w:rPr>
        <w:t>que monitorize a implementação d</w:t>
      </w:r>
      <w:r>
        <w:rPr>
          <w:rFonts w:ascii="Garamond" w:hAnsi="Garamond"/>
          <w:lang w:val="pt-PT"/>
        </w:rPr>
        <w:t>o</w:t>
      </w:r>
      <w:r w:rsidRPr="001C50C8">
        <w:rPr>
          <w:rFonts w:ascii="Garamond" w:hAnsi="Garamond"/>
          <w:lang w:val="pt-PT"/>
        </w:rPr>
        <w:t xml:space="preserve"> </w:t>
      </w:r>
      <w:r>
        <w:rPr>
          <w:rFonts w:ascii="Garamond" w:hAnsi="Garamond"/>
          <w:lang w:val="pt-PT"/>
        </w:rPr>
        <w:t>DL</w:t>
      </w:r>
      <w:r w:rsidRPr="001C50C8">
        <w:rPr>
          <w:rFonts w:ascii="Garamond" w:hAnsi="Garamond"/>
          <w:lang w:val="pt-PT"/>
        </w:rPr>
        <w:t xml:space="preserve"> acima referido</w:t>
      </w:r>
      <w:r>
        <w:rPr>
          <w:rFonts w:ascii="Garamond" w:hAnsi="Garamond"/>
          <w:lang w:val="pt-PT"/>
        </w:rPr>
        <w:t>: o país</w:t>
      </w:r>
      <w:r w:rsidRPr="001C50C8">
        <w:rPr>
          <w:rFonts w:ascii="Garamond" w:hAnsi="Garamond"/>
          <w:lang w:val="pt-PT"/>
        </w:rPr>
        <w:t xml:space="preserve"> deverá submeter informações por escrito ao Comité em </w:t>
      </w:r>
      <w:proofErr w:type="spellStart"/>
      <w:r w:rsidR="00D244DF">
        <w:rPr>
          <w:rFonts w:ascii="Garamond" w:hAnsi="Garamond"/>
          <w:lang w:val="pt-PT"/>
        </w:rPr>
        <w:t>ju</w:t>
      </w:r>
      <w:r w:rsidRPr="001C50C8">
        <w:rPr>
          <w:rFonts w:ascii="Garamond" w:hAnsi="Garamond"/>
          <w:lang w:val="pt-PT"/>
        </w:rPr>
        <w:t>nho</w:t>
      </w:r>
      <w:proofErr w:type="spellEnd"/>
      <w:r w:rsidRPr="001C50C8">
        <w:rPr>
          <w:rFonts w:ascii="Garamond" w:hAnsi="Garamond"/>
          <w:lang w:val="pt-PT"/>
        </w:rPr>
        <w:t xml:space="preserve"> 2021 sobre</w:t>
      </w:r>
      <w:r>
        <w:rPr>
          <w:rFonts w:ascii="Garamond" w:hAnsi="Garamond"/>
          <w:lang w:val="pt-PT"/>
        </w:rPr>
        <w:t xml:space="preserve"> o que vem fazendo </w:t>
      </w:r>
      <w:r w:rsidRPr="001C50C8">
        <w:rPr>
          <w:rFonts w:ascii="Garamond" w:hAnsi="Garamond"/>
          <w:lang w:val="pt-PT"/>
        </w:rPr>
        <w:t>para implementar a recome</w:t>
      </w:r>
      <w:r w:rsidRPr="00AE74AE">
        <w:rPr>
          <w:rFonts w:ascii="Garamond" w:hAnsi="Garamond"/>
          <w:lang w:val="pt-PT"/>
        </w:rPr>
        <w:t>ndação.</w:t>
      </w:r>
      <w:r>
        <w:rPr>
          <w:rStyle w:val="Refdenotaderodap"/>
          <w:rFonts w:ascii="Garamond" w:hAnsi="Garamond"/>
          <w:lang w:val="pt-PT"/>
        </w:rPr>
        <w:footnoteReference w:id="93"/>
      </w:r>
    </w:p>
    <w:p w14:paraId="2F21DE00" w14:textId="77777777" w:rsidR="005E6AB0" w:rsidRPr="00AE74AE" w:rsidRDefault="005E6AB0" w:rsidP="005E6AB0">
      <w:pPr>
        <w:jc w:val="both"/>
        <w:rPr>
          <w:rFonts w:ascii="Garamond" w:hAnsi="Garamond"/>
          <w:b/>
          <w:bCs/>
          <w:lang w:val="pt-PT"/>
        </w:rPr>
      </w:pPr>
      <w:r w:rsidRPr="00AE74AE">
        <w:rPr>
          <w:rFonts w:ascii="Garamond" w:hAnsi="Garamond"/>
          <w:b/>
          <w:bCs/>
          <w:lang w:val="pt-PT"/>
        </w:rPr>
        <w:t>Violência em contexto escolar</w:t>
      </w:r>
    </w:p>
    <w:p w14:paraId="414E6B02" w14:textId="77777777" w:rsidR="005E6AB0" w:rsidRPr="00AE74AE" w:rsidRDefault="005E6AB0" w:rsidP="005E6AB0">
      <w:pPr>
        <w:jc w:val="both"/>
        <w:rPr>
          <w:rFonts w:ascii="Garamond" w:hAnsi="Garamond"/>
          <w:lang w:val="pt-PT"/>
        </w:rPr>
      </w:pPr>
      <w:r w:rsidRPr="00AE74AE">
        <w:rPr>
          <w:rFonts w:ascii="Garamond" w:hAnsi="Garamond"/>
          <w:lang w:val="pt-PT"/>
        </w:rPr>
        <w:t xml:space="preserve">Nos eixos anteriores, em particular no da </w:t>
      </w:r>
      <w:proofErr w:type="spellStart"/>
      <w:r w:rsidRPr="00AE74AE">
        <w:rPr>
          <w:rFonts w:ascii="Garamond" w:hAnsi="Garamond"/>
          <w:lang w:val="pt-PT"/>
        </w:rPr>
        <w:t>VBG</w:t>
      </w:r>
      <w:proofErr w:type="spellEnd"/>
      <w:r w:rsidRPr="00AE74AE">
        <w:rPr>
          <w:rFonts w:ascii="Garamond" w:hAnsi="Garamond"/>
          <w:lang w:val="pt-PT"/>
        </w:rPr>
        <w:t>, ficou clara a dimensão que a violência contra as meninas e mulheres tem no país, incluindo em contexto escolar. Em</w:t>
      </w:r>
      <w:r>
        <w:rPr>
          <w:rFonts w:ascii="Garamond" w:hAnsi="Garamond"/>
          <w:lang w:val="pt-PT"/>
        </w:rPr>
        <w:t xml:space="preserve"> 2017/2018 </w:t>
      </w:r>
      <w:r w:rsidRPr="00AE74AE">
        <w:rPr>
          <w:rFonts w:ascii="Garamond" w:hAnsi="Garamond"/>
          <w:lang w:val="pt-PT"/>
        </w:rPr>
        <w:t xml:space="preserve">foi realizado um </w:t>
      </w:r>
      <w:r w:rsidRPr="00AE74AE">
        <w:rPr>
          <w:rFonts w:ascii="Garamond" w:hAnsi="Garamond"/>
          <w:i/>
          <w:iCs/>
          <w:lang w:val="pt-PT"/>
        </w:rPr>
        <w:t>Diagnóstico sobre a Violência no Meio Escolar</w:t>
      </w:r>
      <w:r w:rsidRPr="00AE74AE">
        <w:rPr>
          <w:rFonts w:ascii="Garamond" w:hAnsi="Garamond"/>
          <w:lang w:val="pt-PT"/>
        </w:rPr>
        <w:t>,</w:t>
      </w:r>
      <w:r w:rsidRPr="000942E8">
        <w:rPr>
          <w:rStyle w:val="Refdenotaderodap"/>
          <w:rFonts w:ascii="Garamond" w:hAnsi="Garamond"/>
        </w:rPr>
        <w:footnoteReference w:id="94"/>
      </w:r>
      <w:r w:rsidRPr="00AE74AE">
        <w:rPr>
          <w:rFonts w:ascii="Garamond" w:hAnsi="Garamond"/>
          <w:lang w:val="pt-PT"/>
        </w:rPr>
        <w:t xml:space="preserve">  já referenciado no Eixo estratégico 2 (</w:t>
      </w:r>
      <w:proofErr w:type="spellStart"/>
      <w:r w:rsidRPr="00AE74AE">
        <w:rPr>
          <w:rFonts w:ascii="Garamond" w:hAnsi="Garamond"/>
          <w:lang w:val="pt-PT"/>
        </w:rPr>
        <w:t>VBG</w:t>
      </w:r>
      <w:proofErr w:type="spellEnd"/>
      <w:r w:rsidRPr="00AE74AE">
        <w:rPr>
          <w:rFonts w:ascii="Garamond" w:hAnsi="Garamond"/>
          <w:lang w:val="pt-PT"/>
        </w:rPr>
        <w:t xml:space="preserve">), a propósito do assédio sexual. O estudo mostra que a concepção do que é violência varia bastante entre professores e alunos, bem como entre professores e professoras. Já entre alunos e alunas as diferenças são menores, à </w:t>
      </w:r>
      <w:proofErr w:type="spellStart"/>
      <w:r w:rsidRPr="00AE74AE">
        <w:rPr>
          <w:rFonts w:ascii="Garamond" w:hAnsi="Garamond"/>
          <w:lang w:val="pt-PT"/>
        </w:rPr>
        <w:t>exceção</w:t>
      </w:r>
      <w:proofErr w:type="spellEnd"/>
      <w:r w:rsidRPr="00AE74AE">
        <w:rPr>
          <w:rFonts w:ascii="Garamond" w:hAnsi="Garamond"/>
          <w:lang w:val="pt-PT"/>
        </w:rPr>
        <w:t xml:space="preserve"> da violência sexual, que é reconhecida como violência em maior proporção </w:t>
      </w:r>
      <w:proofErr w:type="spellStart"/>
      <w:r w:rsidRPr="00AE74AE">
        <w:rPr>
          <w:rFonts w:ascii="Garamond" w:hAnsi="Garamond"/>
          <w:lang w:val="pt-PT"/>
        </w:rPr>
        <w:t>pelas</w:t>
      </w:r>
      <w:proofErr w:type="spellEnd"/>
      <w:r w:rsidRPr="00AE74AE">
        <w:rPr>
          <w:rFonts w:ascii="Garamond" w:hAnsi="Garamond"/>
          <w:lang w:val="pt-PT"/>
        </w:rPr>
        <w:t xml:space="preserve"> alunas do que </w:t>
      </w:r>
      <w:proofErr w:type="spellStart"/>
      <w:r w:rsidRPr="00AE74AE">
        <w:rPr>
          <w:rFonts w:ascii="Garamond" w:hAnsi="Garamond"/>
          <w:lang w:val="pt-PT"/>
        </w:rPr>
        <w:t>pelos</w:t>
      </w:r>
      <w:proofErr w:type="spellEnd"/>
      <w:r w:rsidRPr="00AE74AE">
        <w:rPr>
          <w:rFonts w:ascii="Garamond" w:hAnsi="Garamond"/>
          <w:lang w:val="pt-PT"/>
        </w:rPr>
        <w:t xml:space="preserve"> alunos (43,4% e 36,4%, </w:t>
      </w:r>
      <w:proofErr w:type="spellStart"/>
      <w:r w:rsidRPr="00AE74AE">
        <w:rPr>
          <w:rFonts w:ascii="Garamond" w:hAnsi="Garamond"/>
          <w:lang w:val="pt-PT"/>
        </w:rPr>
        <w:t>respetivamente</w:t>
      </w:r>
      <w:proofErr w:type="spellEnd"/>
      <w:r w:rsidRPr="00AE74AE">
        <w:rPr>
          <w:rFonts w:ascii="Garamond" w:hAnsi="Garamond"/>
          <w:lang w:val="pt-PT"/>
        </w:rPr>
        <w:t xml:space="preserve">, sendo a proporção global de alunos que considerou todos os exemplos dados como violência sexual de 79,6%). As formas de violência consideradas mais frequentes, tanto por professores como por alunos, são a violência física e patrimonial, seguida da psicológica, tida como menos frequente, com </w:t>
      </w:r>
      <w:proofErr w:type="spellStart"/>
      <w:r w:rsidRPr="00AE74AE">
        <w:rPr>
          <w:rFonts w:ascii="Garamond" w:hAnsi="Garamond"/>
          <w:lang w:val="pt-PT"/>
        </w:rPr>
        <w:t>exceção</w:t>
      </w:r>
      <w:proofErr w:type="spellEnd"/>
      <w:r w:rsidRPr="00AE74AE">
        <w:rPr>
          <w:rFonts w:ascii="Garamond" w:hAnsi="Garamond"/>
          <w:lang w:val="pt-PT"/>
        </w:rPr>
        <w:t xml:space="preserve"> do </w:t>
      </w:r>
      <w:proofErr w:type="spellStart"/>
      <w:r w:rsidRPr="00AE74AE">
        <w:rPr>
          <w:rFonts w:ascii="Garamond" w:hAnsi="Garamond"/>
          <w:i/>
          <w:lang w:val="pt-PT"/>
        </w:rPr>
        <w:t>bullying</w:t>
      </w:r>
      <w:proofErr w:type="spellEnd"/>
      <w:r w:rsidRPr="00AE74AE">
        <w:rPr>
          <w:rFonts w:ascii="Garamond" w:hAnsi="Garamond"/>
          <w:lang w:val="pt-PT"/>
        </w:rPr>
        <w:t xml:space="preserve">, considerado frequente. A violência cibernética é mais assinalada </w:t>
      </w:r>
      <w:proofErr w:type="spellStart"/>
      <w:r w:rsidRPr="00AE74AE">
        <w:rPr>
          <w:rFonts w:ascii="Garamond" w:hAnsi="Garamond"/>
          <w:lang w:val="pt-PT"/>
        </w:rPr>
        <w:t>pelos</w:t>
      </w:r>
      <w:proofErr w:type="spellEnd"/>
      <w:r w:rsidRPr="00AE74AE">
        <w:rPr>
          <w:rFonts w:ascii="Garamond" w:hAnsi="Garamond"/>
          <w:lang w:val="pt-PT"/>
        </w:rPr>
        <w:t xml:space="preserve"> alunos do que </w:t>
      </w:r>
      <w:proofErr w:type="spellStart"/>
      <w:r w:rsidRPr="00AE74AE">
        <w:rPr>
          <w:rFonts w:ascii="Garamond" w:hAnsi="Garamond"/>
          <w:lang w:val="pt-PT"/>
        </w:rPr>
        <w:t>pelos</w:t>
      </w:r>
      <w:proofErr w:type="spellEnd"/>
      <w:r w:rsidRPr="00AE74AE">
        <w:rPr>
          <w:rFonts w:ascii="Garamond" w:hAnsi="Garamond"/>
          <w:lang w:val="pt-PT"/>
        </w:rPr>
        <w:t xml:space="preserve"> professores: 48% considera que </w:t>
      </w:r>
      <w:r w:rsidRPr="00AE74AE">
        <w:rPr>
          <w:rFonts w:ascii="Garamond" w:hAnsi="Garamond"/>
          <w:i/>
          <w:lang w:val="pt-PT"/>
        </w:rPr>
        <w:t>insultar e/ou ser insultado através das redes sociais</w:t>
      </w:r>
      <w:r w:rsidRPr="00AE74AE">
        <w:rPr>
          <w:rFonts w:ascii="Garamond" w:hAnsi="Garamond"/>
          <w:lang w:val="pt-PT"/>
        </w:rPr>
        <w:t xml:space="preserve"> ocorre nas escolas secundárias com alguma regularidade; 47,3% </w:t>
      </w:r>
      <w:r w:rsidRPr="00AE74AE">
        <w:rPr>
          <w:rFonts w:ascii="Garamond" w:hAnsi="Garamond"/>
          <w:i/>
          <w:lang w:val="pt-PT"/>
        </w:rPr>
        <w:t>lançar boatos e mentiras através das redes sociais</w:t>
      </w:r>
      <w:r w:rsidRPr="00AE74AE">
        <w:rPr>
          <w:rFonts w:ascii="Garamond" w:hAnsi="Garamond"/>
          <w:lang w:val="pt-PT"/>
        </w:rPr>
        <w:t xml:space="preserve">; 40,3% </w:t>
      </w:r>
      <w:r w:rsidRPr="00AE74AE">
        <w:rPr>
          <w:rFonts w:ascii="Garamond" w:hAnsi="Garamond"/>
          <w:i/>
          <w:lang w:val="pt-PT"/>
        </w:rPr>
        <w:t>publicar fotos e vídeos complicados</w:t>
      </w:r>
      <w:r w:rsidRPr="00AE74AE">
        <w:rPr>
          <w:rFonts w:ascii="Garamond" w:hAnsi="Garamond"/>
          <w:lang w:val="pt-PT"/>
        </w:rPr>
        <w:t xml:space="preserve">; e 37,2% </w:t>
      </w:r>
      <w:r w:rsidRPr="00AE74AE">
        <w:rPr>
          <w:rFonts w:ascii="Garamond" w:hAnsi="Garamond"/>
          <w:i/>
          <w:lang w:val="pt-PT"/>
        </w:rPr>
        <w:t>ameaçar e/ou ser ameaçado, pressionar e/ou ser pressionado através das redes sociais</w:t>
      </w:r>
      <w:r w:rsidRPr="00AE74AE">
        <w:rPr>
          <w:rFonts w:ascii="Garamond" w:hAnsi="Garamond"/>
          <w:lang w:val="pt-PT"/>
        </w:rPr>
        <w:t xml:space="preserve">. Apesar dos professores não reconhecerem tanto esta forma de violência, as professoras estão mais cientes do que os professores que a violência cibernética é uma forma de violência, provavelmente </w:t>
      </w:r>
      <w:proofErr w:type="spellStart"/>
      <w:r w:rsidRPr="00AE74AE">
        <w:rPr>
          <w:rFonts w:ascii="Garamond" w:hAnsi="Garamond"/>
          <w:lang w:val="pt-PT"/>
        </w:rPr>
        <w:t>pelo</w:t>
      </w:r>
      <w:proofErr w:type="spellEnd"/>
      <w:r w:rsidRPr="00AE74AE">
        <w:rPr>
          <w:rFonts w:ascii="Garamond" w:hAnsi="Garamond"/>
          <w:lang w:val="pt-PT"/>
        </w:rPr>
        <w:t xml:space="preserve"> fato de mulheres e meninas serem principais vítimas. O estudo indica que há trabalho a fazer para que se atinja uma boa compreensão entre todos o(a)s professore(a)s, aluno(a)s e comunidades escolares do conceito de violência, em particular de violência de género e fornece muitos outros dados elucidativos quanto à frequência da violência em meio escolar, em algumas escolas mais do que outras. O </w:t>
      </w:r>
      <w:proofErr w:type="spellStart"/>
      <w:r w:rsidRPr="00AE74AE">
        <w:rPr>
          <w:rFonts w:ascii="Garamond" w:hAnsi="Garamond"/>
          <w:lang w:val="pt-PT"/>
        </w:rPr>
        <w:t>CIGEF</w:t>
      </w:r>
      <w:proofErr w:type="spellEnd"/>
      <w:r w:rsidRPr="00AE74AE">
        <w:rPr>
          <w:rFonts w:ascii="Garamond" w:hAnsi="Garamond"/>
          <w:lang w:val="pt-PT"/>
        </w:rPr>
        <w:t xml:space="preserve">, que participou na realização do estudo, está a colaborar com o Ministério da Educação na elaboração do Plano de Prevenção e Combate à violência nas Escolas. </w:t>
      </w:r>
      <w:bookmarkStart w:id="90" w:name="_Hlk7604164"/>
      <w:r w:rsidRPr="00AE74AE">
        <w:rPr>
          <w:rFonts w:ascii="Garamond" w:hAnsi="Garamond"/>
          <w:lang w:val="pt-PT"/>
        </w:rPr>
        <w:t xml:space="preserve">O recém-criado </w:t>
      </w:r>
      <w:proofErr w:type="spellStart"/>
      <w:r w:rsidRPr="00AE74AE">
        <w:rPr>
          <w:rFonts w:ascii="Garamond" w:hAnsi="Garamond"/>
          <w:lang w:val="pt-PT"/>
        </w:rPr>
        <w:t>SIEPC</w:t>
      </w:r>
      <w:proofErr w:type="spellEnd"/>
      <w:r w:rsidRPr="00AE74AE">
        <w:rPr>
          <w:rFonts w:ascii="Garamond" w:hAnsi="Garamond"/>
          <w:lang w:val="pt-PT"/>
        </w:rPr>
        <w:t xml:space="preserve"> incluiu no seu plano de trabalho formações, iniciativas de educação por pares e outras </w:t>
      </w:r>
      <w:proofErr w:type="spellStart"/>
      <w:r w:rsidRPr="00AE74AE">
        <w:rPr>
          <w:rFonts w:ascii="Garamond" w:hAnsi="Garamond"/>
          <w:lang w:val="pt-PT"/>
        </w:rPr>
        <w:t>ações</w:t>
      </w:r>
      <w:proofErr w:type="spellEnd"/>
      <w:r w:rsidRPr="00AE74AE">
        <w:rPr>
          <w:rFonts w:ascii="Garamond" w:hAnsi="Garamond"/>
          <w:lang w:val="pt-PT"/>
        </w:rPr>
        <w:t xml:space="preserve"> sobre esta temática, numa lógica de trabalho preventivo da violência nas escolas, destinadas às equipas dos Espaços de Inclusão Educativa e Cidadania estabelecidos a nível das escolas, e outros agentes educativos. Foram já formados 10 docentes formadores de formadores sobre violência urbana, de 10 escolas da Praia, cidade capital.</w:t>
      </w:r>
      <w:bookmarkEnd w:id="90"/>
      <w:r w:rsidRPr="00AE74AE">
        <w:rPr>
          <w:rFonts w:ascii="Garamond" w:hAnsi="Garamond"/>
          <w:lang w:val="pt-PT"/>
        </w:rPr>
        <w:t xml:space="preserve"> Foram ainda formados professores para a detecção de abuso sexual e maus-tratos em casa. O tema da semana cívica do ano </w:t>
      </w:r>
      <w:proofErr w:type="spellStart"/>
      <w:r w:rsidRPr="00AE74AE">
        <w:rPr>
          <w:rFonts w:ascii="Garamond" w:hAnsi="Garamond"/>
          <w:lang w:val="pt-PT"/>
        </w:rPr>
        <w:t>letivo</w:t>
      </w:r>
      <w:proofErr w:type="spellEnd"/>
      <w:r w:rsidRPr="00AE74AE">
        <w:rPr>
          <w:rFonts w:ascii="Garamond" w:hAnsi="Garamond"/>
          <w:lang w:val="pt-PT"/>
        </w:rPr>
        <w:t xml:space="preserve"> anterior, e do presente, é a abolição do abuso sexual, tendo por isso sido </w:t>
      </w:r>
      <w:proofErr w:type="spellStart"/>
      <w:r w:rsidRPr="00AE74AE">
        <w:rPr>
          <w:rFonts w:ascii="Garamond" w:hAnsi="Garamond"/>
          <w:lang w:val="pt-PT"/>
        </w:rPr>
        <w:t>objeto</w:t>
      </w:r>
      <w:proofErr w:type="spellEnd"/>
      <w:r w:rsidRPr="00AE74AE">
        <w:rPr>
          <w:rFonts w:ascii="Garamond" w:hAnsi="Garamond"/>
          <w:lang w:val="pt-PT"/>
        </w:rPr>
        <w:t xml:space="preserve"> de campanhas em todas as escolas. </w:t>
      </w:r>
    </w:p>
    <w:p w14:paraId="786C10BA" w14:textId="77777777" w:rsidR="005E6AB0" w:rsidRDefault="005E6AB0" w:rsidP="00786DEC">
      <w:pPr>
        <w:pStyle w:val="PargrafodaLista"/>
        <w:numPr>
          <w:ilvl w:val="0"/>
          <w:numId w:val="24"/>
        </w:numPr>
        <w:spacing w:after="240"/>
        <w:jc w:val="both"/>
        <w:rPr>
          <w:rFonts w:ascii="Garamond" w:hAnsi="Garamond"/>
          <w:lang w:val="pt-PT"/>
        </w:rPr>
      </w:pPr>
      <w:r w:rsidRPr="00AE74AE">
        <w:rPr>
          <w:rFonts w:ascii="Garamond" w:hAnsi="Garamond"/>
          <w:lang w:val="pt-PT"/>
        </w:rPr>
        <w:t>Será assim fundamental dar continuidade às acções em curso, nomeadamente</w:t>
      </w:r>
      <w:r>
        <w:rPr>
          <w:rFonts w:ascii="Garamond" w:hAnsi="Garamond"/>
          <w:lang w:val="pt-PT"/>
        </w:rPr>
        <w:t xml:space="preserve">, a </w:t>
      </w:r>
      <w:r w:rsidRPr="00AE74AE">
        <w:rPr>
          <w:rFonts w:ascii="Garamond" w:hAnsi="Garamond"/>
          <w:lang w:val="pt-PT"/>
        </w:rPr>
        <w:t>elaboração do Plano de Prevenção e Combate à violência nas Escolas e sua implementação</w:t>
      </w:r>
      <w:r>
        <w:rPr>
          <w:rFonts w:ascii="Garamond" w:hAnsi="Garamond"/>
          <w:lang w:val="pt-PT"/>
        </w:rPr>
        <w:t>.</w:t>
      </w:r>
    </w:p>
    <w:p w14:paraId="64CAAA13" w14:textId="77777777" w:rsidR="005E6AB0" w:rsidRPr="00146BCD" w:rsidRDefault="005E6AB0" w:rsidP="00786DEC">
      <w:pPr>
        <w:pStyle w:val="PargrafodaLista"/>
        <w:numPr>
          <w:ilvl w:val="0"/>
          <w:numId w:val="24"/>
        </w:numPr>
        <w:spacing w:after="240"/>
        <w:jc w:val="both"/>
        <w:rPr>
          <w:rFonts w:ascii="Garamond" w:hAnsi="Garamond"/>
          <w:lang w:val="pt-PT"/>
        </w:rPr>
      </w:pPr>
      <w:r>
        <w:rPr>
          <w:rFonts w:ascii="Garamond" w:hAnsi="Garamond"/>
          <w:lang w:val="pt-PT"/>
        </w:rPr>
        <w:t xml:space="preserve">A </w:t>
      </w:r>
      <w:r w:rsidRPr="00146BCD">
        <w:rPr>
          <w:rFonts w:ascii="Garamond" w:hAnsi="Garamond"/>
          <w:lang w:val="pt-PT"/>
        </w:rPr>
        <w:t xml:space="preserve">definição de procedimentos para a identificação, registo e encaminhamento de casos de </w:t>
      </w:r>
      <w:proofErr w:type="spellStart"/>
      <w:r w:rsidRPr="00146BCD">
        <w:rPr>
          <w:rFonts w:ascii="Garamond" w:hAnsi="Garamond"/>
          <w:lang w:val="pt-PT"/>
        </w:rPr>
        <w:t>VBG</w:t>
      </w:r>
      <w:proofErr w:type="spellEnd"/>
      <w:r w:rsidRPr="00146BCD">
        <w:rPr>
          <w:rFonts w:ascii="Garamond" w:hAnsi="Garamond"/>
          <w:lang w:val="pt-PT"/>
        </w:rPr>
        <w:t>, em particular quando as condutas se conformam como crime.</w:t>
      </w:r>
    </w:p>
    <w:p w14:paraId="4DEB9A81" w14:textId="77777777" w:rsidR="005E6AB0" w:rsidRPr="00806495" w:rsidRDefault="005E6AB0" w:rsidP="00786DEC">
      <w:pPr>
        <w:pStyle w:val="PargrafodaLista"/>
        <w:numPr>
          <w:ilvl w:val="0"/>
          <w:numId w:val="24"/>
        </w:numPr>
        <w:spacing w:after="240"/>
        <w:jc w:val="both"/>
        <w:rPr>
          <w:rFonts w:ascii="Garamond" w:hAnsi="Garamond"/>
          <w:lang w:val="pt-PT"/>
        </w:rPr>
      </w:pPr>
      <w:r w:rsidRPr="00AE74AE">
        <w:rPr>
          <w:rFonts w:ascii="Garamond" w:hAnsi="Garamond"/>
          <w:lang w:val="pt-PT"/>
        </w:rPr>
        <w:t xml:space="preserve">Estes esforços vão implicar </w:t>
      </w:r>
      <w:r>
        <w:rPr>
          <w:rFonts w:ascii="Garamond" w:hAnsi="Garamond"/>
          <w:lang w:val="pt-PT"/>
        </w:rPr>
        <w:t>a</w:t>
      </w:r>
      <w:r w:rsidRPr="00AE74AE">
        <w:rPr>
          <w:rFonts w:ascii="Garamond" w:hAnsi="Garamond"/>
          <w:lang w:val="pt-PT"/>
        </w:rPr>
        <w:t xml:space="preserve"> sensibilização e formação do pessoal do sistema de ensino, em particular dos professores</w:t>
      </w:r>
      <w:r>
        <w:rPr>
          <w:rFonts w:ascii="Garamond" w:hAnsi="Garamond"/>
          <w:lang w:val="pt-PT"/>
        </w:rPr>
        <w:t xml:space="preserve"> (</w:t>
      </w:r>
      <w:r w:rsidRPr="00AE74AE">
        <w:rPr>
          <w:rFonts w:ascii="Garamond" w:hAnsi="Garamond"/>
          <w:lang w:val="pt-PT"/>
        </w:rPr>
        <w:t>formação inicial</w:t>
      </w:r>
      <w:r>
        <w:rPr>
          <w:rFonts w:ascii="Garamond" w:hAnsi="Garamond"/>
          <w:lang w:val="pt-PT"/>
        </w:rPr>
        <w:t xml:space="preserve"> e </w:t>
      </w:r>
      <w:r w:rsidRPr="00806495">
        <w:rPr>
          <w:rFonts w:ascii="Garamond" w:hAnsi="Garamond"/>
          <w:lang w:val="pt-PT"/>
        </w:rPr>
        <w:t>contínua</w:t>
      </w:r>
      <w:r>
        <w:rPr>
          <w:rFonts w:ascii="Garamond" w:hAnsi="Garamond"/>
          <w:lang w:val="pt-PT"/>
        </w:rPr>
        <w:t>)</w:t>
      </w:r>
      <w:r w:rsidRPr="00806495">
        <w:rPr>
          <w:rFonts w:ascii="Garamond" w:hAnsi="Garamond"/>
          <w:lang w:val="pt-PT"/>
        </w:rPr>
        <w:t xml:space="preserve">, capitalizando nos instrumentos já desenvolvidos para o efeito no âmbito do anterior </w:t>
      </w:r>
      <w:proofErr w:type="spellStart"/>
      <w:r w:rsidRPr="00806495">
        <w:rPr>
          <w:rFonts w:ascii="Garamond" w:hAnsi="Garamond"/>
          <w:lang w:val="pt-PT"/>
        </w:rPr>
        <w:t>PNIG</w:t>
      </w:r>
      <w:proofErr w:type="spellEnd"/>
      <w:r>
        <w:rPr>
          <w:rFonts w:ascii="Garamond" w:hAnsi="Garamond"/>
          <w:lang w:val="pt-PT"/>
        </w:rPr>
        <w:t>.</w:t>
      </w:r>
    </w:p>
    <w:p w14:paraId="62932D83" w14:textId="77777777" w:rsidR="005E6AB0" w:rsidRPr="00806495" w:rsidRDefault="005E6AB0" w:rsidP="00786DEC">
      <w:pPr>
        <w:pStyle w:val="PargrafodaLista"/>
        <w:numPr>
          <w:ilvl w:val="0"/>
          <w:numId w:val="24"/>
        </w:numPr>
        <w:spacing w:after="240"/>
        <w:jc w:val="both"/>
        <w:rPr>
          <w:rFonts w:ascii="Garamond" w:hAnsi="Garamond"/>
          <w:lang w:val="pt-PT"/>
        </w:rPr>
      </w:pPr>
      <w:r w:rsidRPr="00806495">
        <w:rPr>
          <w:rFonts w:ascii="Garamond" w:hAnsi="Garamond"/>
          <w:lang w:val="pt-PT"/>
        </w:rPr>
        <w:t xml:space="preserve">Os esforços preventivos devem incluir campanhas de prevenção da violência de género nas escolas, que também poderão capitalizar nos instrumentos já disponíveis e em metodologias de engajamento de meninos e homens. Em particular, deve ser pilotada uma abordagem de rodas de conversa sobre </w:t>
      </w:r>
      <w:r w:rsidRPr="00806495">
        <w:rPr>
          <w:rFonts w:ascii="Garamond" w:hAnsi="Garamond"/>
          <w:i/>
          <w:iCs/>
          <w:lang w:val="pt-PT"/>
        </w:rPr>
        <w:t>Ser homem</w:t>
      </w:r>
      <w:r w:rsidRPr="00806495">
        <w:rPr>
          <w:rFonts w:ascii="Garamond" w:hAnsi="Garamond"/>
          <w:lang w:val="pt-PT"/>
        </w:rPr>
        <w:t xml:space="preserve"> </w:t>
      </w:r>
      <w:r>
        <w:rPr>
          <w:rFonts w:ascii="Garamond" w:hAnsi="Garamond"/>
          <w:lang w:val="pt-PT"/>
        </w:rPr>
        <w:t xml:space="preserve">&amp; </w:t>
      </w:r>
      <w:r w:rsidRPr="00806495">
        <w:rPr>
          <w:rFonts w:ascii="Garamond" w:hAnsi="Garamond"/>
          <w:i/>
          <w:iCs/>
          <w:lang w:val="pt-PT"/>
        </w:rPr>
        <w:t>Ser mulher</w:t>
      </w:r>
      <w:r w:rsidRPr="00806495">
        <w:rPr>
          <w:rFonts w:ascii="Garamond" w:hAnsi="Garamond"/>
          <w:lang w:val="pt-PT"/>
        </w:rPr>
        <w:t xml:space="preserve">, respectivamente com alunos e alunas, nas escolas com maiores índices de violência, podendo ser </w:t>
      </w:r>
      <w:proofErr w:type="spellStart"/>
      <w:r w:rsidRPr="00806495">
        <w:rPr>
          <w:rFonts w:ascii="Garamond" w:hAnsi="Garamond"/>
          <w:lang w:val="pt-PT"/>
        </w:rPr>
        <w:t>acionada</w:t>
      </w:r>
      <w:proofErr w:type="spellEnd"/>
      <w:r w:rsidRPr="00806495">
        <w:rPr>
          <w:rFonts w:ascii="Garamond" w:hAnsi="Garamond"/>
          <w:lang w:val="pt-PT"/>
        </w:rPr>
        <w:t xml:space="preserve"> cooperação Sul-Sul para a sua implementação. </w:t>
      </w:r>
    </w:p>
    <w:p w14:paraId="4345F4F3" w14:textId="77777777" w:rsidR="005E6AB0" w:rsidRPr="00806495" w:rsidRDefault="005E6AB0" w:rsidP="00786DEC">
      <w:pPr>
        <w:pStyle w:val="PargrafodaLista"/>
        <w:numPr>
          <w:ilvl w:val="0"/>
          <w:numId w:val="24"/>
        </w:numPr>
        <w:spacing w:after="240"/>
        <w:jc w:val="both"/>
        <w:rPr>
          <w:rFonts w:ascii="Garamond" w:hAnsi="Garamond"/>
          <w:lang w:val="pt-PT"/>
        </w:rPr>
      </w:pPr>
      <w:r w:rsidRPr="00806495">
        <w:rPr>
          <w:rFonts w:ascii="Garamond" w:hAnsi="Garamond"/>
          <w:lang w:val="pt-PT"/>
        </w:rPr>
        <w:t xml:space="preserve">No caso de instituições do ensino superior, em particular da </w:t>
      </w:r>
      <w:proofErr w:type="spellStart"/>
      <w:r w:rsidRPr="00806495">
        <w:rPr>
          <w:rFonts w:ascii="Garamond" w:hAnsi="Garamond"/>
          <w:lang w:val="pt-PT"/>
        </w:rPr>
        <w:t>UniCV</w:t>
      </w:r>
      <w:proofErr w:type="spellEnd"/>
      <w:r w:rsidRPr="00806495">
        <w:rPr>
          <w:rFonts w:ascii="Garamond" w:hAnsi="Garamond"/>
          <w:lang w:val="pt-PT"/>
        </w:rPr>
        <w:t xml:space="preserve">, deverá ser desenvolvido e implementado um programa anual de </w:t>
      </w:r>
      <w:proofErr w:type="spellStart"/>
      <w:r w:rsidRPr="00806495">
        <w:rPr>
          <w:rFonts w:ascii="Garamond" w:hAnsi="Garamond"/>
          <w:lang w:val="pt-PT"/>
        </w:rPr>
        <w:t>IEC</w:t>
      </w:r>
      <w:proofErr w:type="spellEnd"/>
      <w:r w:rsidRPr="00806495">
        <w:rPr>
          <w:rFonts w:ascii="Garamond" w:hAnsi="Garamond"/>
          <w:lang w:val="pt-PT"/>
        </w:rPr>
        <w:t xml:space="preserve"> sobre questões de </w:t>
      </w:r>
      <w:proofErr w:type="spellStart"/>
      <w:r w:rsidRPr="00806495">
        <w:rPr>
          <w:rFonts w:ascii="Garamond" w:hAnsi="Garamond"/>
          <w:lang w:val="pt-PT"/>
        </w:rPr>
        <w:t>VBG</w:t>
      </w:r>
      <w:proofErr w:type="spellEnd"/>
      <w:r w:rsidRPr="00806495">
        <w:rPr>
          <w:rFonts w:ascii="Garamond" w:hAnsi="Garamond"/>
          <w:lang w:val="pt-PT"/>
        </w:rPr>
        <w:t xml:space="preserve"> e igualdade de género, em colaboração com outras instituições de ensino superior do país sempre que possível</w:t>
      </w:r>
      <w:r>
        <w:rPr>
          <w:rFonts w:ascii="Garamond" w:hAnsi="Garamond"/>
          <w:lang w:val="pt-PT"/>
        </w:rPr>
        <w:t>.</w:t>
      </w:r>
      <w:r w:rsidRPr="00806495">
        <w:rPr>
          <w:rFonts w:ascii="Garamond" w:hAnsi="Garamond"/>
          <w:lang w:val="pt-PT"/>
        </w:rPr>
        <w:t xml:space="preserve"> </w:t>
      </w:r>
    </w:p>
    <w:p w14:paraId="6DD2D981" w14:textId="77777777" w:rsidR="005E6AB0" w:rsidRPr="00806495" w:rsidRDefault="005E6AB0" w:rsidP="005E6AB0">
      <w:pPr>
        <w:jc w:val="both"/>
        <w:rPr>
          <w:rFonts w:ascii="Garamond" w:hAnsi="Garamond"/>
          <w:b/>
          <w:bCs/>
          <w:lang w:val="pt-PT"/>
        </w:rPr>
      </w:pPr>
      <w:r w:rsidRPr="00806495">
        <w:rPr>
          <w:rFonts w:ascii="Garamond" w:hAnsi="Garamond"/>
          <w:b/>
          <w:bCs/>
          <w:lang w:val="pt-PT"/>
        </w:rPr>
        <w:t>Grupos específicos de mulheres</w:t>
      </w:r>
    </w:p>
    <w:p w14:paraId="4CEF11CA" w14:textId="77777777" w:rsidR="005E6AB0" w:rsidRPr="00806495" w:rsidRDefault="005E6AB0" w:rsidP="005E6AB0">
      <w:pPr>
        <w:jc w:val="both"/>
        <w:rPr>
          <w:rFonts w:ascii="Garamond" w:hAnsi="Garamond"/>
          <w:lang w:val="pt-PT"/>
        </w:rPr>
      </w:pPr>
      <w:r w:rsidRPr="00806495">
        <w:rPr>
          <w:rFonts w:ascii="Garamond" w:hAnsi="Garamond"/>
          <w:lang w:val="pt-PT"/>
        </w:rPr>
        <w:t xml:space="preserve">Os progressos na taxa de alfabetização da população de 15 anos ou mais continuam e o fosso entre mulheres e homens vem diminuindo, contudo, as mulheres ainda têm taxa de analfabetismo mais elevadas do que os homens (15,3% e 6,7%, respectivamente), sobretudo no caso das </w:t>
      </w:r>
      <w:r w:rsidRPr="00806495">
        <w:rPr>
          <w:rFonts w:ascii="Garamond" w:hAnsi="Garamond"/>
          <w:b/>
          <w:bCs/>
          <w:lang w:val="pt-PT"/>
        </w:rPr>
        <w:t>mulheres em meio rural</w:t>
      </w:r>
      <w:r w:rsidRPr="00806495">
        <w:rPr>
          <w:rFonts w:ascii="Garamond" w:hAnsi="Garamond"/>
          <w:lang w:val="pt-PT"/>
        </w:rPr>
        <w:t xml:space="preserve"> onde 23,6% das mulheres são analfabetas. No caso de imigrantes em Cabo Verde, a </w:t>
      </w:r>
      <w:proofErr w:type="spellStart"/>
      <w:r w:rsidRPr="00806495">
        <w:rPr>
          <w:rFonts w:ascii="Garamond" w:hAnsi="Garamond"/>
          <w:lang w:val="pt-PT"/>
        </w:rPr>
        <w:t>DGI</w:t>
      </w:r>
      <w:proofErr w:type="spellEnd"/>
      <w:r w:rsidRPr="00806495">
        <w:rPr>
          <w:rFonts w:ascii="Garamond" w:hAnsi="Garamond"/>
          <w:lang w:val="pt-PT"/>
        </w:rPr>
        <w:t xml:space="preserve">, em colaboração com o Serviço de Alfabetização e Educação de Adultos, vem apoiando </w:t>
      </w:r>
      <w:proofErr w:type="spellStart"/>
      <w:r w:rsidRPr="00806495">
        <w:rPr>
          <w:rFonts w:ascii="Garamond" w:hAnsi="Garamond"/>
          <w:lang w:val="pt-PT"/>
        </w:rPr>
        <w:t>projetos</w:t>
      </w:r>
      <w:proofErr w:type="spellEnd"/>
      <w:r w:rsidRPr="00806495">
        <w:rPr>
          <w:rFonts w:ascii="Garamond" w:hAnsi="Garamond"/>
          <w:lang w:val="pt-PT"/>
        </w:rPr>
        <w:t xml:space="preserve"> de alfabetização e formação. Contudo, identificam-se desafios com a participação das </w:t>
      </w:r>
      <w:r w:rsidRPr="00806495">
        <w:rPr>
          <w:rFonts w:ascii="Garamond" w:hAnsi="Garamond"/>
          <w:b/>
          <w:bCs/>
          <w:lang w:val="pt-PT"/>
        </w:rPr>
        <w:t>mulheres imigrantes</w:t>
      </w:r>
      <w:r w:rsidRPr="00806495">
        <w:rPr>
          <w:rFonts w:ascii="Garamond" w:hAnsi="Garamond"/>
          <w:lang w:val="pt-PT"/>
        </w:rPr>
        <w:t xml:space="preserve"> nas iniciativas (ex. relutância das mulheres muçulmanas em assistir as aulas em turma heterogéneas, não autorização dos seus companheiros para participação, etc.). Por outro lado, o nível de analfabetismo é elevado entre a população adulta (15 anos ou mais) identificada como portadora de alguma deficiência (46,4%), em particular no caso das </w:t>
      </w:r>
      <w:r w:rsidRPr="00806495">
        <w:rPr>
          <w:rFonts w:ascii="Garamond" w:hAnsi="Garamond"/>
          <w:b/>
          <w:bCs/>
          <w:lang w:val="pt-PT"/>
        </w:rPr>
        <w:t>mulheres com deficiência</w:t>
      </w:r>
      <w:r w:rsidRPr="00806495">
        <w:rPr>
          <w:rFonts w:ascii="Garamond" w:hAnsi="Garamond"/>
          <w:lang w:val="pt-PT"/>
        </w:rPr>
        <w:t>: mais de metade não sabe ler/escrever (53,6% versus 40% dos homens).</w:t>
      </w:r>
      <w:r w:rsidRPr="00806495">
        <w:rPr>
          <w:rStyle w:val="Refdenotaderodap"/>
          <w:rFonts w:ascii="Garamond" w:hAnsi="Garamond"/>
          <w:lang w:val="pt-PT"/>
        </w:rPr>
        <w:footnoteReference w:id="95"/>
      </w:r>
      <w:r w:rsidRPr="00806495">
        <w:rPr>
          <w:rFonts w:ascii="Garamond" w:hAnsi="Garamond"/>
          <w:lang w:val="pt-PT"/>
        </w:rPr>
        <w:t xml:space="preserve"> Um estudo específico, com uma amostra de pessoas com deficiência, realizado em 2013, mostra um panorama ligeiramente melhor, mas igualmente diferenciado para as mulheres: cerca de 30% das pessoas com deficiência inquiridas não detém nenhum nível educativo, 41,5% entre as mulheres e 21,5% entre os homens com deficiência; quase metade das mulheres (48%) tem o ensino básico ou secundário (65,5% homens); e 7,3% tem um grau de ensino médio ou superior (9,6% homens). Estão em curso várias medidas de promoção do acesso à educação, incluindo as medidas de resposta do sistema educativo às </w:t>
      </w:r>
      <w:proofErr w:type="spellStart"/>
      <w:r w:rsidRPr="00806495">
        <w:rPr>
          <w:rFonts w:ascii="Garamond" w:hAnsi="Garamond"/>
          <w:lang w:val="pt-PT"/>
        </w:rPr>
        <w:t>NEEs</w:t>
      </w:r>
      <w:proofErr w:type="spellEnd"/>
      <w:r w:rsidRPr="00806495">
        <w:rPr>
          <w:rFonts w:ascii="Garamond" w:hAnsi="Garamond"/>
          <w:lang w:val="pt-PT"/>
        </w:rPr>
        <w:t>, e a gratuitidade da inscrição e frequência em estabelecimentos do pré-escolar, ensino básico, secundário e superior, e formação profissional para as pessoas com deficiência.</w:t>
      </w:r>
      <w:r w:rsidRPr="00806495">
        <w:rPr>
          <w:rStyle w:val="Refdenotaderodap"/>
          <w:rFonts w:ascii="Garamond" w:hAnsi="Garamond"/>
          <w:lang w:val="pt-PT"/>
        </w:rPr>
        <w:footnoteReference w:id="96"/>
      </w:r>
    </w:p>
    <w:p w14:paraId="0A8A49D4" w14:textId="77777777" w:rsidR="005E6AB0" w:rsidRPr="00806495" w:rsidRDefault="005E6AB0" w:rsidP="00786DEC">
      <w:pPr>
        <w:pStyle w:val="PargrafodaLista"/>
        <w:numPr>
          <w:ilvl w:val="0"/>
          <w:numId w:val="24"/>
        </w:numPr>
        <w:spacing w:after="240"/>
        <w:jc w:val="both"/>
        <w:rPr>
          <w:rFonts w:ascii="Garamond" w:hAnsi="Garamond"/>
          <w:lang w:val="pt-PT"/>
        </w:rPr>
      </w:pPr>
      <w:bookmarkStart w:id="91" w:name="_Hlk19472018"/>
      <w:r w:rsidRPr="00806495">
        <w:rPr>
          <w:rFonts w:ascii="Garamond" w:hAnsi="Garamond"/>
          <w:lang w:val="pt-PT"/>
        </w:rPr>
        <w:t xml:space="preserve">Assim será necessário identificar as necessidades de alfabetização das mulheres, em particular das mulheres rurais, e disponibilizar programas de alfabetização e formação de adultos em consequência </w:t>
      </w:r>
    </w:p>
    <w:p w14:paraId="763EFC84" w14:textId="77777777" w:rsidR="005E6AB0" w:rsidRPr="00806495" w:rsidRDefault="005E6AB0" w:rsidP="00786DEC">
      <w:pPr>
        <w:pStyle w:val="PargrafodaLista"/>
        <w:numPr>
          <w:ilvl w:val="0"/>
          <w:numId w:val="24"/>
        </w:numPr>
        <w:spacing w:after="240"/>
        <w:jc w:val="both"/>
        <w:rPr>
          <w:rFonts w:ascii="Garamond" w:hAnsi="Garamond"/>
          <w:lang w:val="pt-PT"/>
        </w:rPr>
      </w:pPr>
      <w:r w:rsidRPr="00806495">
        <w:rPr>
          <w:rFonts w:ascii="Garamond" w:hAnsi="Garamond"/>
          <w:lang w:val="pt-PT"/>
        </w:rPr>
        <w:t xml:space="preserve">Dar continuidade às estratégias iniciadas </w:t>
      </w:r>
      <w:proofErr w:type="spellStart"/>
      <w:r w:rsidRPr="00806495">
        <w:rPr>
          <w:rFonts w:ascii="Garamond" w:hAnsi="Garamond"/>
          <w:lang w:val="pt-PT"/>
        </w:rPr>
        <w:t>pela</w:t>
      </w:r>
      <w:proofErr w:type="spellEnd"/>
      <w:r w:rsidRPr="00806495">
        <w:rPr>
          <w:rFonts w:ascii="Garamond" w:hAnsi="Garamond"/>
          <w:lang w:val="pt-PT"/>
        </w:rPr>
        <w:t xml:space="preserve"> </w:t>
      </w:r>
      <w:proofErr w:type="spellStart"/>
      <w:r w:rsidRPr="00806495">
        <w:rPr>
          <w:rFonts w:ascii="Garamond" w:hAnsi="Garamond"/>
          <w:lang w:val="pt-PT"/>
        </w:rPr>
        <w:t>DGI</w:t>
      </w:r>
      <w:proofErr w:type="spellEnd"/>
      <w:r w:rsidRPr="00806495">
        <w:rPr>
          <w:rFonts w:ascii="Garamond" w:hAnsi="Garamond"/>
          <w:lang w:val="pt-PT"/>
        </w:rPr>
        <w:t xml:space="preserve"> para contornar os desafios no caso das mulheres imigrantes (ex. turmas de alfabetização só de mulheres onde existe mais demanda, colaboração com associações de imigrantes) e sensibilização dos líderes comunitários e homens para a importância da educação e formação profissional das mulheres</w:t>
      </w:r>
      <w:r>
        <w:rPr>
          <w:rFonts w:ascii="Garamond" w:hAnsi="Garamond"/>
          <w:lang w:val="pt-PT"/>
        </w:rPr>
        <w:t>, e agregando a alfabetização a formação profissional.</w:t>
      </w:r>
    </w:p>
    <w:p w14:paraId="696A3E20" w14:textId="77777777" w:rsidR="005E6AB0" w:rsidRDefault="005E6AB0" w:rsidP="00786DEC">
      <w:pPr>
        <w:pStyle w:val="PargrafodaLista"/>
        <w:numPr>
          <w:ilvl w:val="0"/>
          <w:numId w:val="24"/>
        </w:numPr>
        <w:spacing w:after="240"/>
        <w:jc w:val="both"/>
        <w:rPr>
          <w:rFonts w:ascii="Garamond" w:hAnsi="Garamond"/>
          <w:lang w:val="pt-PT"/>
        </w:rPr>
      </w:pPr>
      <w:r w:rsidRPr="00806495">
        <w:rPr>
          <w:rFonts w:ascii="Garamond" w:hAnsi="Garamond"/>
          <w:lang w:val="pt-PT"/>
        </w:rPr>
        <w:t>Assegurar a divulgação junto das associações de pessoas com deficiência, em particular as de mulheres com deficiência, dos incentivos disponibilizados para estudos de vários níveis e monitorizar o acesso com dados desagregados por sexo, faixa etária, etc.</w:t>
      </w:r>
    </w:p>
    <w:p w14:paraId="2BDE3A4D" w14:textId="77777777" w:rsidR="005E6AB0" w:rsidRPr="00D228AF" w:rsidRDefault="005E6AB0" w:rsidP="00786DEC">
      <w:pPr>
        <w:pStyle w:val="PargrafodaLista"/>
        <w:numPr>
          <w:ilvl w:val="0"/>
          <w:numId w:val="24"/>
        </w:numPr>
        <w:spacing w:after="240"/>
        <w:jc w:val="both"/>
        <w:rPr>
          <w:rFonts w:ascii="Garamond" w:hAnsi="Garamond"/>
          <w:lang w:val="pt-PT"/>
        </w:rPr>
      </w:pPr>
      <w:r w:rsidRPr="005E0309">
        <w:rPr>
          <w:rFonts w:ascii="Garamond" w:hAnsi="Garamond"/>
          <w:lang w:val="pt-PT"/>
        </w:rPr>
        <w:t>Identificar em parceria com as associações de defesa dos direitos das mulheres com deficiência as necessidades de alfabetização existentes e pilotar abordagens adequadas às suas necessidades</w:t>
      </w:r>
      <w:bookmarkEnd w:id="91"/>
      <w:r>
        <w:rPr>
          <w:rFonts w:ascii="Garamond" w:hAnsi="Garamond"/>
          <w:lang w:val="pt-PT"/>
        </w:rPr>
        <w:t>.</w:t>
      </w:r>
    </w:p>
    <w:p w14:paraId="076F6C4D" w14:textId="77777777" w:rsidR="005E6AB0" w:rsidRPr="00E549C2" w:rsidRDefault="005E6AB0" w:rsidP="005E6AB0">
      <w:pPr>
        <w:rPr>
          <w:lang w:val="pt-PT"/>
        </w:rPr>
      </w:pPr>
    </w:p>
    <w:p w14:paraId="5EC115E1" w14:textId="20572143" w:rsidR="00BE46E6" w:rsidRPr="005E6AB0" w:rsidRDefault="00BE46E6" w:rsidP="005E6AB0">
      <w:pPr>
        <w:spacing w:after="240"/>
        <w:jc w:val="both"/>
        <w:rPr>
          <w:rFonts w:ascii="Garamond" w:hAnsi="Garamond" w:cs="Times New Roman"/>
          <w:b/>
          <w:lang w:val="pt-PT"/>
        </w:rPr>
      </w:pPr>
      <w:r w:rsidRPr="005E6AB0">
        <w:rPr>
          <w:rFonts w:ascii="Garamond" w:hAnsi="Garamond" w:cs="Times New Roman"/>
          <w:b/>
          <w:lang w:val="pt-PT"/>
        </w:rPr>
        <w:br w:type="page"/>
      </w:r>
    </w:p>
    <w:p w14:paraId="07C6D4A3" w14:textId="16888839" w:rsidR="0065346D" w:rsidRPr="00806495" w:rsidRDefault="0065346D" w:rsidP="0055267C">
      <w:pPr>
        <w:pStyle w:val="PargrafodaLista"/>
        <w:spacing w:after="240"/>
        <w:ind w:left="0"/>
        <w:jc w:val="both"/>
        <w:outlineLvl w:val="2"/>
        <w:rPr>
          <w:rFonts w:ascii="Garamond" w:hAnsi="Garamond" w:cs="Times New Roman"/>
          <w:b/>
          <w:sz w:val="32"/>
          <w:szCs w:val="32"/>
          <w:lang w:val="pt-PT"/>
        </w:rPr>
      </w:pPr>
      <w:bookmarkStart w:id="92" w:name="_Hlk18343711"/>
      <w:bookmarkStart w:id="93" w:name="_Toc32858131"/>
      <w:r w:rsidRPr="00806495">
        <w:rPr>
          <w:rFonts w:ascii="Garamond" w:hAnsi="Garamond" w:cs="Times New Roman"/>
          <w:b/>
          <w:sz w:val="32"/>
          <w:szCs w:val="32"/>
          <w:lang w:val="pt-PT"/>
        </w:rPr>
        <w:t xml:space="preserve">Eixo estratégico 4 </w:t>
      </w:r>
      <w:r w:rsidR="00D06BBC" w:rsidRPr="00806495">
        <w:rPr>
          <w:rFonts w:ascii="Garamond" w:hAnsi="Garamond" w:cs="Times New Roman"/>
          <w:b/>
          <w:sz w:val="32"/>
          <w:szCs w:val="32"/>
          <w:lang w:val="pt-PT"/>
        </w:rPr>
        <w:t>– Saúde e direitos sexuais e reprodutivos</w:t>
      </w:r>
      <w:bookmarkEnd w:id="93"/>
    </w:p>
    <w:p w14:paraId="64606C62" w14:textId="3EBEAFDF" w:rsidR="000B1496" w:rsidRPr="00806495" w:rsidRDefault="000B1496" w:rsidP="00FE67BB">
      <w:pPr>
        <w:spacing w:after="240"/>
        <w:jc w:val="both"/>
        <w:rPr>
          <w:rFonts w:ascii="Garamond" w:hAnsi="Garamond" w:cs="Arial"/>
          <w:lang w:val="pt-PT"/>
        </w:rPr>
      </w:pPr>
      <w:r w:rsidRPr="00806495">
        <w:rPr>
          <w:rFonts w:ascii="Garamond" w:hAnsi="Garamond" w:cs="Arial"/>
          <w:lang w:val="pt-PT"/>
        </w:rPr>
        <w:t>A evolução dos principais indicadores da saúde tem sido muito positiva em Cabo Verde.</w:t>
      </w:r>
      <w:r w:rsidRPr="00806495">
        <w:rPr>
          <w:rStyle w:val="Refdenotaderodap"/>
          <w:rFonts w:ascii="Garamond" w:hAnsi="Garamond" w:cs="Arial"/>
        </w:rPr>
        <w:footnoteReference w:id="97"/>
      </w:r>
      <w:r w:rsidRPr="00806495">
        <w:rPr>
          <w:rFonts w:ascii="Garamond" w:hAnsi="Garamond" w:cs="Arial"/>
          <w:lang w:val="pt-PT"/>
        </w:rPr>
        <w:t xml:space="preserve"> A taxa de mortalidade geral em 2017 foi de 4,6‰, sendo 5,1‰ entre os homens e 4,6‰ entre as mulheres: as maiores disparidades de género ocorrem dos 15-49 e dos 50-64 anos, faixas etárias em que cerca de 7 em cada 10 óbitos é de um homem.</w:t>
      </w:r>
      <w:r w:rsidRPr="00806495">
        <w:rPr>
          <w:rStyle w:val="Refdenotaderodap"/>
          <w:rFonts w:ascii="Garamond" w:hAnsi="Garamond" w:cs="Arial"/>
        </w:rPr>
        <w:footnoteReference w:id="98"/>
      </w:r>
      <w:r w:rsidRPr="00806495">
        <w:rPr>
          <w:rFonts w:ascii="Garamond" w:hAnsi="Garamond" w:cs="Arial"/>
          <w:lang w:val="pt-PT"/>
        </w:rPr>
        <w:t xml:space="preserve"> A partir dos 65 anos a tendência inverte-se e 54,2% dos óbitos são de mulheres. </w:t>
      </w:r>
      <w:r w:rsidR="00FE67BB">
        <w:rPr>
          <w:rFonts w:ascii="Garamond" w:hAnsi="Garamond" w:cs="Arial"/>
          <w:lang w:val="pt-PT"/>
        </w:rPr>
        <w:t xml:space="preserve">Note-se </w:t>
      </w:r>
      <w:r w:rsidRPr="00806495">
        <w:rPr>
          <w:rFonts w:ascii="Garamond" w:hAnsi="Garamond" w:cs="Arial"/>
          <w:lang w:val="pt-PT"/>
        </w:rPr>
        <w:t xml:space="preserve">que a população idosa </w:t>
      </w:r>
      <w:r w:rsidR="00FE67BB">
        <w:rPr>
          <w:rFonts w:ascii="Garamond" w:hAnsi="Garamond" w:cs="Arial"/>
          <w:lang w:val="pt-PT"/>
        </w:rPr>
        <w:t>no país</w:t>
      </w:r>
      <w:r w:rsidRPr="00806495">
        <w:rPr>
          <w:rFonts w:ascii="Garamond" w:hAnsi="Garamond" w:cs="Arial"/>
          <w:lang w:val="pt-PT"/>
        </w:rPr>
        <w:t xml:space="preserve"> é maioritariamente feminina (as mulheres representam 59,6% da faixa etária dos 60-79 anos e 61,6% dos 80 e mais anos).</w:t>
      </w:r>
      <w:r w:rsidRPr="00806495">
        <w:rPr>
          <w:rStyle w:val="Refdenotaderodap"/>
          <w:rFonts w:ascii="Garamond" w:hAnsi="Garamond" w:cs="Arial"/>
        </w:rPr>
        <w:footnoteReference w:id="99"/>
      </w:r>
    </w:p>
    <w:p w14:paraId="622ACAC2" w14:textId="4AD238BE" w:rsidR="000B1496" w:rsidRPr="00806495" w:rsidRDefault="000B1496" w:rsidP="000B1496">
      <w:pPr>
        <w:pStyle w:val="Legenda"/>
        <w:spacing w:after="0"/>
        <w:jc w:val="center"/>
        <w:rPr>
          <w:rFonts w:ascii="Garamond" w:hAnsi="Garamond" w:cs="Arial"/>
          <w:b/>
          <w:bCs/>
          <w:i w:val="0"/>
          <w:iCs w:val="0"/>
          <w:color w:val="auto"/>
          <w:sz w:val="20"/>
          <w:szCs w:val="20"/>
          <w:lang w:val="pt-PT"/>
        </w:rPr>
      </w:pPr>
      <w:bookmarkStart w:id="94" w:name="_Toc32856883"/>
      <w:r w:rsidRPr="00806495">
        <w:rPr>
          <w:rFonts w:ascii="Garamond" w:hAnsi="Garamond"/>
          <w:b/>
          <w:bCs/>
          <w:i w:val="0"/>
          <w:iCs w:val="0"/>
          <w:color w:val="auto"/>
          <w:sz w:val="20"/>
          <w:szCs w:val="20"/>
          <w:lang w:val="pt-PT"/>
        </w:rPr>
        <w:t xml:space="preserve">Gráfico </w:t>
      </w:r>
      <w:r w:rsidRPr="00806495">
        <w:rPr>
          <w:rFonts w:ascii="Garamond" w:hAnsi="Garamond"/>
          <w:b/>
          <w:bCs/>
          <w:i w:val="0"/>
          <w:iCs w:val="0"/>
          <w:color w:val="auto"/>
          <w:sz w:val="20"/>
          <w:szCs w:val="20"/>
        </w:rPr>
        <w:fldChar w:fldCharType="begin"/>
      </w:r>
      <w:r w:rsidRPr="00806495">
        <w:rPr>
          <w:rFonts w:ascii="Garamond" w:hAnsi="Garamond"/>
          <w:b/>
          <w:bCs/>
          <w:i w:val="0"/>
          <w:iCs w:val="0"/>
          <w:color w:val="auto"/>
          <w:sz w:val="20"/>
          <w:szCs w:val="20"/>
          <w:lang w:val="pt-PT"/>
        </w:rPr>
        <w:instrText xml:space="preserve"> SEQ Grafico \* ARABIC </w:instrText>
      </w:r>
      <w:r w:rsidRPr="00806495">
        <w:rPr>
          <w:rFonts w:ascii="Garamond" w:hAnsi="Garamond"/>
          <w:b/>
          <w:bCs/>
          <w:i w:val="0"/>
          <w:iCs w:val="0"/>
          <w:color w:val="auto"/>
          <w:sz w:val="20"/>
          <w:szCs w:val="20"/>
        </w:rPr>
        <w:fldChar w:fldCharType="separate"/>
      </w:r>
      <w:r w:rsidR="009F122A">
        <w:rPr>
          <w:rFonts w:ascii="Garamond" w:hAnsi="Garamond"/>
          <w:b/>
          <w:bCs/>
          <w:i w:val="0"/>
          <w:iCs w:val="0"/>
          <w:noProof/>
          <w:color w:val="auto"/>
          <w:sz w:val="20"/>
          <w:szCs w:val="20"/>
          <w:lang w:val="pt-PT"/>
        </w:rPr>
        <w:t>29</w:t>
      </w:r>
      <w:r w:rsidRPr="00806495">
        <w:rPr>
          <w:rFonts w:ascii="Garamond" w:hAnsi="Garamond"/>
          <w:b/>
          <w:bCs/>
          <w:i w:val="0"/>
          <w:iCs w:val="0"/>
          <w:color w:val="auto"/>
          <w:sz w:val="20"/>
          <w:szCs w:val="20"/>
        </w:rPr>
        <w:fldChar w:fldCharType="end"/>
      </w:r>
      <w:r w:rsidRPr="00806495">
        <w:rPr>
          <w:rFonts w:ascii="Garamond" w:hAnsi="Garamond"/>
          <w:b/>
          <w:bCs/>
          <w:i w:val="0"/>
          <w:iCs w:val="0"/>
          <w:color w:val="auto"/>
          <w:sz w:val="20"/>
          <w:szCs w:val="20"/>
          <w:lang w:val="pt-PT"/>
        </w:rPr>
        <w:t xml:space="preserve"> – 12 primeiras c</w:t>
      </w:r>
      <w:r w:rsidRPr="00806495">
        <w:rPr>
          <w:rFonts w:ascii="Garamond" w:hAnsi="Garamond" w:cs="Arial"/>
          <w:b/>
          <w:bCs/>
          <w:i w:val="0"/>
          <w:iCs w:val="0"/>
          <w:color w:val="auto"/>
          <w:sz w:val="20"/>
          <w:szCs w:val="20"/>
          <w:lang w:val="pt-PT"/>
        </w:rPr>
        <w:t>ausas de mortalidade geral por sexo, 2017 (taxas por 100.000)</w:t>
      </w:r>
      <w:bookmarkEnd w:id="94"/>
    </w:p>
    <w:p w14:paraId="1EB1688B" w14:textId="77777777" w:rsidR="000B1496" w:rsidRPr="00806495" w:rsidRDefault="000B1496" w:rsidP="000B1496">
      <w:pPr>
        <w:jc w:val="center"/>
        <w:rPr>
          <w:rFonts w:ascii="Garamond" w:hAnsi="Garamond" w:cs="Arial"/>
        </w:rPr>
      </w:pPr>
      <w:r w:rsidRPr="00806495">
        <w:rPr>
          <w:rFonts w:ascii="Garamond" w:hAnsi="Garamond"/>
          <w:noProof/>
        </w:rPr>
        <w:drawing>
          <wp:inline distT="0" distB="0" distL="0" distR="0" wp14:anchorId="6F545298" wp14:editId="343BEEEF">
            <wp:extent cx="5786120" cy="2913380"/>
            <wp:effectExtent l="0" t="0" r="5080" b="1270"/>
            <wp:docPr id="37" name="Gráfico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7045DD6" w14:textId="77777777" w:rsidR="000B1496" w:rsidRDefault="000B1496" w:rsidP="000B1496">
      <w:pPr>
        <w:spacing w:after="240"/>
        <w:jc w:val="center"/>
        <w:rPr>
          <w:rFonts w:ascii="Garamond" w:hAnsi="Garamond" w:cs="Arial"/>
          <w:lang w:val="pt-PT"/>
        </w:rPr>
      </w:pPr>
      <w:r>
        <w:rPr>
          <w:rFonts w:ascii="Garamond" w:hAnsi="Garamond"/>
          <w:b/>
          <w:bCs/>
          <w:sz w:val="20"/>
          <w:szCs w:val="20"/>
          <w:lang w:val="pt-PT"/>
        </w:rPr>
        <w:t xml:space="preserve">Fonte: Relatório Estatístico 2017, </w:t>
      </w:r>
      <w:proofErr w:type="spellStart"/>
      <w:r>
        <w:rPr>
          <w:rFonts w:ascii="Garamond" w:hAnsi="Garamond"/>
          <w:b/>
          <w:bCs/>
          <w:sz w:val="20"/>
          <w:szCs w:val="20"/>
          <w:lang w:val="pt-PT"/>
        </w:rPr>
        <w:t>MSSS</w:t>
      </w:r>
      <w:proofErr w:type="spellEnd"/>
      <w:r>
        <w:rPr>
          <w:rFonts w:ascii="Garamond" w:hAnsi="Garamond"/>
          <w:b/>
          <w:bCs/>
          <w:sz w:val="20"/>
          <w:szCs w:val="20"/>
          <w:lang w:val="pt-PT"/>
        </w:rPr>
        <w:t xml:space="preserve"> (2018)</w:t>
      </w:r>
    </w:p>
    <w:p w14:paraId="1D909D35" w14:textId="6591F001" w:rsidR="000B1496" w:rsidRPr="00806495" w:rsidRDefault="000B1496" w:rsidP="000B1496">
      <w:pPr>
        <w:spacing w:after="240"/>
        <w:jc w:val="both"/>
        <w:rPr>
          <w:rFonts w:ascii="Garamond" w:hAnsi="Garamond" w:cs="Arial"/>
          <w:lang w:val="pt-PT"/>
        </w:rPr>
      </w:pPr>
      <w:r w:rsidRPr="00806495">
        <w:rPr>
          <w:rFonts w:ascii="Garamond" w:hAnsi="Garamond" w:cs="Arial"/>
          <w:lang w:val="pt-PT"/>
        </w:rPr>
        <w:t xml:space="preserve">Analisando as 12 principais causas de morte em 2017, tanto mulheres como homens morrem mais de doenças do aparelho circulatório (sobretudo no caso das mulheres), seguindo-se-lhe as </w:t>
      </w:r>
      <w:proofErr w:type="spellStart"/>
      <w:r w:rsidRPr="00806495">
        <w:rPr>
          <w:rFonts w:ascii="Garamond" w:hAnsi="Garamond" w:cs="Arial"/>
          <w:lang w:val="pt-PT"/>
        </w:rPr>
        <w:t>afeções</w:t>
      </w:r>
      <w:proofErr w:type="spellEnd"/>
      <w:r w:rsidRPr="00806495">
        <w:rPr>
          <w:rFonts w:ascii="Garamond" w:hAnsi="Garamond" w:cs="Arial"/>
          <w:lang w:val="pt-PT"/>
        </w:rPr>
        <w:t xml:space="preserve"> respiratórias e os tumores e neoplasias (ambos sobretudo no caso dos homens). As causas externas e os traumatismos e envenenamentos são ambas causas de morte mais características dos homens, </w:t>
      </w:r>
      <w:r w:rsidR="00FE67BB">
        <w:rPr>
          <w:rFonts w:ascii="Garamond" w:hAnsi="Garamond" w:cs="Arial"/>
          <w:lang w:val="pt-PT"/>
        </w:rPr>
        <w:t>bem como</w:t>
      </w:r>
      <w:r w:rsidRPr="00806495">
        <w:rPr>
          <w:rFonts w:ascii="Garamond" w:hAnsi="Garamond" w:cs="Arial"/>
          <w:lang w:val="pt-PT"/>
        </w:rPr>
        <w:t xml:space="preserve"> </w:t>
      </w:r>
      <w:r w:rsidR="00FE67BB">
        <w:rPr>
          <w:rFonts w:ascii="Garamond" w:hAnsi="Garamond" w:cs="Arial"/>
          <w:lang w:val="pt-PT"/>
        </w:rPr>
        <w:t>a</w:t>
      </w:r>
      <w:r w:rsidRPr="00806495">
        <w:rPr>
          <w:rFonts w:ascii="Garamond" w:hAnsi="Garamond" w:cs="Arial"/>
          <w:lang w:val="pt-PT"/>
        </w:rPr>
        <w:t xml:space="preserve">s doenças mentais e do comportamento. Entre os tumores e neoplasias que podem ser </w:t>
      </w:r>
      <w:proofErr w:type="spellStart"/>
      <w:r w:rsidRPr="00806495">
        <w:rPr>
          <w:rFonts w:ascii="Garamond" w:hAnsi="Garamond" w:cs="Arial"/>
          <w:lang w:val="pt-PT"/>
        </w:rPr>
        <w:t>detetados</w:t>
      </w:r>
      <w:proofErr w:type="spellEnd"/>
      <w:r w:rsidRPr="00806495">
        <w:rPr>
          <w:rFonts w:ascii="Garamond" w:hAnsi="Garamond" w:cs="Arial"/>
          <w:lang w:val="pt-PT"/>
        </w:rPr>
        <w:t xml:space="preserve"> na fase assintomática, através de testes de rastreio, contam-se o cancro da mama, do colo do útero e do colon e </w:t>
      </w:r>
      <w:proofErr w:type="spellStart"/>
      <w:r w:rsidRPr="00806495">
        <w:rPr>
          <w:rFonts w:ascii="Garamond" w:hAnsi="Garamond" w:cs="Arial"/>
          <w:lang w:val="pt-PT"/>
        </w:rPr>
        <w:t>reto</w:t>
      </w:r>
      <w:proofErr w:type="spellEnd"/>
      <w:r w:rsidRPr="00806495">
        <w:rPr>
          <w:rFonts w:ascii="Garamond" w:hAnsi="Garamond" w:cs="Arial"/>
          <w:lang w:val="pt-PT"/>
        </w:rPr>
        <w:t xml:space="preserve">. Os dois primeiros </w:t>
      </w:r>
      <w:proofErr w:type="spellStart"/>
      <w:r w:rsidRPr="00806495">
        <w:rPr>
          <w:rFonts w:ascii="Garamond" w:hAnsi="Garamond" w:cs="Arial"/>
          <w:lang w:val="pt-PT"/>
        </w:rPr>
        <w:t>afetam</w:t>
      </w:r>
      <w:proofErr w:type="spellEnd"/>
      <w:r w:rsidRPr="00806495">
        <w:rPr>
          <w:rFonts w:ascii="Garamond" w:hAnsi="Garamond" w:cs="Arial"/>
          <w:lang w:val="pt-PT"/>
        </w:rPr>
        <w:t xml:space="preserve"> sobretudo as mulheres (em 2017 faleceram 17 mulheres com tumores da mama versus 1 homens, e 15 mulheres com cancro do colo do útero). No caso dos traumatismos e envenenamentos, os mais frequentes são traumas e ferimentos (em 2017 faleceram 62 homens e 14 mulheres), enquanto que nas causas externas se destacam os suicídios (45 óbitos de homens e 4 de mulheres) e os homicídios (31 óbitos de homens e 7 de mulheres), e em menor dimensão os afogamentos, que contudo também </w:t>
      </w:r>
      <w:proofErr w:type="spellStart"/>
      <w:r w:rsidRPr="00806495">
        <w:rPr>
          <w:rFonts w:ascii="Garamond" w:hAnsi="Garamond" w:cs="Arial"/>
          <w:lang w:val="pt-PT"/>
        </w:rPr>
        <w:t>afetam</w:t>
      </w:r>
      <w:proofErr w:type="spellEnd"/>
      <w:r w:rsidRPr="00806495">
        <w:rPr>
          <w:rFonts w:ascii="Garamond" w:hAnsi="Garamond" w:cs="Arial"/>
          <w:lang w:val="pt-PT"/>
        </w:rPr>
        <w:t xml:space="preserve"> mais os homens (15 óbitos versus 2 de mulheres). Analisando as principais causas de morbilidade hospitalar</w:t>
      </w:r>
      <w:r w:rsidR="00FE67BB">
        <w:rPr>
          <w:rFonts w:ascii="Garamond" w:hAnsi="Garamond" w:cs="Arial"/>
          <w:lang w:val="pt-PT"/>
        </w:rPr>
        <w:t>: em 2017,</w:t>
      </w:r>
      <w:r w:rsidRPr="00806495">
        <w:rPr>
          <w:rFonts w:ascii="Garamond" w:hAnsi="Garamond" w:cs="Arial"/>
          <w:lang w:val="pt-PT"/>
        </w:rPr>
        <w:t xml:space="preserve"> no Hospital Dr. Agostinho Neto, a principal causa de internamento</w:t>
      </w:r>
      <w:r w:rsidR="00FE67BB">
        <w:rPr>
          <w:rFonts w:ascii="Garamond" w:hAnsi="Garamond" w:cs="Arial"/>
          <w:lang w:val="pt-PT"/>
        </w:rPr>
        <w:t xml:space="preserve"> (depois da </w:t>
      </w:r>
      <w:r w:rsidRPr="00806495">
        <w:rPr>
          <w:rFonts w:ascii="Garamond" w:hAnsi="Garamond" w:cs="Arial"/>
          <w:lang w:val="pt-PT"/>
        </w:rPr>
        <w:t>gravidez, parto</w:t>
      </w:r>
      <w:r w:rsidR="00FE67BB">
        <w:rPr>
          <w:rFonts w:ascii="Garamond" w:hAnsi="Garamond" w:cs="Arial"/>
          <w:lang w:val="pt-PT"/>
        </w:rPr>
        <w:t>, p</w:t>
      </w:r>
      <w:r w:rsidRPr="00806495">
        <w:rPr>
          <w:rFonts w:ascii="Garamond" w:hAnsi="Garamond" w:cs="Arial"/>
          <w:lang w:val="pt-PT"/>
        </w:rPr>
        <w:t>uerpério</w:t>
      </w:r>
      <w:r w:rsidR="00FE67BB">
        <w:rPr>
          <w:rFonts w:ascii="Garamond" w:hAnsi="Garamond" w:cs="Arial"/>
          <w:lang w:val="pt-PT"/>
        </w:rPr>
        <w:t xml:space="preserve"> - </w:t>
      </w:r>
      <w:r w:rsidRPr="00806495">
        <w:rPr>
          <w:rFonts w:ascii="Garamond" w:hAnsi="Garamond" w:cs="Arial"/>
          <w:lang w:val="pt-PT"/>
        </w:rPr>
        <w:t>3.735 mulheres) são as lesões, envenenamento e outras consequências de causas externas</w:t>
      </w:r>
      <w:r w:rsidR="00FE67BB">
        <w:rPr>
          <w:rFonts w:ascii="Garamond" w:hAnsi="Garamond" w:cs="Arial"/>
          <w:lang w:val="pt-PT"/>
        </w:rPr>
        <w:t xml:space="preserve"> (</w:t>
      </w:r>
      <w:r w:rsidRPr="00806495">
        <w:rPr>
          <w:rFonts w:ascii="Garamond" w:hAnsi="Garamond" w:cs="Arial"/>
          <w:lang w:val="pt-PT"/>
        </w:rPr>
        <w:t>total de 1.209 internamentos, 823 homens e 377 mulheres</w:t>
      </w:r>
      <w:r w:rsidR="00FE67BB">
        <w:rPr>
          <w:rFonts w:ascii="Garamond" w:hAnsi="Garamond" w:cs="Arial"/>
          <w:lang w:val="pt-PT"/>
        </w:rPr>
        <w:t>); o</w:t>
      </w:r>
      <w:r w:rsidRPr="00806495">
        <w:rPr>
          <w:rFonts w:ascii="Garamond" w:hAnsi="Garamond" w:cs="Arial"/>
          <w:lang w:val="pt-PT"/>
        </w:rPr>
        <w:t>s internamentos por transtornos mentais e comportamentais</w:t>
      </w:r>
      <w:r w:rsidR="00FE67BB">
        <w:rPr>
          <w:rFonts w:ascii="Garamond" w:hAnsi="Garamond" w:cs="Arial"/>
          <w:lang w:val="pt-PT"/>
        </w:rPr>
        <w:t xml:space="preserve"> também são elevados</w:t>
      </w:r>
      <w:r w:rsidRPr="00806495">
        <w:rPr>
          <w:rFonts w:ascii="Garamond" w:hAnsi="Garamond" w:cs="Arial"/>
          <w:lang w:val="pt-PT"/>
        </w:rPr>
        <w:t xml:space="preserve"> (326 homens e 129 mulheres). </w:t>
      </w:r>
    </w:p>
    <w:p w14:paraId="4FEBB226" w14:textId="0771F873" w:rsidR="000B1496" w:rsidRPr="00806495" w:rsidRDefault="000B1496" w:rsidP="000B1496">
      <w:pPr>
        <w:jc w:val="both"/>
        <w:rPr>
          <w:rFonts w:ascii="Garamond" w:hAnsi="Garamond" w:cs="Arial"/>
          <w:lang w:val="pt-PT"/>
        </w:rPr>
      </w:pPr>
      <w:r w:rsidRPr="00806495">
        <w:rPr>
          <w:rFonts w:ascii="Garamond" w:hAnsi="Garamond" w:cs="Arial"/>
          <w:lang w:val="pt-PT"/>
        </w:rPr>
        <w:t xml:space="preserve">O </w:t>
      </w:r>
      <w:proofErr w:type="spellStart"/>
      <w:r w:rsidRPr="00806495">
        <w:rPr>
          <w:rFonts w:ascii="Garamond" w:hAnsi="Garamond" w:cs="Arial"/>
          <w:lang w:val="pt-PT"/>
        </w:rPr>
        <w:t>ODS</w:t>
      </w:r>
      <w:proofErr w:type="spellEnd"/>
      <w:r w:rsidRPr="00806495">
        <w:rPr>
          <w:rFonts w:ascii="Garamond" w:hAnsi="Garamond" w:cs="Arial"/>
          <w:lang w:val="pt-PT"/>
        </w:rPr>
        <w:t xml:space="preserve"> 3, relativo à saúde e bem-estar, além de retomar metas dos ODM, introduz metas relativas às doenças não transmissíveis e saúde mental,</w:t>
      </w:r>
      <w:r w:rsidRPr="00806495">
        <w:rPr>
          <w:rStyle w:val="Refdenotaderodap"/>
          <w:rFonts w:ascii="Garamond" w:hAnsi="Garamond" w:cs="Arial"/>
        </w:rPr>
        <w:footnoteReference w:id="100"/>
      </w:r>
      <w:r w:rsidRPr="00806495">
        <w:rPr>
          <w:rFonts w:ascii="Garamond" w:hAnsi="Garamond" w:cs="Arial"/>
          <w:lang w:val="pt-PT"/>
        </w:rPr>
        <w:t xml:space="preserve"> prevenção e tratamento do abuso de substâncias – drogas e álcool,</w:t>
      </w:r>
      <w:r w:rsidRPr="00806495">
        <w:rPr>
          <w:rStyle w:val="Refdenotaderodap"/>
          <w:rFonts w:ascii="Garamond" w:hAnsi="Garamond" w:cs="Arial"/>
        </w:rPr>
        <w:footnoteReference w:id="101"/>
      </w:r>
      <w:r w:rsidRPr="00806495">
        <w:rPr>
          <w:rFonts w:ascii="Garamond" w:hAnsi="Garamond" w:cs="Arial"/>
          <w:lang w:val="pt-PT"/>
        </w:rPr>
        <w:t xml:space="preserve"> bem como acidentes rodoviários.</w:t>
      </w:r>
      <w:r w:rsidRPr="00806495">
        <w:rPr>
          <w:rStyle w:val="Refdenotaderodap"/>
          <w:rFonts w:ascii="Garamond" w:hAnsi="Garamond" w:cs="Arial"/>
        </w:rPr>
        <w:footnoteReference w:id="102"/>
      </w:r>
      <w:r w:rsidRPr="00806495">
        <w:rPr>
          <w:rFonts w:ascii="Garamond" w:hAnsi="Garamond" w:cs="Arial"/>
          <w:lang w:val="pt-PT"/>
        </w:rPr>
        <w:t xml:space="preserve"> No indicador relativo à saúde mental – taxa de mortalidade por suicídio</w:t>
      </w:r>
      <w:r w:rsidR="00FE67BB">
        <w:rPr>
          <w:rFonts w:ascii="Garamond" w:hAnsi="Garamond" w:cs="Arial"/>
          <w:lang w:val="pt-PT"/>
        </w:rPr>
        <w:t xml:space="preserve"> no país (2017)</w:t>
      </w:r>
      <w:r w:rsidRPr="00806495">
        <w:rPr>
          <w:rFonts w:ascii="Garamond" w:hAnsi="Garamond" w:cs="Arial"/>
          <w:lang w:val="pt-PT"/>
        </w:rPr>
        <w:t xml:space="preserve">, situa-se em 9,1 por 100.000 - 16,7 </w:t>
      </w:r>
      <w:r w:rsidR="00FE67BB">
        <w:rPr>
          <w:rFonts w:ascii="Garamond" w:hAnsi="Garamond" w:cs="Arial"/>
          <w:lang w:val="pt-PT"/>
        </w:rPr>
        <w:t xml:space="preserve">para </w:t>
      </w:r>
      <w:r w:rsidRPr="00806495">
        <w:rPr>
          <w:rFonts w:ascii="Garamond" w:hAnsi="Garamond" w:cs="Arial"/>
          <w:lang w:val="pt-PT"/>
        </w:rPr>
        <w:t xml:space="preserve">os homens e 1,5 </w:t>
      </w:r>
      <w:r w:rsidR="00FE67BB">
        <w:rPr>
          <w:rFonts w:ascii="Garamond" w:hAnsi="Garamond" w:cs="Arial"/>
          <w:lang w:val="pt-PT"/>
        </w:rPr>
        <w:t xml:space="preserve">para as </w:t>
      </w:r>
      <w:r w:rsidRPr="00806495">
        <w:rPr>
          <w:rFonts w:ascii="Garamond" w:hAnsi="Garamond" w:cs="Arial"/>
          <w:lang w:val="pt-PT"/>
        </w:rPr>
        <w:t>mulheres.</w:t>
      </w:r>
      <w:r w:rsidRPr="00806495">
        <w:rPr>
          <w:rStyle w:val="Refdenotaderodap"/>
          <w:rFonts w:ascii="Garamond" w:hAnsi="Garamond" w:cs="Arial"/>
        </w:rPr>
        <w:footnoteReference w:id="103"/>
      </w:r>
      <w:r w:rsidRPr="00806495">
        <w:rPr>
          <w:rFonts w:ascii="Garamond" w:hAnsi="Garamond" w:cs="Arial"/>
          <w:lang w:val="pt-PT"/>
        </w:rPr>
        <w:t xml:space="preserve"> Relativamente aos acidentes rodoviários no país, envolvem em particular homens, tanto enquanto condutores como vítimas: em 93% dos 3.478 acidentes rodoviários registados em 2015, que causaram 871 feridos e 35 mortes, tinha um condutor do sexo masculino.</w:t>
      </w:r>
    </w:p>
    <w:p w14:paraId="201E48FA" w14:textId="77777777" w:rsidR="000B1496" w:rsidRPr="00806495" w:rsidRDefault="000B1496" w:rsidP="00786DEC">
      <w:pPr>
        <w:pStyle w:val="PargrafodaLista"/>
        <w:numPr>
          <w:ilvl w:val="0"/>
          <w:numId w:val="39"/>
        </w:numPr>
        <w:spacing w:after="240"/>
        <w:jc w:val="both"/>
        <w:rPr>
          <w:rFonts w:ascii="Garamond" w:hAnsi="Garamond" w:cs="Arial"/>
          <w:lang w:val="pt-PT"/>
        </w:rPr>
      </w:pPr>
      <w:r w:rsidRPr="00806495">
        <w:rPr>
          <w:rFonts w:ascii="Garamond" w:hAnsi="Garamond" w:cs="Arial"/>
          <w:lang w:val="pt-PT"/>
        </w:rPr>
        <w:t>As 3 primeiras causas de morte assinaladas no gráfico</w:t>
      </w:r>
      <w:r>
        <w:rPr>
          <w:rFonts w:ascii="Garamond" w:hAnsi="Garamond" w:cs="Arial"/>
          <w:lang w:val="pt-PT"/>
        </w:rPr>
        <w:t xml:space="preserve"> acima </w:t>
      </w:r>
      <w:r w:rsidRPr="00806495">
        <w:rPr>
          <w:rFonts w:ascii="Garamond" w:hAnsi="Garamond" w:cs="Arial"/>
          <w:lang w:val="pt-PT"/>
        </w:rPr>
        <w:t>são doenças não transmissíveis (</w:t>
      </w:r>
      <w:proofErr w:type="spellStart"/>
      <w:r w:rsidRPr="00806495">
        <w:rPr>
          <w:rFonts w:ascii="Garamond" w:hAnsi="Garamond" w:cs="Arial"/>
          <w:lang w:val="pt-PT"/>
        </w:rPr>
        <w:t>DNT</w:t>
      </w:r>
      <w:proofErr w:type="spellEnd"/>
      <w:r w:rsidRPr="00806495">
        <w:rPr>
          <w:rFonts w:ascii="Garamond" w:hAnsi="Garamond" w:cs="Arial"/>
          <w:lang w:val="pt-PT"/>
        </w:rPr>
        <w:t xml:space="preserve">): dão conta de mais de metade dos óbitos em Cabo Verde (57,4% em 2017). O aumento das </w:t>
      </w:r>
      <w:proofErr w:type="spellStart"/>
      <w:r w:rsidRPr="00806495">
        <w:rPr>
          <w:rFonts w:ascii="Garamond" w:hAnsi="Garamond" w:cs="Arial"/>
          <w:lang w:val="pt-PT"/>
        </w:rPr>
        <w:t>DNT</w:t>
      </w:r>
      <w:proofErr w:type="spellEnd"/>
      <w:r w:rsidRPr="00806495">
        <w:rPr>
          <w:rFonts w:ascii="Garamond" w:hAnsi="Garamond" w:cs="Arial"/>
          <w:lang w:val="pt-PT"/>
        </w:rPr>
        <w:t xml:space="preserve"> está fortemente associado aos estilos de vida, questões sociais e comportamentais, que por sua vez são marcadas por questões de género, seja por via dos riscos específicos relacionados a </w:t>
      </w:r>
      <w:proofErr w:type="spellStart"/>
      <w:r w:rsidRPr="00806495">
        <w:rPr>
          <w:rFonts w:ascii="Garamond" w:hAnsi="Garamond" w:cs="Arial"/>
          <w:lang w:val="pt-PT"/>
        </w:rPr>
        <w:t>atividades</w:t>
      </w:r>
      <w:proofErr w:type="spellEnd"/>
      <w:r w:rsidRPr="00806495">
        <w:rPr>
          <w:rFonts w:ascii="Garamond" w:hAnsi="Garamond" w:cs="Arial"/>
          <w:lang w:val="pt-PT"/>
        </w:rPr>
        <w:t xml:space="preserve">/papeis definidos como masculinos ou femininos, ou à própria percepção da doença e comportamentos de procura (ou não procura) de serviços de saúde. </w:t>
      </w:r>
    </w:p>
    <w:p w14:paraId="44E26B3F" w14:textId="77777777" w:rsidR="000B1496" w:rsidRPr="00806495" w:rsidRDefault="000B1496" w:rsidP="00786DEC">
      <w:pPr>
        <w:pStyle w:val="PargrafodaLista"/>
        <w:numPr>
          <w:ilvl w:val="0"/>
          <w:numId w:val="39"/>
        </w:numPr>
        <w:spacing w:after="240"/>
        <w:jc w:val="both"/>
        <w:rPr>
          <w:rFonts w:ascii="Garamond" w:hAnsi="Garamond" w:cs="Arial"/>
          <w:lang w:val="pt-PT"/>
        </w:rPr>
      </w:pPr>
      <w:r w:rsidRPr="00806495">
        <w:rPr>
          <w:rFonts w:ascii="Garamond" w:hAnsi="Garamond" w:cs="Arial"/>
          <w:lang w:val="pt-PT"/>
        </w:rPr>
        <w:t xml:space="preserve">Além das doenças relacionadas com o stress, surgem outros padrões sociais e económicos complexos, relacionados com a violência, com um evidente impacto na mortalidade e morbilidade dos homens, o que também acontece com o abuso de substâncias – drogas e álcool, associados à violência, incluindo à </w:t>
      </w:r>
      <w:proofErr w:type="spellStart"/>
      <w:r w:rsidRPr="00806495">
        <w:rPr>
          <w:rFonts w:ascii="Garamond" w:hAnsi="Garamond" w:cs="Arial"/>
          <w:lang w:val="pt-PT"/>
        </w:rPr>
        <w:t>VBG</w:t>
      </w:r>
      <w:proofErr w:type="spellEnd"/>
      <w:r w:rsidRPr="00806495">
        <w:rPr>
          <w:rFonts w:ascii="Garamond" w:hAnsi="Garamond" w:cs="Arial"/>
          <w:lang w:val="pt-PT"/>
        </w:rPr>
        <w:t xml:space="preserve">, e questões de saúde mental. O </w:t>
      </w:r>
      <w:proofErr w:type="spellStart"/>
      <w:r w:rsidRPr="00806495">
        <w:rPr>
          <w:rFonts w:ascii="Garamond" w:hAnsi="Garamond" w:cs="Arial"/>
          <w:lang w:val="pt-PT"/>
        </w:rPr>
        <w:t>PNDS</w:t>
      </w:r>
      <w:proofErr w:type="spellEnd"/>
      <w:r w:rsidRPr="00806495">
        <w:rPr>
          <w:rFonts w:ascii="Garamond" w:hAnsi="Garamond" w:cs="Arial"/>
          <w:lang w:val="pt-PT"/>
        </w:rPr>
        <w:t xml:space="preserve"> anterior já tinha sublinhado o peso da morbimortalidade devido às causas externas (acidentes, violência), que </w:t>
      </w:r>
      <w:proofErr w:type="spellStart"/>
      <w:r w:rsidRPr="00806495">
        <w:rPr>
          <w:rFonts w:ascii="Garamond" w:hAnsi="Garamond" w:cs="Arial"/>
          <w:lang w:val="pt-PT"/>
        </w:rPr>
        <w:t>afetam</w:t>
      </w:r>
      <w:proofErr w:type="spellEnd"/>
      <w:r w:rsidRPr="00806495">
        <w:rPr>
          <w:rFonts w:ascii="Garamond" w:hAnsi="Garamond" w:cs="Arial"/>
          <w:lang w:val="pt-PT"/>
        </w:rPr>
        <w:t xml:space="preserve"> em particular os homens. </w:t>
      </w:r>
    </w:p>
    <w:p w14:paraId="3D393437" w14:textId="77777777" w:rsidR="000B1496" w:rsidRPr="00806495" w:rsidRDefault="000B1496" w:rsidP="00786DEC">
      <w:pPr>
        <w:pStyle w:val="PargrafodaLista"/>
        <w:numPr>
          <w:ilvl w:val="0"/>
          <w:numId w:val="39"/>
        </w:numPr>
        <w:spacing w:after="240"/>
        <w:jc w:val="both"/>
        <w:rPr>
          <w:rFonts w:ascii="Garamond" w:hAnsi="Garamond" w:cs="Arial"/>
          <w:lang w:val="pt-PT"/>
        </w:rPr>
      </w:pPr>
      <w:bookmarkStart w:id="95" w:name="_Hlk31616860"/>
      <w:r w:rsidRPr="00806495">
        <w:rPr>
          <w:rFonts w:ascii="Garamond" w:hAnsi="Garamond" w:cs="Arial"/>
          <w:lang w:val="pt-PT"/>
        </w:rPr>
        <w:t xml:space="preserve">Estes são indicadores que apontam para a necessidade de aprofundar o debate sobre masculinidades, sendo difícil pensar em mudanças de comportamento e de estilo de vida sem abordar as questões de género. Está prevista a realização de um Inquérito sobre </w:t>
      </w:r>
      <w:proofErr w:type="spellStart"/>
      <w:r w:rsidRPr="00806495">
        <w:rPr>
          <w:rFonts w:ascii="Garamond" w:hAnsi="Garamond" w:cs="Arial"/>
          <w:lang w:val="pt-PT"/>
        </w:rPr>
        <w:t>DNT</w:t>
      </w:r>
      <w:proofErr w:type="spellEnd"/>
      <w:r w:rsidRPr="00806495">
        <w:rPr>
          <w:rFonts w:ascii="Garamond" w:hAnsi="Garamond" w:cs="Arial"/>
          <w:lang w:val="pt-PT"/>
        </w:rPr>
        <w:t xml:space="preserve">, no qual deverá ser integrada uma abordagem de género (medida que </w:t>
      </w:r>
      <w:r w:rsidRPr="00806495">
        <w:rPr>
          <w:rFonts w:ascii="Garamond" w:hAnsi="Garamond"/>
          <w:lang w:val="pt-PT"/>
        </w:rPr>
        <w:t>fará parte do Eixo 6).</w:t>
      </w:r>
    </w:p>
    <w:bookmarkEnd w:id="95"/>
    <w:p w14:paraId="56950423" w14:textId="7C883807" w:rsidR="000B1496" w:rsidRPr="00806495" w:rsidRDefault="000B1496" w:rsidP="00786DEC">
      <w:pPr>
        <w:pStyle w:val="PargrafodaLista"/>
        <w:numPr>
          <w:ilvl w:val="0"/>
          <w:numId w:val="39"/>
        </w:numPr>
        <w:jc w:val="both"/>
        <w:rPr>
          <w:rFonts w:ascii="Garamond" w:hAnsi="Garamond"/>
          <w:lang w:val="pt-PT"/>
        </w:rPr>
      </w:pPr>
      <w:r w:rsidRPr="00806495">
        <w:rPr>
          <w:rFonts w:ascii="Garamond" w:hAnsi="Garamond" w:cs="Arial"/>
          <w:lang w:val="pt-PT"/>
        </w:rPr>
        <w:t xml:space="preserve">Como referido no Eixo 2 - </w:t>
      </w:r>
      <w:proofErr w:type="spellStart"/>
      <w:r w:rsidRPr="00806495">
        <w:rPr>
          <w:rFonts w:ascii="Garamond" w:hAnsi="Garamond" w:cs="Arial"/>
          <w:lang w:val="pt-PT"/>
        </w:rPr>
        <w:t>VBG</w:t>
      </w:r>
      <w:proofErr w:type="spellEnd"/>
      <w:r w:rsidRPr="00806495">
        <w:rPr>
          <w:rFonts w:ascii="Garamond" w:hAnsi="Garamond" w:cs="Arial"/>
          <w:lang w:val="pt-PT"/>
        </w:rPr>
        <w:t xml:space="preserve">, será </w:t>
      </w:r>
      <w:r w:rsidRPr="00806495">
        <w:rPr>
          <w:rFonts w:ascii="Garamond" w:hAnsi="Garamond"/>
          <w:lang w:val="pt-PT"/>
        </w:rPr>
        <w:t>importante integrar a abordagem de género no trabalho da Comissão de Coordenação ao Álcool e de outras Drogas (</w:t>
      </w:r>
      <w:proofErr w:type="spellStart"/>
      <w:r w:rsidRPr="00806495">
        <w:rPr>
          <w:rFonts w:ascii="Garamond" w:hAnsi="Garamond"/>
          <w:lang w:val="pt-PT"/>
        </w:rPr>
        <w:t>CCAD</w:t>
      </w:r>
      <w:proofErr w:type="spellEnd"/>
      <w:r w:rsidRPr="00806495">
        <w:rPr>
          <w:rFonts w:ascii="Garamond" w:hAnsi="Garamond"/>
          <w:lang w:val="pt-PT"/>
        </w:rPr>
        <w:t xml:space="preserve">) e implementação do </w:t>
      </w:r>
      <w:r w:rsidRPr="00806495">
        <w:rPr>
          <w:rFonts w:ascii="Garamond" w:hAnsi="Garamond"/>
          <w:i/>
          <w:iCs/>
          <w:lang w:val="pt-PT"/>
        </w:rPr>
        <w:t xml:space="preserve">Plano Estratégico </w:t>
      </w:r>
      <w:proofErr w:type="spellStart"/>
      <w:r w:rsidRPr="00806495">
        <w:rPr>
          <w:rFonts w:ascii="Garamond" w:hAnsi="Garamond"/>
          <w:i/>
          <w:iCs/>
          <w:lang w:val="pt-PT"/>
        </w:rPr>
        <w:t>Multisetorial</w:t>
      </w:r>
      <w:proofErr w:type="spellEnd"/>
      <w:r w:rsidRPr="00806495">
        <w:rPr>
          <w:rFonts w:ascii="Garamond" w:hAnsi="Garamond"/>
          <w:i/>
          <w:iCs/>
          <w:lang w:val="pt-PT"/>
        </w:rPr>
        <w:t xml:space="preserve"> de Combate aos Problemas Ligados ao Álcool</w:t>
      </w:r>
      <w:r w:rsidRPr="00806495">
        <w:rPr>
          <w:rFonts w:ascii="Garamond" w:hAnsi="Garamond"/>
          <w:lang w:val="pt-PT"/>
        </w:rPr>
        <w:t xml:space="preserve"> (2016-2020). A Lei que estabelece o regime de disponibilidade, venda e consumo de bebidas alcoólicas,</w:t>
      </w:r>
      <w:r w:rsidRPr="00806495">
        <w:rPr>
          <w:rStyle w:val="Refdenotaderodap"/>
          <w:rFonts w:ascii="Garamond" w:hAnsi="Garamond"/>
        </w:rPr>
        <w:footnoteReference w:id="104"/>
      </w:r>
      <w:r w:rsidRPr="00806495">
        <w:rPr>
          <w:rFonts w:ascii="Garamond" w:hAnsi="Garamond"/>
          <w:lang w:val="pt-PT"/>
        </w:rPr>
        <w:t xml:space="preserve"> recém-aprovada, tem um cariz preventivo substancial, e prioriza vários espaços de prevenção: espaço escolar, ambiente familiar, âmbito comunitário, da saúde, laboral, e locais de lazer. Deverá se assegurado que as estratégias, instrumentos e materiais de divulgação da Lei e para a prevenção do consumo de bebidas acólicas integrem </w:t>
      </w:r>
      <w:r w:rsidR="00FE67BB">
        <w:rPr>
          <w:rFonts w:ascii="Garamond" w:hAnsi="Garamond"/>
          <w:lang w:val="pt-PT"/>
        </w:rPr>
        <w:t>o</w:t>
      </w:r>
      <w:r w:rsidRPr="00806495">
        <w:rPr>
          <w:rFonts w:ascii="Garamond" w:hAnsi="Garamond"/>
          <w:lang w:val="pt-PT"/>
        </w:rPr>
        <w:t xml:space="preserve"> género, reforçando as capacidades das equipas responsáveis para esta abordagem.</w:t>
      </w:r>
    </w:p>
    <w:p w14:paraId="2DCC8A9B" w14:textId="77777777" w:rsidR="000B1496" w:rsidRPr="00806495" w:rsidRDefault="000B1496" w:rsidP="00786DEC">
      <w:pPr>
        <w:pStyle w:val="PargrafodaLista"/>
        <w:numPr>
          <w:ilvl w:val="0"/>
          <w:numId w:val="39"/>
        </w:numPr>
        <w:spacing w:after="240"/>
        <w:jc w:val="both"/>
        <w:rPr>
          <w:rFonts w:ascii="Garamond" w:hAnsi="Garamond" w:cs="Arial"/>
          <w:lang w:val="pt-PT"/>
        </w:rPr>
      </w:pPr>
      <w:r w:rsidRPr="00806495">
        <w:rPr>
          <w:rFonts w:ascii="Garamond" w:hAnsi="Garamond"/>
          <w:lang w:val="pt-PT"/>
        </w:rPr>
        <w:t xml:space="preserve">Também referenciado no Eixo 2 - </w:t>
      </w:r>
      <w:proofErr w:type="spellStart"/>
      <w:r w:rsidRPr="00806495">
        <w:rPr>
          <w:rFonts w:ascii="Garamond" w:hAnsi="Garamond"/>
          <w:lang w:val="pt-PT"/>
        </w:rPr>
        <w:t>VBG</w:t>
      </w:r>
      <w:proofErr w:type="spellEnd"/>
      <w:r w:rsidRPr="00806495">
        <w:rPr>
          <w:rFonts w:ascii="Garamond" w:hAnsi="Garamond"/>
          <w:lang w:val="pt-PT"/>
        </w:rPr>
        <w:t>, é fundamental que o Plano Estratégico Nacional de Saúde Mental (2020–2024), em curso de finalização, integre uma abordagem de género, bem como a sua implementação, seguimento e avaliação.</w:t>
      </w:r>
    </w:p>
    <w:p w14:paraId="1AEE389F" w14:textId="77777777" w:rsidR="000B1496" w:rsidRPr="00806495" w:rsidRDefault="000B1496" w:rsidP="00786DEC">
      <w:pPr>
        <w:pStyle w:val="PargrafodaLista"/>
        <w:numPr>
          <w:ilvl w:val="0"/>
          <w:numId w:val="39"/>
        </w:numPr>
        <w:spacing w:after="240"/>
        <w:jc w:val="both"/>
        <w:rPr>
          <w:rFonts w:ascii="Garamond" w:hAnsi="Garamond" w:cs="Arial"/>
          <w:lang w:val="pt-PT"/>
        </w:rPr>
      </w:pPr>
      <w:r w:rsidRPr="00806495">
        <w:rPr>
          <w:rFonts w:ascii="Garamond" w:hAnsi="Garamond" w:cs="Arial"/>
          <w:lang w:val="pt-PT"/>
        </w:rPr>
        <w:t xml:space="preserve">Deverão ser mapeados os programas e iniciativas de promoção da saúde e prevenção das </w:t>
      </w:r>
      <w:proofErr w:type="spellStart"/>
      <w:r w:rsidRPr="00806495">
        <w:rPr>
          <w:rFonts w:ascii="Garamond" w:hAnsi="Garamond" w:cs="Arial"/>
          <w:lang w:val="pt-PT"/>
        </w:rPr>
        <w:t>DNT</w:t>
      </w:r>
      <w:proofErr w:type="spellEnd"/>
      <w:r w:rsidRPr="00806495">
        <w:rPr>
          <w:rFonts w:ascii="Garamond" w:hAnsi="Garamond" w:cs="Arial"/>
          <w:lang w:val="pt-PT"/>
        </w:rPr>
        <w:t xml:space="preserve"> (previstas e em curso) no sentido de assegurar que </w:t>
      </w:r>
      <w:r w:rsidRPr="00806495">
        <w:rPr>
          <w:rFonts w:ascii="Garamond" w:hAnsi="Garamond"/>
          <w:lang w:val="pt-PT"/>
        </w:rPr>
        <w:t>as suas estratégias, instrumentos e materiais integrem uma abordagem de género</w:t>
      </w:r>
    </w:p>
    <w:p w14:paraId="3FFEFD36" w14:textId="77777777" w:rsidR="000B1496" w:rsidRPr="00806495" w:rsidRDefault="000B1496" w:rsidP="00786DEC">
      <w:pPr>
        <w:pStyle w:val="PargrafodaLista"/>
        <w:numPr>
          <w:ilvl w:val="0"/>
          <w:numId w:val="39"/>
        </w:numPr>
        <w:spacing w:after="240"/>
        <w:jc w:val="both"/>
        <w:rPr>
          <w:rFonts w:ascii="Garamond" w:hAnsi="Garamond" w:cs="Arial"/>
          <w:lang w:val="pt-PT"/>
        </w:rPr>
      </w:pPr>
      <w:r w:rsidRPr="00806495">
        <w:rPr>
          <w:rFonts w:ascii="Garamond" w:hAnsi="Garamond" w:cs="Arial"/>
          <w:lang w:val="pt-PT"/>
        </w:rPr>
        <w:t xml:space="preserve">Encontra-se em implementação o Plano Estratégico Nacional para o Envelhecimento </w:t>
      </w:r>
      <w:proofErr w:type="spellStart"/>
      <w:r w:rsidRPr="00806495">
        <w:rPr>
          <w:rFonts w:ascii="Garamond" w:hAnsi="Garamond" w:cs="Arial"/>
          <w:lang w:val="pt-PT"/>
        </w:rPr>
        <w:t>Ativo</w:t>
      </w:r>
      <w:proofErr w:type="spellEnd"/>
      <w:r w:rsidRPr="00806495">
        <w:rPr>
          <w:rFonts w:ascii="Garamond" w:hAnsi="Garamond" w:cs="Arial"/>
          <w:lang w:val="pt-PT"/>
        </w:rPr>
        <w:t xml:space="preserve"> e de Saúde do Idoso (</w:t>
      </w:r>
      <w:proofErr w:type="spellStart"/>
      <w:r w:rsidRPr="00806495">
        <w:rPr>
          <w:rFonts w:ascii="Garamond" w:hAnsi="Garamond" w:cs="Arial"/>
          <w:lang w:val="pt-PT"/>
        </w:rPr>
        <w:t>PENEASI</w:t>
      </w:r>
      <w:proofErr w:type="spellEnd"/>
      <w:r w:rsidRPr="00806495">
        <w:rPr>
          <w:rFonts w:ascii="Garamond" w:hAnsi="Garamond" w:cs="Arial"/>
          <w:lang w:val="pt-PT"/>
        </w:rPr>
        <w:t xml:space="preserve"> 2017-2021), que identifica questões de género (população idosa maioritariamente feminina, acesso limitado das mulheres idosas ao sistema de </w:t>
      </w:r>
      <w:proofErr w:type="spellStart"/>
      <w:r w:rsidRPr="00806495">
        <w:rPr>
          <w:rFonts w:ascii="Garamond" w:hAnsi="Garamond" w:cs="Arial"/>
          <w:lang w:val="pt-PT"/>
        </w:rPr>
        <w:t>proteção</w:t>
      </w:r>
      <w:proofErr w:type="spellEnd"/>
      <w:r w:rsidRPr="00806495">
        <w:rPr>
          <w:rFonts w:ascii="Garamond" w:hAnsi="Garamond" w:cs="Arial"/>
          <w:lang w:val="pt-PT"/>
        </w:rPr>
        <w:t xml:space="preserve"> social contributivo, papel de cuidados atribuído socialmente às mulheres, etc.). Será assim importante reforçar as capacidades de género das equipas de implementação, em particular </w:t>
      </w:r>
      <w:r>
        <w:rPr>
          <w:rFonts w:ascii="Garamond" w:hAnsi="Garamond" w:cs="Arial"/>
          <w:lang w:val="pt-PT"/>
        </w:rPr>
        <w:t>de quem trabalha n</w:t>
      </w:r>
      <w:r w:rsidRPr="00806495">
        <w:rPr>
          <w:rFonts w:ascii="Garamond" w:hAnsi="Garamond" w:cs="Arial"/>
          <w:lang w:val="pt-PT"/>
        </w:rPr>
        <w:t xml:space="preserve">as vertentes de trabalho em rede e multidisciplinar, promoção da saúde e envelhecimento </w:t>
      </w:r>
      <w:proofErr w:type="spellStart"/>
      <w:r w:rsidRPr="00806495">
        <w:rPr>
          <w:rFonts w:ascii="Garamond" w:hAnsi="Garamond" w:cs="Arial"/>
          <w:lang w:val="pt-PT"/>
        </w:rPr>
        <w:t>ativo</w:t>
      </w:r>
      <w:proofErr w:type="spellEnd"/>
      <w:r w:rsidRPr="00806495">
        <w:rPr>
          <w:rFonts w:ascii="Garamond" w:hAnsi="Garamond" w:cs="Arial"/>
          <w:lang w:val="pt-PT"/>
        </w:rPr>
        <w:t xml:space="preserve">, apoio à família, entre outros.      </w:t>
      </w:r>
    </w:p>
    <w:p w14:paraId="3444C51A" w14:textId="3BFC77D5" w:rsidR="000B1496" w:rsidRPr="00806495" w:rsidRDefault="000B1496" w:rsidP="000B1496">
      <w:pPr>
        <w:jc w:val="both"/>
        <w:rPr>
          <w:rFonts w:ascii="Garamond" w:hAnsi="Garamond"/>
          <w:lang w:val="pt-PT"/>
        </w:rPr>
      </w:pPr>
      <w:r w:rsidRPr="00806495">
        <w:rPr>
          <w:rFonts w:ascii="Garamond" w:hAnsi="Garamond"/>
          <w:lang w:val="pt-PT"/>
        </w:rPr>
        <w:t>De 2005 a 2018, verifica-se uma evolução positiva nos indicadores de cobertura de vários serviços chave associados ao programa de saúde reprodutiva,</w:t>
      </w:r>
      <w:r w:rsidRPr="00806495">
        <w:rPr>
          <w:rStyle w:val="Refdenotaderodap"/>
          <w:rFonts w:ascii="Garamond" w:hAnsi="Garamond"/>
        </w:rPr>
        <w:footnoteReference w:id="105"/>
      </w:r>
      <w:r w:rsidRPr="00806495">
        <w:rPr>
          <w:rFonts w:ascii="Garamond" w:hAnsi="Garamond"/>
          <w:lang w:val="pt-PT"/>
        </w:rPr>
        <w:t xml:space="preserve"> contudo, a taxa de utilização de </w:t>
      </w:r>
      <w:proofErr w:type="spellStart"/>
      <w:r w:rsidRPr="00806495">
        <w:rPr>
          <w:rFonts w:ascii="Garamond" w:hAnsi="Garamond"/>
          <w:lang w:val="pt-PT"/>
        </w:rPr>
        <w:t>contraceção</w:t>
      </w:r>
      <w:proofErr w:type="spellEnd"/>
      <w:r w:rsidRPr="00806495">
        <w:rPr>
          <w:rFonts w:ascii="Garamond" w:hAnsi="Garamond"/>
          <w:lang w:val="pt-PT"/>
        </w:rPr>
        <w:t xml:space="preserve"> moderna entre as mulheres em união diminuiu de 57,1% para 54,6% (sobretudo no caso da laqueação, ao mesmo tempo que diminuiu a utilização de métodos tradicionais), tendo a taxa sido de 51% entre as mulheres não unidas. Os dados provisórios do </w:t>
      </w:r>
      <w:proofErr w:type="spellStart"/>
      <w:r w:rsidRPr="00806495">
        <w:rPr>
          <w:rFonts w:ascii="Garamond" w:hAnsi="Garamond"/>
          <w:lang w:val="pt-PT"/>
        </w:rPr>
        <w:t>IDSR</w:t>
      </w:r>
      <w:proofErr w:type="spellEnd"/>
      <w:r w:rsidRPr="00806495">
        <w:rPr>
          <w:rFonts w:ascii="Garamond" w:hAnsi="Garamond"/>
          <w:lang w:val="pt-PT"/>
        </w:rPr>
        <w:t xml:space="preserve"> III (2018) mostram, por outro lado, que a tendência para a diminuição da fecundidade em Cabo Verde se mantem, em particular no meio rural: o índice sintético de fecundidade passou de 2,9 para 2,5 crianças, em média, por mulher, entre 2005 e 2018 (3,1 para 2,6 no meio rural e de 2,7 para 2,4 no meio urbano). Em 2018, 12% das adolescentes de 15-19 anos de idade já tinham tido, </w:t>
      </w:r>
      <w:proofErr w:type="spellStart"/>
      <w:r w:rsidRPr="00806495">
        <w:rPr>
          <w:rFonts w:ascii="Garamond" w:hAnsi="Garamond"/>
          <w:lang w:val="pt-PT"/>
        </w:rPr>
        <w:t>pelo</w:t>
      </w:r>
      <w:proofErr w:type="spellEnd"/>
      <w:r w:rsidRPr="00806495">
        <w:rPr>
          <w:rFonts w:ascii="Garamond" w:hAnsi="Garamond"/>
          <w:lang w:val="pt-PT"/>
        </w:rPr>
        <w:t xml:space="preserve"> menos, um filho (nado-vivo), contra 15,2% em 2005. Apesar dos progressos, mais de 1 em cada 10 adolescentes desta faixa etária em Cabo Verde já é mãe. Para além disso, aumentou a proporção de adolescentes jovens que já são mães: 5,6% das adolescentes de 15 anos já têm </w:t>
      </w:r>
      <w:proofErr w:type="spellStart"/>
      <w:r w:rsidRPr="00806495">
        <w:rPr>
          <w:rFonts w:ascii="Garamond" w:hAnsi="Garamond"/>
          <w:lang w:val="pt-PT"/>
        </w:rPr>
        <w:t>pelo</w:t>
      </w:r>
      <w:proofErr w:type="spellEnd"/>
      <w:r w:rsidRPr="00806495">
        <w:rPr>
          <w:rFonts w:ascii="Garamond" w:hAnsi="Garamond"/>
          <w:lang w:val="pt-PT"/>
        </w:rPr>
        <w:t xml:space="preserve"> menos um filho, comparado com 1,9% em 2005, ou seja, quase o triplo. Nos serviços de saúde, nas consultas pré-natais, a proporção de grávidas adolescentes atendidas não diminuiu ao longo do tempo (2014-2017): a proporção das que têm menos de 19 anos foi de 17,8% do total das grávidas em 2017 (menos 0,4 pontos percentuais do que em 2014) e para as adolescentes mais jovens (menores de 17 anos) manteve-se em 4%, o que em números absolutos significa que em 2017, das 10.154 grávidas atendidas nos serviços de saúde, 51 têm 10-14 anos (0,5%), 405 têm 15-16 anos (4%) e 1.354 têm 17-19 anos (13,3%).</w:t>
      </w:r>
      <w:r w:rsidRPr="00806495">
        <w:rPr>
          <w:rStyle w:val="Refdenotaderodap"/>
          <w:rFonts w:ascii="Garamond" w:hAnsi="Garamond"/>
        </w:rPr>
        <w:footnoteReference w:id="106"/>
      </w:r>
      <w:r w:rsidRPr="00806495">
        <w:rPr>
          <w:rFonts w:ascii="Garamond" w:hAnsi="Garamond"/>
          <w:lang w:val="pt-PT"/>
        </w:rPr>
        <w:t xml:space="preserve"> Como referido no Eixo 3 </w:t>
      </w:r>
      <w:r w:rsidRPr="0037358C">
        <w:rPr>
          <w:rFonts w:ascii="Garamond" w:hAnsi="Garamond"/>
          <w:i/>
          <w:iCs/>
          <w:lang w:val="pt-PT"/>
        </w:rPr>
        <w:t>– Educação e Formação Profissional</w:t>
      </w:r>
      <w:r w:rsidRPr="00806495">
        <w:rPr>
          <w:rFonts w:ascii="Garamond" w:hAnsi="Garamond"/>
          <w:lang w:val="pt-PT"/>
        </w:rPr>
        <w:t xml:space="preserve">, os dados do </w:t>
      </w:r>
      <w:proofErr w:type="spellStart"/>
      <w:r w:rsidR="00FE1548">
        <w:rPr>
          <w:rFonts w:ascii="Garamond" w:hAnsi="Garamond"/>
          <w:lang w:val="pt-PT"/>
        </w:rPr>
        <w:t>RGPH</w:t>
      </w:r>
      <w:proofErr w:type="spellEnd"/>
      <w:r w:rsidRPr="00806495">
        <w:rPr>
          <w:rFonts w:ascii="Garamond" w:hAnsi="Garamond"/>
          <w:lang w:val="pt-PT"/>
        </w:rPr>
        <w:t xml:space="preserve"> 2010 mostram que das 868 adolescentes dos 15 aos 17 anos que já são mães, 242 frequentam a escola, mas um número ainda maior – 626, encontra-se fora da escola. O recurso ao aborto inseguro é uma realidade, nas várias idades, tendo em conta o acesso difícil à </w:t>
      </w:r>
      <w:proofErr w:type="spellStart"/>
      <w:r w:rsidRPr="00806495">
        <w:rPr>
          <w:rFonts w:ascii="Garamond" w:hAnsi="Garamond"/>
          <w:lang w:val="pt-PT"/>
        </w:rPr>
        <w:t>IVG</w:t>
      </w:r>
      <w:proofErr w:type="spellEnd"/>
      <w:r w:rsidRPr="00806495">
        <w:rPr>
          <w:rFonts w:ascii="Garamond" w:hAnsi="Garamond"/>
          <w:lang w:val="pt-PT"/>
        </w:rPr>
        <w:t xml:space="preserve"> legal, sobretudo em camadas sociais menos empoderadas e economicamente vulneráveis. A análise da situação Plano de </w:t>
      </w:r>
      <w:proofErr w:type="spellStart"/>
      <w:r w:rsidRPr="00806495">
        <w:rPr>
          <w:rFonts w:ascii="Garamond" w:hAnsi="Garamond"/>
          <w:lang w:val="pt-PT"/>
        </w:rPr>
        <w:t>Ação</w:t>
      </w:r>
      <w:proofErr w:type="spellEnd"/>
      <w:r>
        <w:rPr>
          <w:rFonts w:ascii="Garamond" w:hAnsi="Garamond"/>
          <w:lang w:val="pt-PT"/>
        </w:rPr>
        <w:t xml:space="preserve"> </w:t>
      </w:r>
      <w:r w:rsidRPr="00806495">
        <w:rPr>
          <w:rFonts w:ascii="Garamond" w:hAnsi="Garamond"/>
          <w:lang w:val="pt-PT"/>
        </w:rPr>
        <w:t>(</w:t>
      </w:r>
      <w:proofErr w:type="spellStart"/>
      <w:r w:rsidRPr="00806495">
        <w:rPr>
          <w:rFonts w:ascii="Garamond" w:hAnsi="Garamond"/>
          <w:lang w:val="pt-PT"/>
        </w:rPr>
        <w:t>PNSA</w:t>
      </w:r>
      <w:proofErr w:type="spellEnd"/>
      <w:r w:rsidRPr="00806495">
        <w:rPr>
          <w:rFonts w:ascii="Garamond" w:hAnsi="Garamond"/>
          <w:lang w:val="pt-PT"/>
        </w:rPr>
        <w:t xml:space="preserve"> 2018-2020), desenvolvido no quadro do Programa Nacional de Saúde Adolescente (2018-2022), destaca ainda, entre outros aspectos, que a vida dos adolescentes é marcada por deficiente supervisão parental, ausência de modelos parentais masculinos positivos, casos de abandono/</w:t>
      </w:r>
      <w:r>
        <w:rPr>
          <w:rFonts w:ascii="Garamond" w:hAnsi="Garamond"/>
          <w:lang w:val="pt-PT"/>
        </w:rPr>
        <w:t xml:space="preserve"> </w:t>
      </w:r>
      <w:r w:rsidRPr="00806495">
        <w:rPr>
          <w:rFonts w:ascii="Garamond" w:hAnsi="Garamond"/>
          <w:lang w:val="pt-PT"/>
        </w:rPr>
        <w:t>negligência parental, relações familiares entre adolescentes e pais/mães desarmoniosas e que levam à autonomização precoce. Um estudo com alunos do ensino secundário mostra que a maioria dos adolescentes considera ser fácil comunicar com a mãe, mas menos de metade considera ser fácil comunicar com o pai.</w:t>
      </w:r>
      <w:r w:rsidRPr="00806495">
        <w:rPr>
          <w:rStyle w:val="Refdenotaderodap"/>
          <w:rFonts w:ascii="Garamond" w:hAnsi="Garamond"/>
        </w:rPr>
        <w:footnoteReference w:id="107"/>
      </w:r>
    </w:p>
    <w:p w14:paraId="4D4A5108"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Tendo em conta o acima exposto, será importante fazer uma análise detalhada do acesso a métodos contraceptivos, em particular por faixa etária, zonas de residência, nível de conforto, entre outros, para informar decisões.</w:t>
      </w:r>
    </w:p>
    <w:p w14:paraId="371390E6"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 xml:space="preserve">As estratégias de educação para os direitos sexuais e reprodutivos passam necessariamente </w:t>
      </w:r>
      <w:proofErr w:type="spellStart"/>
      <w:r w:rsidRPr="00806495">
        <w:rPr>
          <w:rFonts w:ascii="Garamond" w:hAnsi="Garamond"/>
          <w:lang w:val="pt-PT"/>
        </w:rPr>
        <w:t>pela</w:t>
      </w:r>
      <w:proofErr w:type="spellEnd"/>
      <w:r w:rsidRPr="00806495">
        <w:rPr>
          <w:rFonts w:ascii="Garamond" w:hAnsi="Garamond"/>
          <w:lang w:val="pt-PT"/>
        </w:rPr>
        <w:t xml:space="preserve"> parceria com o </w:t>
      </w:r>
      <w:proofErr w:type="spellStart"/>
      <w:r w:rsidRPr="00806495">
        <w:rPr>
          <w:rFonts w:ascii="Garamond" w:hAnsi="Garamond"/>
          <w:lang w:val="pt-PT"/>
        </w:rPr>
        <w:t>setor</w:t>
      </w:r>
      <w:proofErr w:type="spellEnd"/>
      <w:r w:rsidRPr="00806495">
        <w:rPr>
          <w:rFonts w:ascii="Garamond" w:hAnsi="Garamond"/>
          <w:lang w:val="pt-PT"/>
        </w:rPr>
        <w:t xml:space="preserve"> da educação, já que crianças e adolescentes estão na sua larga maioria na escola. Como referido no Eixo anterior, estão sendo desenvolvidos cenários para a educação sexual no ensino básico e secundário, cuja abordagem deverá ser baseada nos direitos humanos e sensível ao género.</w:t>
      </w:r>
    </w:p>
    <w:p w14:paraId="04AA9E1A"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 xml:space="preserve">Contudo, há que reforçar as estratégias informativas e educativas noutros contextos, inclusivamente para chegar às adolescentes e aos adolescentes fora da escola. A metodologia de educação de pares tem-se mostrado eficaz para trabalhar os </w:t>
      </w:r>
      <w:proofErr w:type="spellStart"/>
      <w:r w:rsidRPr="00806495">
        <w:rPr>
          <w:rFonts w:ascii="Garamond" w:hAnsi="Garamond"/>
          <w:lang w:val="pt-PT"/>
        </w:rPr>
        <w:t>DSSR</w:t>
      </w:r>
      <w:proofErr w:type="spellEnd"/>
      <w:r w:rsidRPr="00806495">
        <w:rPr>
          <w:rFonts w:ascii="Garamond" w:hAnsi="Garamond"/>
          <w:lang w:val="pt-PT"/>
        </w:rPr>
        <w:t xml:space="preserve"> na população jovem,</w:t>
      </w:r>
      <w:r w:rsidRPr="00806495">
        <w:rPr>
          <w:rStyle w:val="Refdenotaderodap"/>
          <w:rFonts w:ascii="Garamond" w:hAnsi="Garamond"/>
        </w:rPr>
        <w:footnoteReference w:id="108"/>
      </w:r>
      <w:r w:rsidRPr="00806495">
        <w:rPr>
          <w:rFonts w:ascii="Garamond" w:hAnsi="Garamond"/>
          <w:lang w:val="pt-PT"/>
        </w:rPr>
        <w:t xml:space="preserve"> </w:t>
      </w:r>
      <w:proofErr w:type="spellStart"/>
      <w:r w:rsidRPr="00806495">
        <w:rPr>
          <w:rFonts w:ascii="Garamond" w:hAnsi="Garamond"/>
          <w:lang w:val="pt-PT"/>
        </w:rPr>
        <w:t>pelo</w:t>
      </w:r>
      <w:proofErr w:type="spellEnd"/>
      <w:r w:rsidRPr="00806495">
        <w:rPr>
          <w:rFonts w:ascii="Garamond" w:hAnsi="Garamond"/>
          <w:lang w:val="pt-PT"/>
        </w:rPr>
        <w:t xml:space="preserve"> que deverá ser reforçada e estendida aos adolescentes e jovens não escolarizados, em parceria com as </w:t>
      </w:r>
      <w:proofErr w:type="spellStart"/>
      <w:r w:rsidRPr="00806495">
        <w:rPr>
          <w:rFonts w:ascii="Garamond" w:hAnsi="Garamond"/>
          <w:lang w:val="pt-PT"/>
        </w:rPr>
        <w:t>OSC</w:t>
      </w:r>
      <w:proofErr w:type="spellEnd"/>
      <w:r w:rsidRPr="00806495">
        <w:rPr>
          <w:rFonts w:ascii="Garamond" w:hAnsi="Garamond"/>
          <w:lang w:val="pt-PT"/>
        </w:rPr>
        <w:t>, reforçando as capacidades de implementação destas iniciativas e o seu seguimento numa perspectiva de género.</w:t>
      </w:r>
    </w:p>
    <w:p w14:paraId="207FF70E"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Vêm sendo estabelecidos espaços específicos para os/as adolescentes em alguns Centros de Saúde do país, concebidos como Estruturas de Saúde Amigas dos Adolescentes (</w:t>
      </w:r>
      <w:proofErr w:type="spellStart"/>
      <w:r w:rsidRPr="00806495">
        <w:rPr>
          <w:rFonts w:ascii="Garamond" w:hAnsi="Garamond"/>
          <w:lang w:val="pt-PT"/>
        </w:rPr>
        <w:t>ESAD</w:t>
      </w:r>
      <w:proofErr w:type="spellEnd"/>
      <w:r w:rsidRPr="00806495">
        <w:rPr>
          <w:rFonts w:ascii="Garamond" w:hAnsi="Garamond"/>
          <w:lang w:val="pt-PT"/>
        </w:rPr>
        <w:t xml:space="preserve">). Prestam serviços além da </w:t>
      </w:r>
      <w:proofErr w:type="spellStart"/>
      <w:r w:rsidRPr="00806495">
        <w:rPr>
          <w:rFonts w:ascii="Garamond" w:hAnsi="Garamond"/>
          <w:lang w:val="pt-PT"/>
        </w:rPr>
        <w:t>SSR</w:t>
      </w:r>
      <w:proofErr w:type="spellEnd"/>
      <w:r w:rsidRPr="00806495">
        <w:rPr>
          <w:rFonts w:ascii="Garamond" w:hAnsi="Garamond"/>
          <w:lang w:val="pt-PT"/>
        </w:rPr>
        <w:t xml:space="preserve">, incluindo a saúde mental, educação nutricional, entre outros aspectos, numa lógica de atendimento multidisciplinar, com enfoque na promoção da saúde e de estilos de vida saudáveis. Prevê-se o alargamento dos </w:t>
      </w:r>
      <w:proofErr w:type="spellStart"/>
      <w:r w:rsidRPr="00806495">
        <w:rPr>
          <w:rFonts w:ascii="Garamond" w:hAnsi="Garamond"/>
          <w:lang w:val="pt-PT"/>
        </w:rPr>
        <w:t>ESAD</w:t>
      </w:r>
      <w:proofErr w:type="spellEnd"/>
      <w:r w:rsidRPr="00806495">
        <w:rPr>
          <w:rFonts w:ascii="Garamond" w:hAnsi="Garamond"/>
          <w:lang w:val="pt-PT"/>
        </w:rPr>
        <w:t xml:space="preserve"> aos restantes Centros de Saúde. Será importante consolidar as parcerias com </w:t>
      </w:r>
      <w:proofErr w:type="spellStart"/>
      <w:r w:rsidRPr="00806495">
        <w:rPr>
          <w:rFonts w:ascii="Garamond" w:hAnsi="Garamond"/>
          <w:lang w:val="pt-PT"/>
        </w:rPr>
        <w:t>atores</w:t>
      </w:r>
      <w:proofErr w:type="spellEnd"/>
      <w:r w:rsidRPr="00806495">
        <w:rPr>
          <w:rFonts w:ascii="Garamond" w:hAnsi="Garamond"/>
          <w:lang w:val="pt-PT"/>
        </w:rPr>
        <w:t xml:space="preserve"> locais, incluindo da sociedade civil, reforçando a sua rede e capacidades para divulgar os serviços nas comunidades; deverá ser formada uma equipa de facilitadores locais (estipulando o perfil de partida), capazes de abordar conteúdos relevantes para os/as adolescentes e desenvolver as competências pessoais e sociais do seu público alvo, mediante metodologias como rodas de conversa, grupos de adolescentes do sexo feminino e masculino, etc..</w:t>
      </w:r>
    </w:p>
    <w:p w14:paraId="6835A2FC"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 xml:space="preserve">Está previsto o estabelecimento de um mecanismo de certificação das </w:t>
      </w:r>
      <w:proofErr w:type="spellStart"/>
      <w:r w:rsidRPr="00806495">
        <w:rPr>
          <w:rFonts w:ascii="Garamond" w:hAnsi="Garamond"/>
          <w:lang w:val="pt-PT"/>
        </w:rPr>
        <w:t>ESAD</w:t>
      </w:r>
      <w:proofErr w:type="spellEnd"/>
      <w:r w:rsidRPr="00806495">
        <w:rPr>
          <w:rFonts w:ascii="Garamond" w:hAnsi="Garamond"/>
          <w:lang w:val="pt-PT"/>
        </w:rPr>
        <w:t xml:space="preserve">, que deverá ter em conta critérios de género e as capacidades das </w:t>
      </w:r>
      <w:proofErr w:type="spellStart"/>
      <w:r w:rsidRPr="00806495">
        <w:rPr>
          <w:rFonts w:ascii="Garamond" w:hAnsi="Garamond"/>
          <w:lang w:val="pt-PT"/>
        </w:rPr>
        <w:t>ESAD</w:t>
      </w:r>
      <w:proofErr w:type="spellEnd"/>
      <w:r w:rsidRPr="00806495">
        <w:rPr>
          <w:rFonts w:ascii="Garamond" w:hAnsi="Garamond"/>
          <w:lang w:val="pt-PT"/>
        </w:rPr>
        <w:t xml:space="preserve"> para intervir nas questões de género que </w:t>
      </w:r>
      <w:proofErr w:type="spellStart"/>
      <w:r w:rsidRPr="00806495">
        <w:rPr>
          <w:rFonts w:ascii="Garamond" w:hAnsi="Garamond"/>
          <w:lang w:val="pt-PT"/>
        </w:rPr>
        <w:t>afetam</w:t>
      </w:r>
      <w:proofErr w:type="spellEnd"/>
      <w:r w:rsidRPr="00806495">
        <w:rPr>
          <w:rFonts w:ascii="Garamond" w:hAnsi="Garamond"/>
          <w:lang w:val="pt-PT"/>
        </w:rPr>
        <w:t xml:space="preserve"> adolescentes do sexo feminino e masculino, discutir questões de masculinidades do ponto de vista dos </w:t>
      </w:r>
      <w:proofErr w:type="spellStart"/>
      <w:r w:rsidRPr="00806495">
        <w:rPr>
          <w:rFonts w:ascii="Garamond" w:hAnsi="Garamond"/>
          <w:lang w:val="pt-PT"/>
        </w:rPr>
        <w:t>DSSR</w:t>
      </w:r>
      <w:proofErr w:type="spellEnd"/>
      <w:r w:rsidRPr="00806495">
        <w:rPr>
          <w:rFonts w:ascii="Garamond" w:hAnsi="Garamond"/>
          <w:lang w:val="pt-PT"/>
        </w:rPr>
        <w:t xml:space="preserve">, paternidade e saúde em geral, e mobilizar os diferentes grupos alvo masculinos e femininos. </w:t>
      </w:r>
    </w:p>
    <w:p w14:paraId="6CBA81A6" w14:textId="38BE251A"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 xml:space="preserve">Tendo em conta a importância da promoção da saúde, o </w:t>
      </w:r>
      <w:proofErr w:type="spellStart"/>
      <w:r w:rsidRPr="00806495">
        <w:rPr>
          <w:rFonts w:ascii="Garamond" w:hAnsi="Garamond"/>
          <w:lang w:val="pt-PT"/>
        </w:rPr>
        <w:t>PNSA</w:t>
      </w:r>
      <w:proofErr w:type="spellEnd"/>
      <w:r w:rsidRPr="00806495">
        <w:rPr>
          <w:rFonts w:ascii="Garamond" w:hAnsi="Garamond"/>
          <w:lang w:val="pt-PT"/>
        </w:rPr>
        <w:t xml:space="preserve"> (2018-2020) também prevê o reforço de capacidades do(a)s profissionais da saúde para implementa</w:t>
      </w:r>
      <w:r w:rsidR="001668B7">
        <w:rPr>
          <w:rFonts w:ascii="Garamond" w:hAnsi="Garamond"/>
          <w:lang w:val="pt-PT"/>
        </w:rPr>
        <w:t>r</w:t>
      </w:r>
      <w:r w:rsidRPr="00806495">
        <w:rPr>
          <w:rFonts w:ascii="Garamond" w:hAnsi="Garamond"/>
          <w:lang w:val="pt-PT"/>
        </w:rPr>
        <w:t xml:space="preserve"> programas de educação para a saúde com adolescentes</w:t>
      </w:r>
      <w:r w:rsidR="001668B7">
        <w:rPr>
          <w:rFonts w:ascii="Garamond" w:hAnsi="Garamond"/>
          <w:lang w:val="pt-PT"/>
        </w:rPr>
        <w:t xml:space="preserve"> (</w:t>
      </w:r>
      <w:r w:rsidRPr="00806495">
        <w:rPr>
          <w:rFonts w:ascii="Garamond" w:hAnsi="Garamond"/>
          <w:lang w:val="pt-PT"/>
        </w:rPr>
        <w:t xml:space="preserve">contexto escolar </w:t>
      </w:r>
      <w:r w:rsidR="001668B7">
        <w:rPr>
          <w:rFonts w:ascii="Garamond" w:hAnsi="Garamond"/>
          <w:lang w:val="pt-PT"/>
        </w:rPr>
        <w:t>e</w:t>
      </w:r>
      <w:r w:rsidRPr="00806495">
        <w:rPr>
          <w:rFonts w:ascii="Garamond" w:hAnsi="Garamond"/>
          <w:lang w:val="pt-PT"/>
        </w:rPr>
        <w:t xml:space="preserve"> comunitário</w:t>
      </w:r>
      <w:r w:rsidR="001668B7">
        <w:rPr>
          <w:rFonts w:ascii="Garamond" w:hAnsi="Garamond"/>
          <w:lang w:val="pt-PT"/>
        </w:rPr>
        <w:t>)</w:t>
      </w:r>
      <w:r w:rsidRPr="00806495">
        <w:rPr>
          <w:rFonts w:ascii="Garamond" w:hAnsi="Garamond"/>
          <w:lang w:val="pt-PT"/>
        </w:rPr>
        <w:t xml:space="preserve">. O desenho da abordagem, materiais e módulos </w:t>
      </w:r>
      <w:r w:rsidR="001668B7">
        <w:rPr>
          <w:rFonts w:ascii="Garamond" w:hAnsi="Garamond"/>
          <w:lang w:val="pt-PT"/>
        </w:rPr>
        <w:t xml:space="preserve">de formação </w:t>
      </w:r>
      <w:r w:rsidRPr="00806495">
        <w:rPr>
          <w:rFonts w:ascii="Garamond" w:hAnsi="Garamond"/>
          <w:lang w:val="pt-PT"/>
        </w:rPr>
        <w:t>deve</w:t>
      </w:r>
      <w:r w:rsidR="001668B7">
        <w:rPr>
          <w:rFonts w:ascii="Garamond" w:hAnsi="Garamond"/>
          <w:lang w:val="pt-PT"/>
        </w:rPr>
        <w:t xml:space="preserve">m integrar </w:t>
      </w:r>
      <w:r w:rsidRPr="00806495">
        <w:rPr>
          <w:rFonts w:ascii="Garamond" w:hAnsi="Garamond"/>
          <w:lang w:val="pt-PT"/>
        </w:rPr>
        <w:t>as questões de género.</w:t>
      </w:r>
    </w:p>
    <w:p w14:paraId="4A0CB0EB"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 xml:space="preserve">Será importante estabelecer um grupo de trabalho a nível do </w:t>
      </w:r>
      <w:proofErr w:type="spellStart"/>
      <w:r w:rsidRPr="00806495">
        <w:rPr>
          <w:rFonts w:ascii="Garamond" w:hAnsi="Garamond"/>
          <w:lang w:val="pt-PT"/>
        </w:rPr>
        <w:t>PNSR</w:t>
      </w:r>
      <w:proofErr w:type="spellEnd"/>
      <w:r w:rsidRPr="00806495">
        <w:rPr>
          <w:rFonts w:ascii="Garamond" w:hAnsi="Garamond"/>
          <w:lang w:val="pt-PT"/>
        </w:rPr>
        <w:t xml:space="preserve"> para delinear medidas que permitam assegurar a melhoria dos serviços de </w:t>
      </w:r>
      <w:proofErr w:type="spellStart"/>
      <w:r w:rsidRPr="00806495">
        <w:rPr>
          <w:rFonts w:ascii="Garamond" w:hAnsi="Garamond"/>
          <w:lang w:val="pt-PT"/>
        </w:rPr>
        <w:t>IVG</w:t>
      </w:r>
      <w:proofErr w:type="spellEnd"/>
      <w:r w:rsidRPr="00806495">
        <w:rPr>
          <w:rFonts w:ascii="Garamond" w:hAnsi="Garamond"/>
          <w:lang w:val="pt-PT"/>
        </w:rPr>
        <w:t>, para evitar a realização de aborto em condições de risco, e as suas consequências.</w:t>
      </w:r>
    </w:p>
    <w:p w14:paraId="63EC0BB3" w14:textId="77777777" w:rsidR="000B1496" w:rsidRPr="00806495" w:rsidRDefault="000B1496" w:rsidP="00786DEC">
      <w:pPr>
        <w:pStyle w:val="PargrafodaLista"/>
        <w:numPr>
          <w:ilvl w:val="0"/>
          <w:numId w:val="40"/>
        </w:numPr>
        <w:spacing w:after="240"/>
        <w:jc w:val="both"/>
        <w:rPr>
          <w:rFonts w:ascii="Garamond" w:hAnsi="Garamond"/>
          <w:lang w:val="pt-PT"/>
        </w:rPr>
      </w:pPr>
      <w:r w:rsidRPr="00806495">
        <w:rPr>
          <w:rFonts w:ascii="Garamond" w:hAnsi="Garamond"/>
          <w:lang w:val="pt-PT"/>
        </w:rPr>
        <w:t>Por último, está previsto o desenho de um programa de promoção da responsabilidade parental, mediante metodologia de atendimento integral aos pais, desde a gravidez, que deverá integrar uma abordagem de género.</w:t>
      </w:r>
    </w:p>
    <w:p w14:paraId="7189B42E" w14:textId="77777777" w:rsidR="000B1496" w:rsidRPr="00806495" w:rsidRDefault="000B1496" w:rsidP="000B1496">
      <w:pPr>
        <w:jc w:val="both"/>
        <w:rPr>
          <w:rFonts w:ascii="Garamond" w:hAnsi="Garamond"/>
          <w:lang w:val="pt-PT"/>
        </w:rPr>
      </w:pPr>
      <w:r w:rsidRPr="00806495">
        <w:rPr>
          <w:rFonts w:ascii="Garamond" w:hAnsi="Garamond"/>
          <w:lang w:val="pt-PT"/>
        </w:rPr>
        <w:t>Relativamente às taxas de sero prevalência do VIH no país, mostram as seguintes evoluções:</w:t>
      </w:r>
    </w:p>
    <w:p w14:paraId="4AD246F7"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 xml:space="preserve">A taxa diminui na </w:t>
      </w:r>
      <w:r w:rsidRPr="00806495">
        <w:rPr>
          <w:rFonts w:ascii="Garamond" w:hAnsi="Garamond"/>
          <w:b/>
          <w:bCs/>
          <w:lang w:val="pt-PT"/>
        </w:rPr>
        <w:t>população em geral</w:t>
      </w:r>
      <w:r w:rsidRPr="00806495">
        <w:rPr>
          <w:rFonts w:ascii="Garamond" w:hAnsi="Garamond"/>
          <w:lang w:val="pt-PT"/>
        </w:rPr>
        <w:t xml:space="preserve"> de 0,8% para 0,6% (2005 a 2018)</w:t>
      </w:r>
      <w:r w:rsidRPr="00806495">
        <w:rPr>
          <w:rStyle w:val="Refdenotaderodap"/>
          <w:rFonts w:ascii="Garamond" w:hAnsi="Garamond"/>
        </w:rPr>
        <w:footnoteReference w:id="109"/>
      </w:r>
    </w:p>
    <w:p w14:paraId="7FF94E1D"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Contudo apenas entre os homens de 1,1% para 0,4%</w:t>
      </w:r>
    </w:p>
    <w:p w14:paraId="1A36AD51"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A taxa entre as mulheres aumentou de 0,4% para 0,7%</w:t>
      </w:r>
    </w:p>
    <w:p w14:paraId="3EA3BCCA"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 xml:space="preserve">A taxa entre as </w:t>
      </w:r>
      <w:r w:rsidRPr="00806495">
        <w:rPr>
          <w:rFonts w:ascii="Garamond" w:hAnsi="Garamond"/>
          <w:b/>
          <w:bCs/>
          <w:lang w:val="pt-PT"/>
        </w:rPr>
        <w:t>trabalhadoras do sexo (TS)</w:t>
      </w:r>
      <w:r w:rsidRPr="00806495">
        <w:rPr>
          <w:rFonts w:ascii="Garamond" w:hAnsi="Garamond"/>
          <w:lang w:val="pt-PT"/>
        </w:rPr>
        <w:t xml:space="preserve"> foi de 4,6% em 2016, </w:t>
      </w:r>
      <w:r w:rsidRPr="00806495">
        <w:rPr>
          <w:rStyle w:val="Refdenotaderodap"/>
          <w:rFonts w:ascii="Garamond" w:hAnsi="Garamond"/>
        </w:rPr>
        <w:footnoteReference w:id="110"/>
      </w:r>
      <w:r w:rsidRPr="00806495">
        <w:rPr>
          <w:rFonts w:ascii="Garamond" w:hAnsi="Garamond"/>
          <w:lang w:val="pt-PT"/>
        </w:rPr>
        <w:t xml:space="preserve">3 pontos percentuais inferiores à identificada em 2013 </w:t>
      </w:r>
    </w:p>
    <w:p w14:paraId="2A8E6C59"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Menos de metade das TS vive exclusivamente do comércio do sexo (48%), proporção inferior à de 2013 (57%)</w:t>
      </w:r>
    </w:p>
    <w:p w14:paraId="34DF5971"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 xml:space="preserve">Menos de ¼ das TS recebe apoio social, sobretudo da </w:t>
      </w:r>
      <w:proofErr w:type="spellStart"/>
      <w:r w:rsidRPr="00806495">
        <w:rPr>
          <w:rFonts w:ascii="Garamond" w:hAnsi="Garamond"/>
          <w:lang w:val="pt-PT"/>
        </w:rPr>
        <w:t>VERDEFAM</w:t>
      </w:r>
      <w:proofErr w:type="spellEnd"/>
      <w:r w:rsidRPr="00806495">
        <w:rPr>
          <w:rFonts w:ascii="Garamond" w:hAnsi="Garamond"/>
          <w:lang w:val="pt-PT"/>
        </w:rPr>
        <w:t xml:space="preserve"> e da </w:t>
      </w:r>
      <w:proofErr w:type="spellStart"/>
      <w:r w:rsidRPr="00806495">
        <w:rPr>
          <w:rFonts w:ascii="Garamond" w:hAnsi="Garamond"/>
          <w:lang w:val="pt-PT"/>
        </w:rPr>
        <w:t>MORABI</w:t>
      </w:r>
      <w:proofErr w:type="spellEnd"/>
    </w:p>
    <w:p w14:paraId="777705FC"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O grupo das TS aumentou entre 2011 a 2016, de 1039 para 1655</w:t>
      </w:r>
    </w:p>
    <w:p w14:paraId="2C2D8EC2" w14:textId="1C42D03F"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 xml:space="preserve">A taxa entre os </w:t>
      </w:r>
      <w:r w:rsidRPr="00806495">
        <w:rPr>
          <w:rFonts w:ascii="Garamond" w:hAnsi="Garamond"/>
          <w:b/>
          <w:bCs/>
          <w:lang w:val="pt-PT"/>
        </w:rPr>
        <w:t>usuários de drogas (UD)</w:t>
      </w:r>
      <w:r w:rsidRPr="00806495">
        <w:rPr>
          <w:rFonts w:ascii="Garamond" w:hAnsi="Garamond"/>
          <w:lang w:val="pt-PT"/>
        </w:rPr>
        <w:t xml:space="preserve"> foi de 3,1% em 2016,</w:t>
      </w:r>
      <w:r w:rsidRPr="00806495">
        <w:rPr>
          <w:rStyle w:val="Refdenotaderodap"/>
          <w:rFonts w:ascii="Garamond" w:hAnsi="Garamond"/>
        </w:rPr>
        <w:footnoteReference w:id="111"/>
      </w:r>
      <w:r w:rsidRPr="00806495">
        <w:rPr>
          <w:rFonts w:ascii="Garamond" w:hAnsi="Garamond"/>
          <w:lang w:val="pt-PT"/>
        </w:rPr>
        <w:t xml:space="preserve"> inferior à de 2013 (3,9%)</w:t>
      </w:r>
    </w:p>
    <w:p w14:paraId="6ACA65D7"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A população de UD é estimada em 2.320 pessoas (2</w:t>
      </w:r>
      <w:r>
        <w:rPr>
          <w:rFonts w:ascii="Garamond" w:hAnsi="Garamond"/>
          <w:lang w:val="pt-PT"/>
        </w:rPr>
        <w:t>.</w:t>
      </w:r>
      <w:r w:rsidRPr="00806495">
        <w:rPr>
          <w:rFonts w:ascii="Garamond" w:hAnsi="Garamond"/>
          <w:lang w:val="pt-PT"/>
        </w:rPr>
        <w:t>216 em 2013)</w:t>
      </w:r>
    </w:p>
    <w:p w14:paraId="71B1E03D"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89,7% dos UD são do sexo masculino</w:t>
      </w:r>
    </w:p>
    <w:p w14:paraId="4FF47D2B" w14:textId="77777777" w:rsidR="000B1496" w:rsidRPr="00806495" w:rsidRDefault="000B1496" w:rsidP="00786DEC">
      <w:pPr>
        <w:pStyle w:val="PargrafodaLista"/>
        <w:numPr>
          <w:ilvl w:val="0"/>
          <w:numId w:val="41"/>
        </w:numPr>
        <w:spacing w:after="240"/>
        <w:jc w:val="both"/>
        <w:rPr>
          <w:rFonts w:ascii="Garamond" w:hAnsi="Garamond"/>
          <w:lang w:val="pt-PT"/>
        </w:rPr>
      </w:pPr>
      <w:r w:rsidRPr="00806495">
        <w:rPr>
          <w:rFonts w:ascii="Garamond" w:hAnsi="Garamond"/>
          <w:lang w:val="pt-PT"/>
        </w:rPr>
        <w:t xml:space="preserve">A taxa entre os </w:t>
      </w:r>
      <w:r w:rsidRPr="00806495">
        <w:rPr>
          <w:rFonts w:ascii="Garamond" w:hAnsi="Garamond"/>
          <w:b/>
          <w:bCs/>
          <w:lang w:val="pt-PT"/>
        </w:rPr>
        <w:t>homens que fazem sexo com homens (</w:t>
      </w:r>
      <w:proofErr w:type="spellStart"/>
      <w:r w:rsidRPr="00806495">
        <w:rPr>
          <w:rFonts w:ascii="Garamond" w:hAnsi="Garamond"/>
          <w:b/>
          <w:bCs/>
          <w:lang w:val="pt-PT"/>
        </w:rPr>
        <w:t>HSH</w:t>
      </w:r>
      <w:proofErr w:type="spellEnd"/>
      <w:r w:rsidRPr="00806495">
        <w:rPr>
          <w:rFonts w:ascii="Garamond" w:hAnsi="Garamond"/>
          <w:b/>
          <w:bCs/>
          <w:lang w:val="pt-PT"/>
        </w:rPr>
        <w:t>)</w:t>
      </w:r>
      <w:r w:rsidRPr="00806495">
        <w:rPr>
          <w:rFonts w:ascii="Garamond" w:hAnsi="Garamond"/>
          <w:lang w:val="pt-PT"/>
        </w:rPr>
        <w:t xml:space="preserve"> foi 6,1% em 2016,</w:t>
      </w:r>
      <w:r w:rsidRPr="00806495">
        <w:rPr>
          <w:rStyle w:val="Refdenotaderodap"/>
          <w:rFonts w:ascii="Garamond" w:hAnsi="Garamond"/>
        </w:rPr>
        <w:footnoteReference w:id="112"/>
      </w:r>
      <w:r w:rsidRPr="00806495">
        <w:rPr>
          <w:rFonts w:ascii="Garamond" w:hAnsi="Garamond"/>
          <w:lang w:val="pt-PT"/>
        </w:rPr>
        <w:t xml:space="preserve"> uma diminuição de 9 pontos percentuais em relação aos dados 2013.</w:t>
      </w:r>
    </w:p>
    <w:p w14:paraId="7172C1F2" w14:textId="77777777" w:rsidR="000B1496" w:rsidRPr="00806495" w:rsidRDefault="000B1496" w:rsidP="000B1496">
      <w:pPr>
        <w:jc w:val="both"/>
        <w:rPr>
          <w:rFonts w:ascii="Garamond" w:hAnsi="Garamond"/>
          <w:lang w:val="pt-PT"/>
        </w:rPr>
      </w:pPr>
      <w:r w:rsidRPr="00806495">
        <w:rPr>
          <w:rFonts w:ascii="Garamond" w:hAnsi="Garamond"/>
          <w:lang w:val="pt-PT"/>
        </w:rPr>
        <w:t>Relativamente à taxa de incidência do VIH (que representa os casos identificados versus casos existentes no país) em 2017:</w:t>
      </w:r>
    </w:p>
    <w:p w14:paraId="5A874D42"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 xml:space="preserve">435 novos casos por </w:t>
      </w:r>
      <w:proofErr w:type="spellStart"/>
      <w:r w:rsidRPr="00806495">
        <w:rPr>
          <w:rFonts w:ascii="Garamond" w:hAnsi="Garamond"/>
          <w:lang w:val="pt-PT"/>
        </w:rPr>
        <w:t>infeção</w:t>
      </w:r>
      <w:proofErr w:type="spellEnd"/>
      <w:r w:rsidRPr="00806495">
        <w:rPr>
          <w:rFonts w:ascii="Garamond" w:hAnsi="Garamond"/>
          <w:lang w:val="pt-PT"/>
        </w:rPr>
        <w:t xml:space="preserve"> do VIH notificados</w:t>
      </w:r>
    </w:p>
    <w:p w14:paraId="13ABCFFF"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213 mulheres e 222 homens</w:t>
      </w:r>
    </w:p>
    <w:p w14:paraId="41571625"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Nas faixas etárias dos 10-14, 15-19 e 20-24 anos há um número consideravelmente mais elevado de mulheres identificadas com VIH</w:t>
      </w:r>
      <w:r w:rsidRPr="00806495">
        <w:rPr>
          <w:rStyle w:val="Refdenotaderodap"/>
          <w:rFonts w:ascii="Garamond" w:hAnsi="Garamond"/>
        </w:rPr>
        <w:footnoteReference w:id="113"/>
      </w:r>
      <w:r w:rsidRPr="00806495">
        <w:rPr>
          <w:rFonts w:ascii="Garamond" w:hAnsi="Garamond"/>
          <w:lang w:val="pt-PT"/>
        </w:rPr>
        <w:t xml:space="preserve"> </w:t>
      </w:r>
    </w:p>
    <w:p w14:paraId="44F95F3C"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Também nas faixas etárias dos 25-29 e 30-34 anos, mas com menor amplitude</w:t>
      </w:r>
    </w:p>
    <w:p w14:paraId="2DC759D0"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A tendência só se inverte a partir dos 35 anos</w:t>
      </w:r>
    </w:p>
    <w:p w14:paraId="53CD524F"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Os homens tendem a ser identificados com VIH mais tarde</w:t>
      </w:r>
    </w:p>
    <w:p w14:paraId="06DB8110"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Mais homens são identificados com um quadro de SIDA do que as mulheres</w:t>
      </w:r>
    </w:p>
    <w:p w14:paraId="2DF2E68E"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93 novos casos de SIDA entre os homens versus 72 mulheres</w:t>
      </w:r>
    </w:p>
    <w:p w14:paraId="5A83A1B6" w14:textId="77777777" w:rsidR="000B1496" w:rsidRPr="00806495" w:rsidRDefault="000B1496" w:rsidP="00786DEC">
      <w:pPr>
        <w:pStyle w:val="PargrafodaLista"/>
        <w:numPr>
          <w:ilvl w:val="0"/>
          <w:numId w:val="44"/>
        </w:numPr>
        <w:jc w:val="both"/>
        <w:rPr>
          <w:rFonts w:ascii="Garamond" w:hAnsi="Garamond"/>
          <w:lang w:val="pt-PT"/>
        </w:rPr>
      </w:pPr>
      <w:r w:rsidRPr="00806495">
        <w:rPr>
          <w:rFonts w:ascii="Garamond" w:hAnsi="Garamond"/>
          <w:lang w:val="pt-PT"/>
        </w:rPr>
        <w:t>Existem mais óbitos de homens por VIH/SIDA (52 versus 36 mulheres)</w:t>
      </w:r>
    </w:p>
    <w:p w14:paraId="06DFB1F1" w14:textId="77777777" w:rsidR="000B1496" w:rsidRPr="00806495" w:rsidRDefault="000B1496" w:rsidP="000B1496">
      <w:pPr>
        <w:jc w:val="both"/>
        <w:rPr>
          <w:rFonts w:ascii="Garamond" w:hAnsi="Garamond"/>
          <w:lang w:val="pt-PT"/>
        </w:rPr>
      </w:pPr>
    </w:p>
    <w:p w14:paraId="4EBA1077" w14:textId="39CA90EA" w:rsidR="000B1496" w:rsidRPr="00806495" w:rsidRDefault="000B1496" w:rsidP="000B1496">
      <w:pPr>
        <w:jc w:val="both"/>
        <w:rPr>
          <w:rFonts w:ascii="Garamond" w:hAnsi="Garamond"/>
          <w:lang w:val="pt-PT"/>
        </w:rPr>
      </w:pPr>
      <w:r w:rsidRPr="00806495">
        <w:rPr>
          <w:rFonts w:ascii="Garamond" w:hAnsi="Garamond"/>
          <w:lang w:val="pt-PT"/>
        </w:rPr>
        <w:t xml:space="preserve">Apesar dos resultados </w:t>
      </w:r>
      <w:r>
        <w:rPr>
          <w:rFonts w:ascii="Garamond" w:hAnsi="Garamond"/>
          <w:lang w:val="pt-PT"/>
        </w:rPr>
        <w:t xml:space="preserve">extremamente </w:t>
      </w:r>
      <w:r w:rsidRPr="00806495">
        <w:rPr>
          <w:rFonts w:ascii="Garamond" w:hAnsi="Garamond"/>
          <w:lang w:val="pt-PT"/>
        </w:rPr>
        <w:t>positivos obtidos no combate ao VIH/SIDA, é preocupante o aumento da taxa de sero prevalência do VIH entre as mulheres. Também, o fato dos homens conhecerem o seu estatuto serológico para o VIH tarde, o que compromete o seu seguimento e acesso oportuno ao tratamento. Dados que exigem, além da abordagem continuada dos grupos com elevado comportamento de risco,</w:t>
      </w:r>
      <w:r>
        <w:rPr>
          <w:rFonts w:ascii="Garamond" w:hAnsi="Garamond"/>
          <w:lang w:val="pt-PT"/>
        </w:rPr>
        <w:t xml:space="preserve"> </w:t>
      </w:r>
      <w:r w:rsidRPr="00806495">
        <w:rPr>
          <w:rFonts w:ascii="Garamond" w:hAnsi="Garamond"/>
          <w:lang w:val="pt-PT"/>
        </w:rPr>
        <w:t xml:space="preserve">atenção à potencial feminização da epidemia </w:t>
      </w:r>
      <w:r>
        <w:rPr>
          <w:rFonts w:ascii="Garamond" w:hAnsi="Garamond"/>
          <w:lang w:val="pt-PT"/>
        </w:rPr>
        <w:t>no país</w:t>
      </w:r>
      <w:r w:rsidRPr="00806495">
        <w:rPr>
          <w:rFonts w:ascii="Garamond" w:hAnsi="Garamond"/>
          <w:lang w:val="pt-PT"/>
        </w:rPr>
        <w:t xml:space="preserve">, </w:t>
      </w:r>
      <w:r>
        <w:rPr>
          <w:rFonts w:ascii="Garamond" w:hAnsi="Garamond"/>
          <w:lang w:val="pt-PT"/>
        </w:rPr>
        <w:t xml:space="preserve">e </w:t>
      </w:r>
      <w:r w:rsidRPr="00806495">
        <w:rPr>
          <w:rFonts w:ascii="Garamond" w:hAnsi="Garamond"/>
          <w:lang w:val="pt-PT"/>
        </w:rPr>
        <w:t>à identificação mais precoce do VIH</w:t>
      </w:r>
      <w:r w:rsidR="00EB750A">
        <w:rPr>
          <w:rFonts w:ascii="Garamond" w:hAnsi="Garamond"/>
          <w:lang w:val="pt-PT"/>
        </w:rPr>
        <w:t>+</w:t>
      </w:r>
      <w:r w:rsidRPr="00806495">
        <w:rPr>
          <w:rFonts w:ascii="Garamond" w:hAnsi="Garamond"/>
          <w:lang w:val="pt-PT"/>
        </w:rPr>
        <w:t xml:space="preserve"> entre os homens</w:t>
      </w:r>
      <w:r w:rsidR="00EB750A">
        <w:rPr>
          <w:rFonts w:ascii="Garamond" w:hAnsi="Garamond"/>
          <w:lang w:val="pt-PT"/>
        </w:rPr>
        <w:t>. I</w:t>
      </w:r>
      <w:r w:rsidRPr="00806495">
        <w:rPr>
          <w:rFonts w:ascii="Garamond" w:hAnsi="Garamond"/>
          <w:lang w:val="pt-PT"/>
        </w:rPr>
        <w:t xml:space="preserve">mplica promover a procura de teste anónimo e voluntário, dos serviços de saúde e de </w:t>
      </w:r>
      <w:proofErr w:type="spellStart"/>
      <w:r w:rsidRPr="00806495">
        <w:rPr>
          <w:rFonts w:ascii="Garamond" w:hAnsi="Garamond"/>
          <w:lang w:val="pt-PT"/>
        </w:rPr>
        <w:t>SSR</w:t>
      </w:r>
      <w:proofErr w:type="spellEnd"/>
      <w:r w:rsidRPr="00806495">
        <w:rPr>
          <w:rFonts w:ascii="Garamond" w:hAnsi="Garamond"/>
          <w:lang w:val="pt-PT"/>
        </w:rPr>
        <w:t xml:space="preserve">, em particular por parte dos adolescentes e jovens, numa perspectiva de promoção de </w:t>
      </w:r>
      <w:proofErr w:type="spellStart"/>
      <w:r w:rsidRPr="00806495">
        <w:rPr>
          <w:rFonts w:ascii="Garamond" w:hAnsi="Garamond"/>
          <w:lang w:val="pt-PT"/>
        </w:rPr>
        <w:t>auto-cuidado</w:t>
      </w:r>
      <w:proofErr w:type="spellEnd"/>
      <w:r w:rsidRPr="00806495">
        <w:rPr>
          <w:rFonts w:ascii="Garamond" w:hAnsi="Garamond"/>
          <w:lang w:val="pt-PT"/>
        </w:rPr>
        <w:t xml:space="preserve">. </w:t>
      </w:r>
      <w:r w:rsidR="00EB750A">
        <w:rPr>
          <w:rFonts w:ascii="Garamond" w:hAnsi="Garamond"/>
          <w:lang w:val="pt-PT"/>
        </w:rPr>
        <w:t>Os</w:t>
      </w:r>
      <w:r w:rsidRPr="00806495">
        <w:rPr>
          <w:rFonts w:ascii="Garamond" w:hAnsi="Garamond"/>
          <w:lang w:val="pt-PT"/>
        </w:rPr>
        <w:t xml:space="preserve"> serviços de promoção da saúde </w:t>
      </w:r>
      <w:r w:rsidR="00EB750A">
        <w:rPr>
          <w:rFonts w:ascii="Garamond" w:hAnsi="Garamond"/>
          <w:lang w:val="pt-PT"/>
        </w:rPr>
        <w:t xml:space="preserve">precisam </w:t>
      </w:r>
      <w:r w:rsidRPr="00806495">
        <w:rPr>
          <w:rFonts w:ascii="Garamond" w:hAnsi="Garamond"/>
          <w:lang w:val="pt-PT"/>
        </w:rPr>
        <w:t>estar preparados para trabalhar com mulheres e homens, e os/as adolescentes</w:t>
      </w:r>
      <w:r>
        <w:rPr>
          <w:rFonts w:ascii="Garamond" w:hAnsi="Garamond"/>
          <w:lang w:val="pt-PT"/>
        </w:rPr>
        <w:t>,</w:t>
      </w:r>
      <w:r w:rsidRPr="00806495">
        <w:rPr>
          <w:rFonts w:ascii="Garamond" w:hAnsi="Garamond"/>
          <w:lang w:val="pt-PT"/>
        </w:rPr>
        <w:t xml:space="preserve"> numa perspectiva de género.</w:t>
      </w:r>
    </w:p>
    <w:p w14:paraId="53167B9F" w14:textId="77777777" w:rsidR="000B1496" w:rsidRPr="00806495" w:rsidRDefault="000B1496" w:rsidP="00786DEC">
      <w:pPr>
        <w:pStyle w:val="PargrafodaLista"/>
        <w:numPr>
          <w:ilvl w:val="0"/>
          <w:numId w:val="43"/>
        </w:numPr>
        <w:spacing w:after="240"/>
        <w:jc w:val="both"/>
        <w:rPr>
          <w:rFonts w:ascii="Garamond" w:hAnsi="Garamond"/>
          <w:lang w:val="pt-PT"/>
        </w:rPr>
      </w:pPr>
      <w:r w:rsidRPr="00806495">
        <w:rPr>
          <w:rFonts w:ascii="Garamond" w:hAnsi="Garamond"/>
          <w:lang w:val="pt-PT"/>
        </w:rPr>
        <w:t xml:space="preserve">Está em processo a revisão da Lei de Prevenção, Tratamento e Controlo do VIH/SIDA: a proposta de Lei dá atenção à discriminação contra mulheres vivendo com VIH/SIDA e a grupos específicos vulneráveis essencialmente femininos (como as TS), bem como à obrigação das entidades públicas de </w:t>
      </w:r>
      <w:proofErr w:type="spellStart"/>
      <w:r w:rsidRPr="00806495">
        <w:rPr>
          <w:rFonts w:ascii="Garamond" w:hAnsi="Garamond"/>
          <w:lang w:val="pt-PT"/>
        </w:rPr>
        <w:t>transversalizar</w:t>
      </w:r>
      <w:proofErr w:type="spellEnd"/>
      <w:r w:rsidRPr="00806495">
        <w:rPr>
          <w:rFonts w:ascii="Garamond" w:hAnsi="Garamond"/>
          <w:lang w:val="pt-PT"/>
        </w:rPr>
        <w:t xml:space="preserve"> uma abordagem de género na </w:t>
      </w:r>
      <w:proofErr w:type="spellStart"/>
      <w:r w:rsidRPr="00806495">
        <w:rPr>
          <w:rFonts w:ascii="Garamond" w:hAnsi="Garamond"/>
          <w:lang w:val="pt-PT"/>
        </w:rPr>
        <w:t>conceção</w:t>
      </w:r>
      <w:proofErr w:type="spellEnd"/>
      <w:r w:rsidRPr="00806495">
        <w:rPr>
          <w:rFonts w:ascii="Garamond" w:hAnsi="Garamond"/>
          <w:lang w:val="pt-PT"/>
        </w:rPr>
        <w:t xml:space="preserve">, execução, monitoramento e avaliação das </w:t>
      </w:r>
      <w:proofErr w:type="spellStart"/>
      <w:r w:rsidRPr="00806495">
        <w:rPr>
          <w:rFonts w:ascii="Garamond" w:hAnsi="Garamond"/>
          <w:lang w:val="pt-PT"/>
        </w:rPr>
        <w:t>ações</w:t>
      </w:r>
      <w:proofErr w:type="spellEnd"/>
      <w:r w:rsidRPr="00806495">
        <w:rPr>
          <w:rFonts w:ascii="Garamond" w:hAnsi="Garamond"/>
          <w:lang w:val="pt-PT"/>
        </w:rPr>
        <w:t xml:space="preserve"> de prevenção e atenção integral previstas na Lei. Neste contexto, o Plano Estratégico VIH/SIDA (2017-2020) já </w:t>
      </w:r>
      <w:proofErr w:type="spellStart"/>
      <w:r w:rsidRPr="00806495">
        <w:rPr>
          <w:rFonts w:ascii="Garamond" w:hAnsi="Garamond"/>
          <w:lang w:val="pt-PT"/>
        </w:rPr>
        <w:t>adota</w:t>
      </w:r>
      <w:proofErr w:type="spellEnd"/>
      <w:r w:rsidRPr="00806495">
        <w:rPr>
          <w:rFonts w:ascii="Garamond" w:hAnsi="Garamond"/>
          <w:lang w:val="pt-PT"/>
        </w:rPr>
        <w:t xml:space="preserve"> a igualdade de género como eixo transversal, e identifica vulnerabilidades específicas das adolescentes e jovens mulheres (10-24 anos), das mulheres com deficiência, a particular exposição das mulheres à violência sexual e </w:t>
      </w:r>
      <w:proofErr w:type="spellStart"/>
      <w:r w:rsidRPr="00806495">
        <w:rPr>
          <w:rFonts w:ascii="Garamond" w:hAnsi="Garamond"/>
          <w:lang w:val="pt-PT"/>
        </w:rPr>
        <w:t>VBG</w:t>
      </w:r>
      <w:proofErr w:type="spellEnd"/>
      <w:r w:rsidRPr="00806495">
        <w:rPr>
          <w:rFonts w:ascii="Garamond" w:hAnsi="Garamond"/>
          <w:lang w:val="pt-PT"/>
        </w:rPr>
        <w:t>, as questões específicas dos grupos especialmente vulneráveis (alguns maioritariamente femininos), a fraca participação dos cônjuges no teste anónimo e voluntário na gravidez, a discriminação contra as pessoas vivendo com VIH (mulheres, homens, crianças). Deverá ser dada particular atenção à abordagem de género no reforço das capacidades dos prestadores que apoiam adolescentes nos Centros de Saúde/</w:t>
      </w:r>
      <w:proofErr w:type="spellStart"/>
      <w:r w:rsidRPr="00806495">
        <w:rPr>
          <w:rFonts w:ascii="Garamond" w:hAnsi="Garamond"/>
          <w:lang w:val="pt-PT"/>
        </w:rPr>
        <w:t>ESAD</w:t>
      </w:r>
      <w:proofErr w:type="spellEnd"/>
      <w:r w:rsidRPr="00806495">
        <w:rPr>
          <w:rFonts w:ascii="Garamond" w:hAnsi="Garamond"/>
          <w:lang w:val="pt-PT"/>
        </w:rPr>
        <w:t>, para a diferenciação da abordagem entre as</w:t>
      </w:r>
      <w:r>
        <w:rPr>
          <w:rFonts w:ascii="Garamond" w:hAnsi="Garamond"/>
          <w:lang w:val="pt-PT"/>
        </w:rPr>
        <w:t>/</w:t>
      </w:r>
      <w:r w:rsidRPr="00806495">
        <w:rPr>
          <w:rFonts w:ascii="Garamond" w:hAnsi="Garamond"/>
          <w:lang w:val="pt-PT"/>
        </w:rPr>
        <w:t>os adolescentes</w:t>
      </w:r>
      <w:r>
        <w:rPr>
          <w:rFonts w:ascii="Garamond" w:hAnsi="Garamond"/>
          <w:lang w:val="pt-PT"/>
        </w:rPr>
        <w:t>,</w:t>
      </w:r>
      <w:r w:rsidRPr="00806495">
        <w:rPr>
          <w:rFonts w:ascii="Garamond" w:hAnsi="Garamond"/>
          <w:lang w:val="pt-PT"/>
        </w:rPr>
        <w:t xml:space="preserve"> de acordo com as suas necessidades específicas, bem como oportunidades de reflexão sobre as questões de masculinidade e feminilidade para os educadores de pares adolescentes e jovens no contexto do combate ao VIH/SIDA.</w:t>
      </w:r>
    </w:p>
    <w:p w14:paraId="20916D2A" w14:textId="77777777" w:rsidR="000B1496" w:rsidRPr="00806495" w:rsidRDefault="000B1496" w:rsidP="00786DEC">
      <w:pPr>
        <w:pStyle w:val="PargrafodaLista"/>
        <w:numPr>
          <w:ilvl w:val="0"/>
          <w:numId w:val="43"/>
        </w:numPr>
        <w:spacing w:after="240"/>
        <w:jc w:val="both"/>
        <w:rPr>
          <w:rFonts w:ascii="Garamond" w:hAnsi="Garamond"/>
          <w:lang w:val="pt-PT"/>
        </w:rPr>
      </w:pPr>
      <w:r w:rsidRPr="00806495">
        <w:rPr>
          <w:rFonts w:ascii="Garamond" w:hAnsi="Garamond"/>
          <w:lang w:val="pt-PT"/>
        </w:rPr>
        <w:t xml:space="preserve">Será importante agregar </w:t>
      </w:r>
      <w:r>
        <w:rPr>
          <w:rFonts w:ascii="Garamond" w:hAnsi="Garamond"/>
          <w:lang w:val="pt-PT"/>
        </w:rPr>
        <w:t xml:space="preserve">de forma mais sistematizada </w:t>
      </w:r>
      <w:r w:rsidRPr="00806495">
        <w:rPr>
          <w:rFonts w:ascii="Garamond" w:hAnsi="Garamond"/>
          <w:lang w:val="pt-PT"/>
        </w:rPr>
        <w:t xml:space="preserve">iniciativas de apoio para mulheres trabalhadoras do sexo componentes de programa de saída, para as apoiar a deixar a prostituição ou reduzir a dependência dessa actividade, preparando uma futura saída. Com efeito, a saída do trabalho do sexo é um processo frequentemente longo e complexo, devendo ser estudadas boas práticas nesta área. </w:t>
      </w:r>
    </w:p>
    <w:p w14:paraId="0615950A" w14:textId="0F8F6E04" w:rsidR="000B1496" w:rsidRPr="00806495" w:rsidRDefault="00EB750A" w:rsidP="000B1496">
      <w:pPr>
        <w:jc w:val="both"/>
        <w:rPr>
          <w:rFonts w:ascii="Garamond" w:hAnsi="Garamond"/>
          <w:lang w:val="pt-PT"/>
        </w:rPr>
      </w:pPr>
      <w:r>
        <w:rPr>
          <w:rFonts w:ascii="Garamond" w:hAnsi="Garamond"/>
          <w:lang w:val="pt-PT"/>
        </w:rPr>
        <w:t>O</w:t>
      </w:r>
      <w:r w:rsidR="000B1496" w:rsidRPr="00806495">
        <w:rPr>
          <w:rFonts w:ascii="Garamond" w:hAnsi="Garamond"/>
          <w:lang w:val="pt-PT"/>
        </w:rPr>
        <w:t xml:space="preserve"> CCS-SIDA em finais de 2017, em colaboração com o M</w:t>
      </w:r>
      <w:r>
        <w:rPr>
          <w:rFonts w:ascii="Garamond" w:hAnsi="Garamond"/>
          <w:lang w:val="pt-PT"/>
        </w:rPr>
        <w:t>S</w:t>
      </w:r>
      <w:r w:rsidR="000B1496" w:rsidRPr="00806495">
        <w:rPr>
          <w:rFonts w:ascii="Garamond" w:hAnsi="Garamond"/>
          <w:lang w:val="pt-PT"/>
        </w:rPr>
        <w:t xml:space="preserve"> realizou um estudo bio comportamental sobre a vulnerabilidade das </w:t>
      </w:r>
      <w:r w:rsidR="000B1496" w:rsidRPr="00806495">
        <w:rPr>
          <w:rFonts w:ascii="Garamond" w:hAnsi="Garamond"/>
          <w:b/>
          <w:bCs/>
          <w:lang w:val="pt-PT"/>
        </w:rPr>
        <w:t>pessoas com deficiência</w:t>
      </w:r>
      <w:r w:rsidR="000B1496" w:rsidRPr="00806495">
        <w:rPr>
          <w:rFonts w:ascii="Garamond" w:hAnsi="Garamond"/>
          <w:lang w:val="pt-PT"/>
        </w:rPr>
        <w:t xml:space="preserve"> face ao VIH/SIDA, que revelou uma taxa de sero prevalência do VIH de 2,3%, sendo de 3,5% entre os homens com deficiência e 1,7% entre as mulheres com deficiência, ou seja, taxas superiores à da população em geral. O estudo aponta várias ordens de vulnerabilidade, incluindo a pobreza, baixo nível de escolaridade, baixo rendimento, violências a que estão expostas (já referenciadas no Eixo 2 – </w:t>
      </w:r>
      <w:proofErr w:type="spellStart"/>
      <w:r w:rsidR="000B1496" w:rsidRPr="00806495">
        <w:rPr>
          <w:rFonts w:ascii="Garamond" w:hAnsi="Garamond"/>
          <w:lang w:val="pt-PT"/>
        </w:rPr>
        <w:t>VBG</w:t>
      </w:r>
      <w:proofErr w:type="spellEnd"/>
      <w:r w:rsidR="000B1496" w:rsidRPr="00806495">
        <w:rPr>
          <w:rFonts w:ascii="Garamond" w:hAnsi="Garamond"/>
          <w:lang w:val="pt-PT"/>
        </w:rPr>
        <w:t xml:space="preserve">), e serem uma população-alvo pouco enquadrada nas estratégias e campanhas de sensibilização sobre as IST/VIH/SIDA. Outro estudo, realizado </w:t>
      </w:r>
      <w:proofErr w:type="spellStart"/>
      <w:r w:rsidR="000B1496" w:rsidRPr="00806495">
        <w:rPr>
          <w:rFonts w:ascii="Garamond" w:hAnsi="Garamond"/>
          <w:lang w:val="pt-PT"/>
        </w:rPr>
        <w:t>pelo</w:t>
      </w:r>
      <w:proofErr w:type="spellEnd"/>
      <w:r w:rsidR="000B1496" w:rsidRPr="00806495">
        <w:rPr>
          <w:rFonts w:ascii="Garamond" w:hAnsi="Garamond"/>
          <w:lang w:val="pt-PT"/>
        </w:rPr>
        <w:t xml:space="preserve"> </w:t>
      </w:r>
      <w:proofErr w:type="spellStart"/>
      <w:r w:rsidR="000B1496" w:rsidRPr="00806495">
        <w:rPr>
          <w:rFonts w:ascii="Garamond" w:hAnsi="Garamond"/>
          <w:lang w:val="pt-PT"/>
        </w:rPr>
        <w:t>CIGEF</w:t>
      </w:r>
      <w:proofErr w:type="spellEnd"/>
      <w:r w:rsidR="000B1496" w:rsidRPr="00806495">
        <w:rPr>
          <w:rFonts w:ascii="Garamond" w:hAnsi="Garamond"/>
          <w:lang w:val="pt-PT"/>
        </w:rPr>
        <w:t xml:space="preserve"> em 2015, analisou o acesso das mulheres com deficiência aos serviços de </w:t>
      </w:r>
      <w:proofErr w:type="spellStart"/>
      <w:r w:rsidR="000B1496" w:rsidRPr="00806495">
        <w:rPr>
          <w:rFonts w:ascii="Garamond" w:hAnsi="Garamond"/>
          <w:lang w:val="pt-PT"/>
        </w:rPr>
        <w:t>SSR</w:t>
      </w:r>
      <w:proofErr w:type="spellEnd"/>
      <w:r w:rsidR="000B1496" w:rsidRPr="00806495">
        <w:rPr>
          <w:rFonts w:ascii="Garamond" w:hAnsi="Garamond"/>
          <w:lang w:val="pt-PT"/>
        </w:rPr>
        <w:t>, verificando que «</w:t>
      </w:r>
      <w:r w:rsidR="000B1496" w:rsidRPr="00806495">
        <w:rPr>
          <w:rFonts w:ascii="Garamond" w:hAnsi="Garamond"/>
          <w:i/>
          <w:iCs/>
          <w:lang w:val="pt-PT"/>
        </w:rPr>
        <w:t xml:space="preserve">a sociedade - incluindo família e profissionais da saúde, - tem uma visão estereotipada e preconceituosa da sexualidade das mulheres com deficiência, vistas como incapazes de exercer sua sexualidade e de tomar decisões relacionadas à reprodução. Existe falta de informação/aconselhamento, já que de modo geral não é reconhecida esta necessidade e ninguém assume a responsabilidade (famílias, escolas, serviços de </w:t>
      </w:r>
      <w:proofErr w:type="spellStart"/>
      <w:r w:rsidR="000B1496" w:rsidRPr="00806495">
        <w:rPr>
          <w:rFonts w:ascii="Garamond" w:hAnsi="Garamond"/>
          <w:i/>
          <w:iCs/>
          <w:lang w:val="pt-PT"/>
        </w:rPr>
        <w:t>SSR</w:t>
      </w:r>
      <w:proofErr w:type="spellEnd"/>
      <w:r w:rsidR="000B1496" w:rsidRPr="00806495">
        <w:rPr>
          <w:rFonts w:ascii="Garamond" w:hAnsi="Garamond"/>
          <w:i/>
          <w:iCs/>
          <w:lang w:val="pt-PT"/>
        </w:rPr>
        <w:t xml:space="preserve">, organizações). A indisponibilidade de informação acessível para as </w:t>
      </w:r>
      <w:proofErr w:type="spellStart"/>
      <w:r w:rsidR="000B1496" w:rsidRPr="00806495">
        <w:rPr>
          <w:rFonts w:ascii="Garamond" w:hAnsi="Garamond"/>
          <w:i/>
          <w:iCs/>
          <w:lang w:val="pt-PT"/>
        </w:rPr>
        <w:t>McD</w:t>
      </w:r>
      <w:proofErr w:type="spellEnd"/>
      <w:r w:rsidR="000B1496" w:rsidRPr="00806495">
        <w:rPr>
          <w:rFonts w:ascii="Garamond" w:hAnsi="Garamond"/>
          <w:i/>
          <w:iCs/>
          <w:lang w:val="pt-PT"/>
        </w:rPr>
        <w:t xml:space="preserve"> e igualmente apontada como uma lacuna que constrange sobremaneira o acesso das mulheres aos direitos, remetendo-as ao silêncio e a exclusão, nomeadamente, no acesso à justiça, para fazer valer os seus direitos</w:t>
      </w:r>
      <w:r w:rsidR="000B1496" w:rsidRPr="00806495">
        <w:rPr>
          <w:rFonts w:ascii="Garamond" w:hAnsi="Garamond"/>
          <w:lang w:val="pt-PT"/>
        </w:rPr>
        <w:t>».</w:t>
      </w:r>
      <w:r w:rsidR="000B1496" w:rsidRPr="00806495">
        <w:rPr>
          <w:rStyle w:val="Refdenotaderodap"/>
          <w:rFonts w:ascii="Garamond" w:hAnsi="Garamond"/>
        </w:rPr>
        <w:footnoteReference w:id="114"/>
      </w:r>
      <w:r w:rsidR="000B1496" w:rsidRPr="00806495">
        <w:rPr>
          <w:rFonts w:ascii="Garamond" w:hAnsi="Garamond"/>
          <w:lang w:val="pt-PT"/>
        </w:rPr>
        <w:t xml:space="preserve"> </w:t>
      </w:r>
      <w:r>
        <w:rPr>
          <w:rFonts w:ascii="Garamond" w:hAnsi="Garamond"/>
          <w:lang w:val="pt-PT"/>
        </w:rPr>
        <w:t>T</w:t>
      </w:r>
      <w:r w:rsidR="000B1496" w:rsidRPr="00806495">
        <w:rPr>
          <w:rFonts w:ascii="Garamond" w:hAnsi="Garamond"/>
          <w:lang w:val="pt-PT"/>
        </w:rPr>
        <w:t xml:space="preserve">ambém as mulheres imigrantes enfrentam desafios no acesso a serviços de </w:t>
      </w:r>
      <w:proofErr w:type="spellStart"/>
      <w:r w:rsidR="000B1496" w:rsidRPr="00806495">
        <w:rPr>
          <w:rFonts w:ascii="Garamond" w:hAnsi="Garamond"/>
          <w:lang w:val="pt-PT"/>
        </w:rPr>
        <w:t>SSR</w:t>
      </w:r>
      <w:proofErr w:type="spellEnd"/>
      <w:r w:rsidR="000B1496" w:rsidRPr="00806495">
        <w:rPr>
          <w:rFonts w:ascii="Garamond" w:hAnsi="Garamond"/>
          <w:lang w:val="pt-PT"/>
        </w:rPr>
        <w:t xml:space="preserve">: no contexto das formações promovidas </w:t>
      </w:r>
      <w:proofErr w:type="spellStart"/>
      <w:r w:rsidR="000B1496" w:rsidRPr="00806495">
        <w:rPr>
          <w:rFonts w:ascii="Garamond" w:hAnsi="Garamond"/>
          <w:lang w:val="pt-PT"/>
        </w:rPr>
        <w:t>pela</w:t>
      </w:r>
      <w:proofErr w:type="spellEnd"/>
      <w:r w:rsidR="000B1496" w:rsidRPr="00806495">
        <w:rPr>
          <w:rFonts w:ascii="Garamond" w:hAnsi="Garamond"/>
          <w:lang w:val="pt-PT"/>
        </w:rPr>
        <w:t xml:space="preserve"> </w:t>
      </w:r>
      <w:proofErr w:type="spellStart"/>
      <w:r w:rsidR="000B1496" w:rsidRPr="00806495">
        <w:rPr>
          <w:rFonts w:ascii="Garamond" w:hAnsi="Garamond"/>
          <w:lang w:val="pt-PT"/>
        </w:rPr>
        <w:t>DGI</w:t>
      </w:r>
      <w:proofErr w:type="spellEnd"/>
      <w:r w:rsidR="000B1496" w:rsidRPr="00806495">
        <w:rPr>
          <w:rFonts w:ascii="Garamond" w:hAnsi="Garamond"/>
          <w:lang w:val="pt-PT"/>
        </w:rPr>
        <w:t xml:space="preserve"> sobre a temática, elas apresentam, entre outras preocupações, o acesso aos serviços de saúde em função dos custos, da língua, e das barreiras relativas às </w:t>
      </w:r>
      <w:proofErr w:type="spellStart"/>
      <w:r w:rsidR="000B1496" w:rsidRPr="00806495">
        <w:rPr>
          <w:rFonts w:ascii="Garamond" w:hAnsi="Garamond"/>
          <w:lang w:val="pt-PT"/>
        </w:rPr>
        <w:t>conceções</w:t>
      </w:r>
      <w:proofErr w:type="spellEnd"/>
      <w:r w:rsidR="000B1496" w:rsidRPr="00806495">
        <w:rPr>
          <w:rFonts w:ascii="Garamond" w:hAnsi="Garamond"/>
          <w:lang w:val="pt-PT"/>
        </w:rPr>
        <w:t xml:space="preserve"> socioculturais da saúde materna, planeamento familiar e prevenção e tratamento das IST, que incluem  impedimentos colocados </w:t>
      </w:r>
      <w:proofErr w:type="spellStart"/>
      <w:r w:rsidR="000B1496" w:rsidRPr="00806495">
        <w:rPr>
          <w:rFonts w:ascii="Garamond" w:hAnsi="Garamond"/>
          <w:lang w:val="pt-PT"/>
        </w:rPr>
        <w:t>pelos</w:t>
      </w:r>
      <w:proofErr w:type="spellEnd"/>
      <w:r w:rsidR="000B1496" w:rsidRPr="00806495">
        <w:rPr>
          <w:rFonts w:ascii="Garamond" w:hAnsi="Garamond"/>
          <w:lang w:val="pt-PT"/>
        </w:rPr>
        <w:t xml:space="preserve"> maridos/companheiros. </w:t>
      </w:r>
    </w:p>
    <w:p w14:paraId="05035DA1" w14:textId="77777777" w:rsidR="000B1496" w:rsidRDefault="000B1496" w:rsidP="00786DEC">
      <w:pPr>
        <w:pStyle w:val="PargrafodaLista"/>
        <w:numPr>
          <w:ilvl w:val="0"/>
          <w:numId w:val="42"/>
        </w:numPr>
        <w:ind w:left="714" w:hanging="357"/>
        <w:contextualSpacing w:val="0"/>
        <w:jc w:val="both"/>
        <w:rPr>
          <w:rFonts w:ascii="Garamond" w:hAnsi="Garamond"/>
          <w:lang w:val="pt-PT"/>
        </w:rPr>
      </w:pPr>
      <w:r w:rsidRPr="00806495">
        <w:rPr>
          <w:rFonts w:ascii="Garamond" w:hAnsi="Garamond"/>
          <w:lang w:val="pt-PT"/>
        </w:rPr>
        <w:t xml:space="preserve">Fica assim clara a necessidade de melhorar o acesso das mulheres com deficiência aos direitos e serviços de </w:t>
      </w:r>
      <w:proofErr w:type="spellStart"/>
      <w:r w:rsidRPr="00806495">
        <w:rPr>
          <w:rFonts w:ascii="Garamond" w:hAnsi="Garamond"/>
          <w:lang w:val="pt-PT"/>
        </w:rPr>
        <w:t>SSR</w:t>
      </w:r>
      <w:proofErr w:type="spellEnd"/>
      <w:r w:rsidRPr="00806495">
        <w:rPr>
          <w:rFonts w:ascii="Garamond" w:hAnsi="Garamond"/>
          <w:lang w:val="pt-PT"/>
        </w:rPr>
        <w:t xml:space="preserve">. Seja através da adaptação materiais divulgação numa perspectiva de acessibilidade (braille, audiovisual, linguagem gestual, etc.), seja através da desconstrução dos preconceitos sobre a sexualidade das mulheres com deficiência junto dos vários </w:t>
      </w:r>
      <w:proofErr w:type="spellStart"/>
      <w:r w:rsidRPr="00806495">
        <w:rPr>
          <w:rFonts w:ascii="Garamond" w:hAnsi="Garamond"/>
          <w:lang w:val="pt-PT"/>
        </w:rPr>
        <w:t>atores</w:t>
      </w:r>
      <w:proofErr w:type="spellEnd"/>
      <w:r w:rsidRPr="00806495">
        <w:rPr>
          <w:rFonts w:ascii="Garamond" w:hAnsi="Garamond"/>
          <w:lang w:val="pt-PT"/>
        </w:rPr>
        <w:t>, em particular a família e prestadores da s</w:t>
      </w:r>
      <w:r>
        <w:rPr>
          <w:rFonts w:ascii="Garamond" w:hAnsi="Garamond"/>
          <w:lang w:val="pt-PT"/>
        </w:rPr>
        <w:t>aúde</w:t>
      </w:r>
      <w:r w:rsidRPr="00806495">
        <w:rPr>
          <w:rFonts w:ascii="Garamond" w:hAnsi="Garamond"/>
          <w:lang w:val="pt-PT"/>
        </w:rPr>
        <w:t xml:space="preserve"> e </w:t>
      </w:r>
      <w:proofErr w:type="spellStart"/>
      <w:r w:rsidRPr="00806495">
        <w:rPr>
          <w:rFonts w:ascii="Garamond" w:hAnsi="Garamond"/>
          <w:lang w:val="pt-PT"/>
        </w:rPr>
        <w:t>SSR</w:t>
      </w:r>
      <w:proofErr w:type="spellEnd"/>
      <w:r w:rsidRPr="00806495">
        <w:rPr>
          <w:rFonts w:ascii="Garamond" w:hAnsi="Garamond"/>
          <w:lang w:val="pt-PT"/>
        </w:rPr>
        <w:t xml:space="preserve">, promovendo o seu maior acesso a serviços que tenham em conta as suas necessidades específicas, incluindo no que tange à prevenção e tratamento do VIH. </w:t>
      </w:r>
    </w:p>
    <w:p w14:paraId="6D2B976B" w14:textId="77777777" w:rsidR="000B1496" w:rsidRDefault="000B1496" w:rsidP="00786DEC">
      <w:pPr>
        <w:pStyle w:val="PargrafodaLista"/>
        <w:numPr>
          <w:ilvl w:val="0"/>
          <w:numId w:val="42"/>
        </w:numPr>
        <w:ind w:left="714" w:hanging="357"/>
        <w:contextualSpacing w:val="0"/>
        <w:jc w:val="both"/>
        <w:rPr>
          <w:rFonts w:ascii="Garamond" w:hAnsi="Garamond"/>
          <w:lang w:val="pt-PT"/>
        </w:rPr>
      </w:pPr>
      <w:r w:rsidRPr="00597D2A">
        <w:rPr>
          <w:rFonts w:ascii="Garamond" w:hAnsi="Garamond"/>
          <w:lang w:val="pt-PT"/>
        </w:rPr>
        <w:t xml:space="preserve">No âmbito do IIº Plano de </w:t>
      </w:r>
      <w:proofErr w:type="spellStart"/>
      <w:r w:rsidRPr="00597D2A">
        <w:rPr>
          <w:rFonts w:ascii="Garamond" w:hAnsi="Garamond"/>
          <w:lang w:val="pt-PT"/>
        </w:rPr>
        <w:t>Ação</w:t>
      </w:r>
      <w:proofErr w:type="spellEnd"/>
      <w:r w:rsidRPr="00597D2A">
        <w:rPr>
          <w:rFonts w:ascii="Garamond" w:hAnsi="Garamond"/>
          <w:lang w:val="pt-PT"/>
        </w:rPr>
        <w:t xml:space="preserve"> da </w:t>
      </w:r>
      <w:proofErr w:type="spellStart"/>
      <w:r w:rsidRPr="00597D2A">
        <w:rPr>
          <w:rFonts w:ascii="Garamond" w:hAnsi="Garamond"/>
          <w:lang w:val="pt-PT"/>
        </w:rPr>
        <w:t>DGI</w:t>
      </w:r>
      <w:proofErr w:type="spellEnd"/>
      <w:r w:rsidRPr="00597D2A">
        <w:rPr>
          <w:rFonts w:ascii="Garamond" w:hAnsi="Garamond"/>
          <w:lang w:val="pt-PT"/>
        </w:rPr>
        <w:t xml:space="preserve"> será dada continuidade à realização de palestras sobre o Planeamento familiar, </w:t>
      </w:r>
      <w:proofErr w:type="spellStart"/>
      <w:r w:rsidRPr="00597D2A">
        <w:rPr>
          <w:rFonts w:ascii="Garamond" w:hAnsi="Garamond"/>
          <w:lang w:val="pt-PT"/>
        </w:rPr>
        <w:t>SSR</w:t>
      </w:r>
      <w:proofErr w:type="spellEnd"/>
      <w:r w:rsidRPr="00597D2A">
        <w:rPr>
          <w:rFonts w:ascii="Garamond" w:hAnsi="Garamond"/>
          <w:lang w:val="pt-PT"/>
        </w:rPr>
        <w:t xml:space="preserve">, prevenção de IST e </w:t>
      </w:r>
      <w:proofErr w:type="spellStart"/>
      <w:r w:rsidRPr="00597D2A">
        <w:rPr>
          <w:rFonts w:ascii="Garamond" w:hAnsi="Garamond"/>
          <w:lang w:val="pt-PT"/>
        </w:rPr>
        <w:t>HIV</w:t>
      </w:r>
      <w:proofErr w:type="spellEnd"/>
      <w:r w:rsidRPr="00597D2A">
        <w:rPr>
          <w:rFonts w:ascii="Garamond" w:hAnsi="Garamond"/>
          <w:lang w:val="pt-PT"/>
        </w:rPr>
        <w:t>/Sida para mulheres e homens migrantes, bem como sessões de informação e formação para profissionais de saúde sobre as necessidades específicas da população imigrante, em particular das mulheres, em matéria de saúde, com prioridade para os municípios/ilhas de maior concentração de imigrantes; e sessões informativas sobre cuidados de saúde e o sistema nacional de saúde.</w:t>
      </w:r>
      <w:r>
        <w:rPr>
          <w:rFonts w:ascii="Garamond" w:hAnsi="Garamond"/>
          <w:lang w:val="pt-PT"/>
        </w:rPr>
        <w:t xml:space="preserve"> </w:t>
      </w:r>
    </w:p>
    <w:p w14:paraId="3C5CCAF9" w14:textId="6E7636C5" w:rsidR="000B1496" w:rsidRDefault="000B1496" w:rsidP="00786DEC">
      <w:pPr>
        <w:pStyle w:val="PargrafodaLista"/>
        <w:numPr>
          <w:ilvl w:val="0"/>
          <w:numId w:val="42"/>
        </w:numPr>
        <w:ind w:left="714" w:hanging="357"/>
        <w:contextualSpacing w:val="0"/>
        <w:jc w:val="both"/>
        <w:rPr>
          <w:rFonts w:ascii="Garamond" w:hAnsi="Garamond"/>
          <w:lang w:val="pt-PT"/>
        </w:rPr>
      </w:pPr>
      <w:bookmarkStart w:id="96" w:name="_Hlk31618119"/>
      <w:r>
        <w:rPr>
          <w:rFonts w:ascii="Garamond" w:hAnsi="Garamond"/>
          <w:lang w:val="pt-PT"/>
        </w:rPr>
        <w:t xml:space="preserve">Será importante formar em </w:t>
      </w:r>
      <w:proofErr w:type="spellStart"/>
      <w:r>
        <w:rPr>
          <w:rFonts w:ascii="Garamond" w:hAnsi="Garamond"/>
          <w:lang w:val="pt-PT"/>
        </w:rPr>
        <w:t>DSSR</w:t>
      </w:r>
      <w:proofErr w:type="spellEnd"/>
      <w:r>
        <w:rPr>
          <w:rFonts w:ascii="Garamond" w:hAnsi="Garamond"/>
          <w:lang w:val="pt-PT"/>
        </w:rPr>
        <w:t xml:space="preserve"> a </w:t>
      </w:r>
      <w:r w:rsidRPr="008D4D28">
        <w:rPr>
          <w:rFonts w:ascii="Garamond" w:hAnsi="Garamond"/>
          <w:lang w:val="pt-PT"/>
        </w:rPr>
        <w:t>bolsa de mediadores/mediadoras comunitários formados (pertencentes a grupos praticantes)</w:t>
      </w:r>
      <w:r>
        <w:rPr>
          <w:rFonts w:ascii="Garamond" w:hAnsi="Garamond"/>
          <w:lang w:val="pt-PT"/>
        </w:rPr>
        <w:t xml:space="preserve">, prevista no Eixo 2 - </w:t>
      </w:r>
      <w:proofErr w:type="spellStart"/>
      <w:r w:rsidRPr="002B0FFE">
        <w:rPr>
          <w:rFonts w:ascii="Garamond" w:hAnsi="Garamond"/>
          <w:i/>
          <w:iCs/>
          <w:lang w:val="pt-PT"/>
        </w:rPr>
        <w:t>VBG</w:t>
      </w:r>
      <w:proofErr w:type="spellEnd"/>
      <w:r>
        <w:rPr>
          <w:rFonts w:ascii="Garamond" w:hAnsi="Garamond"/>
          <w:lang w:val="pt-PT"/>
        </w:rPr>
        <w:t xml:space="preserve">, </w:t>
      </w:r>
      <w:r w:rsidRPr="008D4D28">
        <w:rPr>
          <w:rFonts w:ascii="Garamond" w:hAnsi="Garamond"/>
          <w:lang w:val="pt-PT"/>
        </w:rPr>
        <w:t xml:space="preserve">para </w:t>
      </w:r>
      <w:r>
        <w:rPr>
          <w:rFonts w:ascii="Garamond" w:hAnsi="Garamond"/>
          <w:lang w:val="pt-PT"/>
        </w:rPr>
        <w:t xml:space="preserve">que possam </w:t>
      </w:r>
      <w:proofErr w:type="spellStart"/>
      <w:r w:rsidR="001E0189">
        <w:rPr>
          <w:rFonts w:ascii="Garamond" w:hAnsi="Garamond"/>
          <w:lang w:val="pt-PT"/>
        </w:rPr>
        <w:t>atuar</w:t>
      </w:r>
      <w:proofErr w:type="spellEnd"/>
      <w:r w:rsidR="001E0189">
        <w:rPr>
          <w:rFonts w:ascii="Garamond" w:hAnsi="Garamond"/>
          <w:lang w:val="pt-PT"/>
        </w:rPr>
        <w:t xml:space="preserve"> junto dos</w:t>
      </w:r>
      <w:r>
        <w:rPr>
          <w:rFonts w:ascii="Garamond" w:hAnsi="Garamond"/>
          <w:lang w:val="pt-PT"/>
        </w:rPr>
        <w:t xml:space="preserve"> </w:t>
      </w:r>
      <w:r w:rsidRPr="008D4D28">
        <w:rPr>
          <w:rFonts w:ascii="Garamond" w:hAnsi="Garamond"/>
          <w:lang w:val="pt-PT"/>
        </w:rPr>
        <w:t>homens</w:t>
      </w:r>
      <w:r>
        <w:rPr>
          <w:rFonts w:ascii="Garamond" w:hAnsi="Garamond"/>
          <w:lang w:val="pt-PT"/>
        </w:rPr>
        <w:t xml:space="preserve">, </w:t>
      </w:r>
      <w:r w:rsidRPr="008D4D28">
        <w:rPr>
          <w:rFonts w:ascii="Garamond" w:hAnsi="Garamond"/>
          <w:lang w:val="pt-PT"/>
        </w:rPr>
        <w:t>mulheres</w:t>
      </w:r>
      <w:r>
        <w:rPr>
          <w:rFonts w:ascii="Garamond" w:hAnsi="Garamond"/>
          <w:lang w:val="pt-PT"/>
        </w:rPr>
        <w:t xml:space="preserve"> e jovens </w:t>
      </w:r>
      <w:r w:rsidRPr="008D4D28">
        <w:rPr>
          <w:rFonts w:ascii="Garamond" w:hAnsi="Garamond"/>
          <w:lang w:val="pt-PT"/>
        </w:rPr>
        <w:t>das comunidades imigradas</w:t>
      </w:r>
      <w:r>
        <w:rPr>
          <w:rFonts w:ascii="Garamond" w:hAnsi="Garamond"/>
          <w:lang w:val="pt-PT"/>
        </w:rPr>
        <w:t xml:space="preserve"> em matéria de </w:t>
      </w:r>
      <w:proofErr w:type="spellStart"/>
      <w:r>
        <w:rPr>
          <w:rFonts w:ascii="Garamond" w:hAnsi="Garamond"/>
          <w:lang w:val="pt-PT"/>
        </w:rPr>
        <w:t>SSR</w:t>
      </w:r>
      <w:proofErr w:type="spellEnd"/>
      <w:r>
        <w:rPr>
          <w:rFonts w:ascii="Garamond" w:hAnsi="Garamond"/>
          <w:lang w:val="pt-PT"/>
        </w:rPr>
        <w:t>.</w:t>
      </w:r>
    </w:p>
    <w:p w14:paraId="4F4ACB46" w14:textId="2B98FB44" w:rsidR="00347186" w:rsidRPr="00996F38" w:rsidRDefault="000B1496" w:rsidP="00786DEC">
      <w:pPr>
        <w:pStyle w:val="PargrafodaLista"/>
        <w:numPr>
          <w:ilvl w:val="0"/>
          <w:numId w:val="42"/>
        </w:numPr>
        <w:autoSpaceDE w:val="0"/>
        <w:autoSpaceDN w:val="0"/>
        <w:adjustRightInd w:val="0"/>
        <w:spacing w:after="240"/>
        <w:contextualSpacing w:val="0"/>
        <w:jc w:val="both"/>
        <w:rPr>
          <w:rFonts w:ascii="Garamond" w:hAnsi="Garamond"/>
          <w:lang w:val="pt-PT"/>
        </w:rPr>
      </w:pPr>
      <w:r w:rsidRPr="00220E11">
        <w:rPr>
          <w:rFonts w:ascii="Garamond" w:hAnsi="Garamond"/>
          <w:lang w:val="pt-PT"/>
        </w:rPr>
        <w:t xml:space="preserve">Por outro lado, como referido no Eixo 2 – </w:t>
      </w:r>
      <w:proofErr w:type="spellStart"/>
      <w:r w:rsidRPr="00220E11">
        <w:rPr>
          <w:rFonts w:ascii="Garamond" w:hAnsi="Garamond"/>
          <w:i/>
          <w:iCs/>
          <w:lang w:val="pt-PT"/>
        </w:rPr>
        <w:t>VBG</w:t>
      </w:r>
      <w:proofErr w:type="spellEnd"/>
      <w:r w:rsidRPr="00220E11">
        <w:rPr>
          <w:rFonts w:ascii="Garamond" w:hAnsi="Garamond"/>
          <w:lang w:val="pt-PT"/>
        </w:rPr>
        <w:t xml:space="preserve">, </w:t>
      </w:r>
      <w:r>
        <w:rPr>
          <w:rFonts w:ascii="Garamond" w:hAnsi="Garamond"/>
          <w:lang w:val="pt-PT"/>
        </w:rPr>
        <w:t>os serviços</w:t>
      </w:r>
      <w:r w:rsidRPr="00220E11">
        <w:rPr>
          <w:rFonts w:ascii="Garamond" w:hAnsi="Garamond"/>
          <w:lang w:val="pt-PT"/>
        </w:rPr>
        <w:t xml:space="preserve"> d</w:t>
      </w:r>
      <w:r>
        <w:rPr>
          <w:rFonts w:ascii="Garamond" w:hAnsi="Garamond"/>
          <w:lang w:val="pt-PT"/>
        </w:rPr>
        <w:t>e</w:t>
      </w:r>
      <w:r w:rsidRPr="00220E11">
        <w:rPr>
          <w:rFonts w:ascii="Garamond" w:hAnsi="Garamond"/>
          <w:lang w:val="pt-PT"/>
        </w:rPr>
        <w:t xml:space="preserve"> saúde, em particular de </w:t>
      </w:r>
      <w:proofErr w:type="spellStart"/>
      <w:r w:rsidRPr="00220E11">
        <w:rPr>
          <w:rFonts w:ascii="Garamond" w:hAnsi="Garamond"/>
          <w:lang w:val="pt-PT"/>
        </w:rPr>
        <w:t>SSR</w:t>
      </w:r>
      <w:proofErr w:type="spellEnd"/>
      <w:r w:rsidRPr="00220E11">
        <w:rPr>
          <w:rFonts w:ascii="Garamond" w:hAnsi="Garamond"/>
          <w:lang w:val="pt-PT"/>
        </w:rPr>
        <w:t xml:space="preserve">, são uma das melhores portas de entrada para trabalhar a temática da </w:t>
      </w:r>
      <w:proofErr w:type="spellStart"/>
      <w:r w:rsidRPr="00220E11">
        <w:rPr>
          <w:rFonts w:ascii="Garamond" w:hAnsi="Garamond"/>
          <w:lang w:val="pt-PT"/>
        </w:rPr>
        <w:t>MGF</w:t>
      </w:r>
      <w:proofErr w:type="spellEnd"/>
      <w:r>
        <w:rPr>
          <w:rFonts w:ascii="Garamond" w:hAnsi="Garamond"/>
          <w:lang w:val="pt-PT"/>
        </w:rPr>
        <w:t xml:space="preserve"> (enquanto serviços básicos próximos da população e incluindo a promoção da saúde); assim, deve se </w:t>
      </w:r>
      <w:r w:rsidRPr="00220E11">
        <w:rPr>
          <w:rFonts w:ascii="Garamond" w:hAnsi="Garamond"/>
          <w:lang w:val="pt-PT"/>
        </w:rPr>
        <w:t>reforça</w:t>
      </w:r>
      <w:r>
        <w:rPr>
          <w:rFonts w:ascii="Garamond" w:hAnsi="Garamond"/>
          <w:lang w:val="pt-PT"/>
        </w:rPr>
        <w:t>r</w:t>
      </w:r>
      <w:r w:rsidRPr="00220E11">
        <w:rPr>
          <w:rFonts w:ascii="Garamond" w:hAnsi="Garamond"/>
          <w:lang w:val="pt-PT"/>
        </w:rPr>
        <w:t xml:space="preserve"> as capacidades dos</w:t>
      </w:r>
      <w:r>
        <w:rPr>
          <w:rFonts w:ascii="Garamond" w:hAnsi="Garamond"/>
          <w:lang w:val="pt-PT"/>
        </w:rPr>
        <w:t>/as</w:t>
      </w:r>
      <w:r w:rsidRPr="00220E11">
        <w:rPr>
          <w:rFonts w:ascii="Garamond" w:hAnsi="Garamond"/>
          <w:lang w:val="pt-PT"/>
        </w:rPr>
        <w:t xml:space="preserve"> prestadores</w:t>
      </w:r>
      <w:r>
        <w:rPr>
          <w:rFonts w:ascii="Garamond" w:hAnsi="Garamond"/>
          <w:lang w:val="pt-PT"/>
        </w:rPr>
        <w:t>/as</w:t>
      </w:r>
      <w:r w:rsidRPr="00220E11">
        <w:rPr>
          <w:rFonts w:ascii="Garamond" w:hAnsi="Garamond"/>
          <w:lang w:val="pt-PT"/>
        </w:rPr>
        <w:t xml:space="preserve"> de saúde para a abordagem da </w:t>
      </w:r>
      <w:proofErr w:type="spellStart"/>
      <w:r w:rsidRPr="00220E11">
        <w:rPr>
          <w:rFonts w:ascii="Garamond" w:hAnsi="Garamond"/>
          <w:lang w:val="pt-PT"/>
        </w:rPr>
        <w:t>MGF</w:t>
      </w:r>
      <w:proofErr w:type="spellEnd"/>
      <w:r>
        <w:rPr>
          <w:rFonts w:ascii="Garamond" w:hAnsi="Garamond"/>
          <w:lang w:val="pt-PT"/>
        </w:rPr>
        <w:t>, com prioridade para as ilhas com maior presença de imigrantes.</w:t>
      </w:r>
      <w:bookmarkEnd w:id="96"/>
    </w:p>
    <w:p w14:paraId="0ED6C0F6" w14:textId="321E4BB2" w:rsidR="006842F0" w:rsidRPr="00806495" w:rsidRDefault="006842F0" w:rsidP="00187F45">
      <w:pPr>
        <w:pStyle w:val="PargrafodaLista"/>
        <w:spacing w:after="240"/>
        <w:ind w:left="0"/>
        <w:jc w:val="both"/>
        <w:rPr>
          <w:rFonts w:ascii="Garamond" w:hAnsi="Garamond" w:cs="Times New Roman"/>
          <w:b/>
          <w:sz w:val="32"/>
          <w:szCs w:val="32"/>
          <w:lang w:val="pt-PT"/>
        </w:rPr>
      </w:pPr>
      <w:r w:rsidRPr="00806495">
        <w:rPr>
          <w:rFonts w:ascii="Garamond" w:hAnsi="Garamond" w:cs="Times New Roman"/>
          <w:b/>
          <w:sz w:val="32"/>
          <w:szCs w:val="32"/>
          <w:lang w:val="pt-PT"/>
        </w:rPr>
        <w:br w:type="page"/>
      </w:r>
    </w:p>
    <w:p w14:paraId="53B3A234" w14:textId="77777777" w:rsidR="000A3765" w:rsidRPr="00806495" w:rsidRDefault="000A3765" w:rsidP="0055267C">
      <w:pPr>
        <w:pStyle w:val="PargrafodaLista"/>
        <w:spacing w:after="240"/>
        <w:ind w:left="0"/>
        <w:jc w:val="both"/>
        <w:outlineLvl w:val="2"/>
        <w:rPr>
          <w:rFonts w:ascii="Garamond" w:hAnsi="Garamond" w:cs="Times New Roman"/>
          <w:b/>
          <w:sz w:val="32"/>
          <w:szCs w:val="32"/>
          <w:lang w:val="pt-PT"/>
        </w:rPr>
      </w:pPr>
      <w:bookmarkStart w:id="97" w:name="_Toc32858132"/>
      <w:bookmarkEnd w:id="92"/>
      <w:r w:rsidRPr="00806495">
        <w:rPr>
          <w:rFonts w:ascii="Garamond" w:hAnsi="Garamond" w:cs="Times New Roman"/>
          <w:b/>
          <w:sz w:val="32"/>
          <w:szCs w:val="32"/>
          <w:lang w:val="pt-PT"/>
        </w:rPr>
        <w:t>Eixo estratégico 5 – Participação política e exercício do poder</w:t>
      </w:r>
      <w:bookmarkEnd w:id="97"/>
    </w:p>
    <w:p w14:paraId="5FF514A8" w14:textId="77777777" w:rsidR="008601E5" w:rsidRDefault="008601E5" w:rsidP="008601E5">
      <w:pPr>
        <w:spacing w:after="240"/>
        <w:jc w:val="both"/>
        <w:rPr>
          <w:rFonts w:ascii="Garamond" w:hAnsi="Garamond"/>
        </w:rPr>
      </w:pPr>
      <w:r w:rsidRPr="008601E5">
        <w:rPr>
          <w:rFonts w:ascii="Garamond" w:hAnsi="Garamond"/>
          <w:lang w:val="pt-PT"/>
        </w:rPr>
        <w:t xml:space="preserve">Nas últimas eleições realizadas em Cabo Verde, em 2016, registou-se um aumento na representação das mulheres no poder legislativo e autárquico, mas modesto: foram eleitas 17 mulheres, mais 2 do que em 2011, passando a taxa de mulheres no Parlamento de 20,8% para 23,6%; nas eleições autárquicas, passou-se de 22% em 2012, para 26,3% em 2016: a proporção de deputadas nas Assembleias Municipais (AM) é agora de 29,4%, de Vereadoras nas Câmaras Municipais de 21% (tendo 2 CM atingido a paridade - a da Praia com 44,4% e a da Brava com 60%), e de Presidentes das Mesas das AM de 13,6%. Contudo, ao contrário de eleições anteriores, não foi eleita nenhuma mulher Presidente de Câmara. </w:t>
      </w:r>
      <w:proofErr w:type="spellStart"/>
      <w:r w:rsidRPr="00806495">
        <w:rPr>
          <w:rFonts w:ascii="Garamond" w:hAnsi="Garamond"/>
        </w:rPr>
        <w:t>Nas</w:t>
      </w:r>
      <w:proofErr w:type="spellEnd"/>
      <w:r w:rsidRPr="00806495">
        <w:rPr>
          <w:rFonts w:ascii="Garamond" w:hAnsi="Garamond"/>
        </w:rPr>
        <w:t xml:space="preserve"> </w:t>
      </w:r>
      <w:proofErr w:type="spellStart"/>
      <w:r w:rsidRPr="00806495">
        <w:rPr>
          <w:rFonts w:ascii="Garamond" w:hAnsi="Garamond"/>
        </w:rPr>
        <w:t>eleições</w:t>
      </w:r>
      <w:proofErr w:type="spellEnd"/>
      <w:r w:rsidRPr="00806495">
        <w:rPr>
          <w:rFonts w:ascii="Garamond" w:hAnsi="Garamond"/>
        </w:rPr>
        <w:t xml:space="preserve"> </w:t>
      </w:r>
      <w:proofErr w:type="spellStart"/>
      <w:r w:rsidRPr="00806495">
        <w:rPr>
          <w:rFonts w:ascii="Garamond" w:hAnsi="Garamond"/>
        </w:rPr>
        <w:t>Presidenciais</w:t>
      </w:r>
      <w:proofErr w:type="spellEnd"/>
      <w:r w:rsidRPr="00806495">
        <w:rPr>
          <w:rFonts w:ascii="Garamond" w:hAnsi="Garamond"/>
        </w:rPr>
        <w:t xml:space="preserve"> </w:t>
      </w:r>
      <w:proofErr w:type="spellStart"/>
      <w:r w:rsidRPr="00806495">
        <w:rPr>
          <w:rFonts w:ascii="Garamond" w:hAnsi="Garamond"/>
        </w:rPr>
        <w:t>não</w:t>
      </w:r>
      <w:proofErr w:type="spellEnd"/>
      <w:r w:rsidRPr="00806495">
        <w:rPr>
          <w:rFonts w:ascii="Garamond" w:hAnsi="Garamond"/>
        </w:rPr>
        <w:t xml:space="preserve"> </w:t>
      </w:r>
      <w:proofErr w:type="spellStart"/>
      <w:r w:rsidRPr="00806495">
        <w:rPr>
          <w:rFonts w:ascii="Garamond" w:hAnsi="Garamond"/>
        </w:rPr>
        <w:t>houve</w:t>
      </w:r>
      <w:proofErr w:type="spellEnd"/>
      <w:r w:rsidRPr="00806495">
        <w:rPr>
          <w:rFonts w:ascii="Garamond" w:hAnsi="Garamond"/>
        </w:rPr>
        <w:t xml:space="preserve"> </w:t>
      </w:r>
      <w:proofErr w:type="spellStart"/>
      <w:r w:rsidRPr="00806495">
        <w:rPr>
          <w:rFonts w:ascii="Garamond" w:hAnsi="Garamond"/>
        </w:rPr>
        <w:t>mulheres</w:t>
      </w:r>
      <w:proofErr w:type="spellEnd"/>
      <w:r w:rsidRPr="00806495">
        <w:rPr>
          <w:rFonts w:ascii="Garamond" w:hAnsi="Garamond"/>
        </w:rPr>
        <w:t xml:space="preserve"> </w:t>
      </w:r>
      <w:proofErr w:type="spellStart"/>
      <w:r w:rsidRPr="00806495">
        <w:rPr>
          <w:rFonts w:ascii="Garamond" w:hAnsi="Garamond"/>
        </w:rPr>
        <w:t>candidatas</w:t>
      </w:r>
      <w:proofErr w:type="spellEnd"/>
      <w:r w:rsidRPr="00806495">
        <w:rPr>
          <w:rFonts w:ascii="Garamond" w:hAnsi="Garamond"/>
        </w:rPr>
        <w:t xml:space="preserve">. </w:t>
      </w:r>
    </w:p>
    <w:tbl>
      <w:tblPr>
        <w:tblStyle w:val="TabelacomGrelh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9"/>
      </w:tblGrid>
      <w:tr w:rsidR="008601E5" w:rsidRPr="005808D4" w14:paraId="1FFB3B44" w14:textId="77777777" w:rsidTr="00432079">
        <w:tc>
          <w:tcPr>
            <w:tcW w:w="4536" w:type="dxa"/>
          </w:tcPr>
          <w:p w14:paraId="582652E3" w14:textId="1C111C34" w:rsidR="008601E5" w:rsidRPr="008601E5" w:rsidRDefault="008601E5" w:rsidP="00BE3B5A">
            <w:pPr>
              <w:pStyle w:val="Legenda"/>
              <w:spacing w:after="0"/>
              <w:jc w:val="center"/>
              <w:rPr>
                <w:rFonts w:ascii="Garamond" w:hAnsi="Garamond"/>
                <w:b/>
                <w:bCs/>
                <w:lang w:val="pt-PT"/>
              </w:rPr>
            </w:pPr>
            <w:bookmarkStart w:id="98" w:name="_Toc32856884"/>
            <w:r w:rsidRPr="008601E5">
              <w:rPr>
                <w:rFonts w:ascii="Garamond" w:hAnsi="Garamond"/>
                <w:b/>
                <w:bCs/>
                <w:lang w:val="pt-PT"/>
              </w:rPr>
              <w:t xml:space="preserve">Gráfico </w:t>
            </w:r>
            <w:r w:rsidRPr="0078787F">
              <w:rPr>
                <w:rFonts w:ascii="Garamond" w:hAnsi="Garamond"/>
                <w:b/>
                <w:bCs/>
              </w:rPr>
              <w:fldChar w:fldCharType="begin"/>
            </w:r>
            <w:r w:rsidRPr="008601E5">
              <w:rPr>
                <w:rFonts w:ascii="Garamond" w:hAnsi="Garamond"/>
                <w:b/>
                <w:bCs/>
                <w:lang w:val="pt-PT"/>
              </w:rPr>
              <w:instrText xml:space="preserve"> SEQ Grafico \* ARABIC </w:instrText>
            </w:r>
            <w:r w:rsidRPr="0078787F">
              <w:rPr>
                <w:rFonts w:ascii="Garamond" w:hAnsi="Garamond"/>
                <w:b/>
                <w:bCs/>
              </w:rPr>
              <w:fldChar w:fldCharType="separate"/>
            </w:r>
            <w:r w:rsidR="009F122A">
              <w:rPr>
                <w:rFonts w:ascii="Garamond" w:hAnsi="Garamond"/>
                <w:b/>
                <w:bCs/>
                <w:noProof/>
                <w:lang w:val="pt-PT"/>
              </w:rPr>
              <w:t>30</w:t>
            </w:r>
            <w:r w:rsidRPr="0078787F">
              <w:rPr>
                <w:rFonts w:ascii="Garamond" w:hAnsi="Garamond"/>
                <w:b/>
                <w:bCs/>
              </w:rPr>
              <w:fldChar w:fldCharType="end"/>
            </w:r>
            <w:r w:rsidRPr="008601E5">
              <w:rPr>
                <w:rFonts w:ascii="Garamond" w:hAnsi="Garamond"/>
                <w:b/>
                <w:bCs/>
                <w:lang w:val="pt-PT"/>
              </w:rPr>
              <w:t xml:space="preserve"> – Percentagem de deputadas e deputados eleitos nas eleições legislativas de 1991 a 2016</w:t>
            </w:r>
            <w:bookmarkEnd w:id="98"/>
          </w:p>
        </w:tc>
        <w:tc>
          <w:tcPr>
            <w:tcW w:w="4679" w:type="dxa"/>
          </w:tcPr>
          <w:p w14:paraId="5146B0D8" w14:textId="31276598" w:rsidR="008601E5" w:rsidRPr="008601E5" w:rsidRDefault="008601E5" w:rsidP="00BE3B5A">
            <w:pPr>
              <w:pStyle w:val="Legenda"/>
              <w:spacing w:after="0"/>
              <w:jc w:val="center"/>
              <w:rPr>
                <w:rFonts w:ascii="Garamond" w:hAnsi="Garamond"/>
                <w:b/>
                <w:bCs/>
                <w:lang w:val="pt-PT"/>
              </w:rPr>
            </w:pPr>
            <w:bookmarkStart w:id="99" w:name="_Toc32856885"/>
            <w:r w:rsidRPr="008601E5">
              <w:rPr>
                <w:rFonts w:ascii="Garamond" w:hAnsi="Garamond"/>
                <w:b/>
                <w:bCs/>
                <w:lang w:val="pt-PT"/>
              </w:rPr>
              <w:t xml:space="preserve">Gráfico </w:t>
            </w:r>
            <w:r w:rsidRPr="0078787F">
              <w:rPr>
                <w:rFonts w:ascii="Garamond" w:hAnsi="Garamond"/>
                <w:b/>
                <w:bCs/>
              </w:rPr>
              <w:fldChar w:fldCharType="begin"/>
            </w:r>
            <w:r w:rsidRPr="008601E5">
              <w:rPr>
                <w:rFonts w:ascii="Garamond" w:hAnsi="Garamond"/>
                <w:b/>
                <w:bCs/>
                <w:lang w:val="pt-PT"/>
              </w:rPr>
              <w:instrText xml:space="preserve"> SEQ Grafico \* ARABIC </w:instrText>
            </w:r>
            <w:r w:rsidRPr="0078787F">
              <w:rPr>
                <w:rFonts w:ascii="Garamond" w:hAnsi="Garamond"/>
                <w:b/>
                <w:bCs/>
              </w:rPr>
              <w:fldChar w:fldCharType="separate"/>
            </w:r>
            <w:r w:rsidR="009F122A">
              <w:rPr>
                <w:rFonts w:ascii="Garamond" w:hAnsi="Garamond"/>
                <w:b/>
                <w:bCs/>
                <w:noProof/>
                <w:lang w:val="pt-PT"/>
              </w:rPr>
              <w:t>31</w:t>
            </w:r>
            <w:r w:rsidRPr="0078787F">
              <w:rPr>
                <w:rFonts w:ascii="Garamond" w:hAnsi="Garamond"/>
                <w:b/>
                <w:bCs/>
              </w:rPr>
              <w:fldChar w:fldCharType="end"/>
            </w:r>
            <w:r w:rsidRPr="008601E5">
              <w:rPr>
                <w:rFonts w:ascii="Garamond" w:hAnsi="Garamond"/>
                <w:b/>
                <w:bCs/>
                <w:lang w:val="pt-PT"/>
              </w:rPr>
              <w:t xml:space="preserve"> – Percentagem de mulheres e homens eleitos nas eleições autárquicas de 2016, por cargo</w:t>
            </w:r>
            <w:bookmarkEnd w:id="99"/>
          </w:p>
        </w:tc>
      </w:tr>
      <w:tr w:rsidR="008601E5" w14:paraId="5D1B0071" w14:textId="77777777" w:rsidTr="00432079">
        <w:tc>
          <w:tcPr>
            <w:tcW w:w="4536" w:type="dxa"/>
          </w:tcPr>
          <w:p w14:paraId="041D6FA8" w14:textId="77777777" w:rsidR="008601E5" w:rsidRDefault="008601E5" w:rsidP="00432079">
            <w:pPr>
              <w:jc w:val="both"/>
              <w:rPr>
                <w:rFonts w:ascii="Garamond" w:hAnsi="Garamond"/>
              </w:rPr>
            </w:pPr>
            <w:r w:rsidRPr="00D30DFA">
              <w:rPr>
                <w:rFonts w:ascii="Garamond" w:hAnsi="Garamond"/>
                <w:noProof/>
              </w:rPr>
              <w:drawing>
                <wp:inline distT="0" distB="0" distL="0" distR="0" wp14:anchorId="61422AA7" wp14:editId="426B3CF5">
                  <wp:extent cx="2729230" cy="1455312"/>
                  <wp:effectExtent l="0" t="0" r="13970" b="12065"/>
                  <wp:docPr id="1" name="Gráfico 1">
                    <a:extLst xmlns:a="http://schemas.openxmlformats.org/drawingml/2006/main">
                      <a:ext uri="{FF2B5EF4-FFF2-40B4-BE49-F238E27FC236}">
                        <a16:creationId xmlns:a16="http://schemas.microsoft.com/office/drawing/2014/main" id="{F18741D6-F935-4DB9-B865-1681444BD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4679" w:type="dxa"/>
          </w:tcPr>
          <w:p w14:paraId="78512C3C" w14:textId="77777777" w:rsidR="008601E5" w:rsidRDefault="008601E5" w:rsidP="00432079">
            <w:pPr>
              <w:jc w:val="both"/>
              <w:rPr>
                <w:rFonts w:ascii="Garamond" w:hAnsi="Garamond"/>
              </w:rPr>
            </w:pPr>
            <w:r w:rsidRPr="00D30DFA">
              <w:rPr>
                <w:rFonts w:ascii="Garamond" w:hAnsi="Garamond"/>
                <w:noProof/>
              </w:rPr>
              <w:drawing>
                <wp:inline distT="0" distB="0" distL="0" distR="0" wp14:anchorId="270E5940" wp14:editId="6C82A259">
                  <wp:extent cx="2764155" cy="1601273"/>
                  <wp:effectExtent l="0" t="0" r="0" b="0"/>
                  <wp:docPr id="2" name="Gráfico 2">
                    <a:extLst xmlns:a="http://schemas.openxmlformats.org/drawingml/2006/main">
                      <a:ext uri="{FF2B5EF4-FFF2-40B4-BE49-F238E27FC236}">
                        <a16:creationId xmlns:a16="http://schemas.microsoft.com/office/drawing/2014/main" id="{8166B3B3-7516-4A68-9288-59F8BA153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14:paraId="6FECD89F" w14:textId="56CB79A4" w:rsidR="008601E5" w:rsidRPr="009F0C1D" w:rsidRDefault="008601E5" w:rsidP="008601E5">
      <w:pPr>
        <w:spacing w:after="240"/>
        <w:jc w:val="center"/>
        <w:rPr>
          <w:rFonts w:ascii="Garamond" w:hAnsi="Garamond"/>
          <w:b/>
          <w:bCs/>
          <w:sz w:val="18"/>
          <w:szCs w:val="18"/>
          <w:lang w:val="pt-PT"/>
        </w:rPr>
      </w:pPr>
      <w:r w:rsidRPr="009F0C1D">
        <w:rPr>
          <w:rFonts w:ascii="Garamond" w:hAnsi="Garamond"/>
          <w:b/>
          <w:bCs/>
          <w:sz w:val="18"/>
          <w:szCs w:val="18"/>
          <w:lang w:val="pt-PT"/>
        </w:rPr>
        <w:t xml:space="preserve">Fonte: </w:t>
      </w:r>
      <w:r w:rsidR="009F0C1D">
        <w:rPr>
          <w:rFonts w:ascii="Garamond" w:hAnsi="Garamond"/>
          <w:b/>
          <w:bCs/>
          <w:sz w:val="18"/>
          <w:szCs w:val="18"/>
          <w:lang w:val="pt-PT"/>
        </w:rPr>
        <w:t xml:space="preserve">elaboração própria com base nos dados </w:t>
      </w:r>
      <w:r w:rsidR="00751B5C">
        <w:rPr>
          <w:rFonts w:ascii="Garamond" w:hAnsi="Garamond"/>
          <w:b/>
          <w:bCs/>
          <w:sz w:val="18"/>
          <w:szCs w:val="18"/>
          <w:lang w:val="pt-PT"/>
        </w:rPr>
        <w:t xml:space="preserve">do </w:t>
      </w:r>
      <w:proofErr w:type="spellStart"/>
      <w:r w:rsidR="00751B5C">
        <w:rPr>
          <w:rFonts w:ascii="Garamond" w:hAnsi="Garamond"/>
          <w:b/>
          <w:bCs/>
          <w:sz w:val="18"/>
          <w:szCs w:val="18"/>
          <w:lang w:val="pt-PT"/>
        </w:rPr>
        <w:t>Argumentário</w:t>
      </w:r>
      <w:proofErr w:type="spellEnd"/>
      <w:r w:rsidR="00751B5C">
        <w:rPr>
          <w:rFonts w:ascii="Garamond" w:hAnsi="Garamond"/>
          <w:b/>
          <w:bCs/>
          <w:sz w:val="18"/>
          <w:szCs w:val="18"/>
          <w:lang w:val="pt-PT"/>
        </w:rPr>
        <w:t xml:space="preserve"> da Lei da Paridade (2019)</w:t>
      </w:r>
    </w:p>
    <w:p w14:paraId="6C3F4957" w14:textId="2A43D807" w:rsidR="008601E5" w:rsidRPr="008601E5" w:rsidRDefault="008601E5" w:rsidP="008601E5">
      <w:pPr>
        <w:spacing w:after="240"/>
        <w:jc w:val="both"/>
        <w:rPr>
          <w:rFonts w:ascii="Garamond" w:hAnsi="Garamond"/>
          <w:lang w:val="pt-PT"/>
        </w:rPr>
      </w:pPr>
      <w:r w:rsidRPr="008601E5">
        <w:rPr>
          <w:rFonts w:ascii="Garamond" w:hAnsi="Garamond"/>
          <w:lang w:val="pt-PT"/>
        </w:rPr>
        <w:t>É no contexto deste incremento consistentemente modesto, da ordem de 3,9% por cada legislatura de 5 anos, e de 3,5% por cada ciclo autárquico de 4 anos,</w:t>
      </w:r>
      <w:r>
        <w:rPr>
          <w:rStyle w:val="Refdenotaderodap"/>
          <w:rFonts w:ascii="Garamond" w:hAnsi="Garamond"/>
        </w:rPr>
        <w:footnoteReference w:id="115"/>
      </w:r>
      <w:r w:rsidRPr="008601E5">
        <w:rPr>
          <w:rFonts w:ascii="Garamond" w:hAnsi="Garamond"/>
          <w:lang w:val="pt-PT"/>
        </w:rPr>
        <w:t xml:space="preserve"> que foi aprovada a </w:t>
      </w:r>
      <w:r w:rsidRPr="008601E5">
        <w:rPr>
          <w:rFonts w:ascii="Garamond" w:hAnsi="Garamond"/>
          <w:b/>
          <w:bCs/>
          <w:lang w:val="pt-PT"/>
        </w:rPr>
        <w:t>Lei da Paridade</w:t>
      </w:r>
      <w:r w:rsidRPr="008601E5">
        <w:rPr>
          <w:rFonts w:ascii="Garamond" w:hAnsi="Garamond"/>
          <w:lang w:val="pt-PT"/>
        </w:rPr>
        <w:t>, em finais de 2019 (Lei nº 68/IX/2019, de 28 de Novembro), que tem por objecto «</w:t>
      </w:r>
      <w:r w:rsidRPr="008601E5">
        <w:rPr>
          <w:rFonts w:ascii="Garamond" w:hAnsi="Garamond"/>
          <w:i/>
          <w:iCs/>
          <w:lang w:val="pt-PT"/>
        </w:rPr>
        <w:t xml:space="preserve">garantir uma </w:t>
      </w:r>
      <w:proofErr w:type="spellStart"/>
      <w:r w:rsidRPr="008601E5">
        <w:rPr>
          <w:rFonts w:ascii="Garamond" w:hAnsi="Garamond"/>
          <w:i/>
          <w:iCs/>
          <w:lang w:val="pt-PT"/>
        </w:rPr>
        <w:t>efetiva</w:t>
      </w:r>
      <w:proofErr w:type="spellEnd"/>
      <w:r w:rsidRPr="008601E5">
        <w:rPr>
          <w:rFonts w:ascii="Garamond" w:hAnsi="Garamond"/>
          <w:i/>
          <w:iCs/>
          <w:lang w:val="pt-PT"/>
        </w:rPr>
        <w:t xml:space="preserve"> igualdade de direitos e deveres entre homens e mulheres, com vista a eliminação de todas as formas de discriminação e a criação das mesmas oportunidades, nomeadamente no que se refere à participação política e ao exercício de cargos de decisão, visando alcançar uma sociedade mais justa, democrática e equilibrada</w:t>
      </w:r>
      <w:r w:rsidRPr="008601E5">
        <w:rPr>
          <w:rFonts w:ascii="Garamond" w:hAnsi="Garamond"/>
          <w:lang w:val="pt-PT"/>
        </w:rPr>
        <w:t xml:space="preserve">» (Artigo 1º). A Lei da Paridade foi aprovada por consenso na generalidade e entrou em vigor imediatamente após a sua publicação, </w:t>
      </w:r>
      <w:r w:rsidR="002B0F42">
        <w:rPr>
          <w:rFonts w:ascii="Garamond" w:hAnsi="Garamond"/>
          <w:lang w:val="pt-PT"/>
        </w:rPr>
        <w:t>para que possa</w:t>
      </w:r>
      <w:r w:rsidRPr="008601E5">
        <w:rPr>
          <w:rFonts w:ascii="Garamond" w:hAnsi="Garamond"/>
          <w:lang w:val="pt-PT"/>
        </w:rPr>
        <w:t xml:space="preserve"> ser aplicada já nas próximas eleições – autárquicas de 2020.</w:t>
      </w:r>
    </w:p>
    <w:p w14:paraId="52ED78EE" w14:textId="77777777" w:rsidR="008601E5" w:rsidRPr="008601E5" w:rsidRDefault="008601E5" w:rsidP="008601E5">
      <w:pPr>
        <w:spacing w:after="240"/>
        <w:jc w:val="both"/>
        <w:rPr>
          <w:rFonts w:ascii="Garamond" w:hAnsi="Garamond"/>
          <w:lang w:val="pt-PT"/>
        </w:rPr>
      </w:pPr>
      <w:r w:rsidRPr="008601E5">
        <w:rPr>
          <w:rFonts w:ascii="Garamond" w:hAnsi="Garamond"/>
          <w:lang w:val="pt-PT"/>
        </w:rPr>
        <w:t>O preâmbulo da Lei destaca a sua função de prevenção e combate às «</w:t>
      </w:r>
      <w:r w:rsidRPr="008601E5">
        <w:rPr>
          <w:rFonts w:ascii="Garamond" w:hAnsi="Garamond"/>
          <w:i/>
          <w:iCs/>
          <w:lang w:val="pt-PT"/>
        </w:rPr>
        <w:t xml:space="preserve">condutas discriminatórias, em função do sexo e na promoção de políticas </w:t>
      </w:r>
      <w:proofErr w:type="spellStart"/>
      <w:r w:rsidRPr="008601E5">
        <w:rPr>
          <w:rFonts w:ascii="Garamond" w:hAnsi="Garamond"/>
          <w:i/>
          <w:iCs/>
          <w:lang w:val="pt-PT"/>
        </w:rPr>
        <w:t>ativas</w:t>
      </w:r>
      <w:proofErr w:type="spellEnd"/>
      <w:r w:rsidRPr="008601E5">
        <w:rPr>
          <w:rFonts w:ascii="Garamond" w:hAnsi="Garamond"/>
          <w:i/>
          <w:iCs/>
          <w:lang w:val="pt-PT"/>
        </w:rPr>
        <w:t xml:space="preserve"> de igualdade entre homens e mulheres, no sentido de tornar </w:t>
      </w:r>
      <w:proofErr w:type="spellStart"/>
      <w:r w:rsidRPr="008601E5">
        <w:rPr>
          <w:rFonts w:ascii="Garamond" w:hAnsi="Garamond"/>
          <w:i/>
          <w:iCs/>
          <w:lang w:val="pt-PT"/>
        </w:rPr>
        <w:t>efetivo</w:t>
      </w:r>
      <w:proofErr w:type="spellEnd"/>
      <w:r w:rsidRPr="008601E5">
        <w:rPr>
          <w:rFonts w:ascii="Garamond" w:hAnsi="Garamond"/>
          <w:i/>
          <w:iCs/>
          <w:lang w:val="pt-PT"/>
        </w:rPr>
        <w:t xml:space="preserve"> os princípios da dignidade da pessoa humana, justiça e igualdade, consagrados na nossa Constituição da República e contribuir também para a consolidação da democracia</w:t>
      </w:r>
      <w:r w:rsidRPr="008601E5">
        <w:rPr>
          <w:rFonts w:ascii="Garamond" w:hAnsi="Garamond"/>
          <w:lang w:val="pt-PT"/>
        </w:rPr>
        <w:t>». Com efeito, a Lei da Paridade assenta no reconhecimento constitucional da (i) igualdade de direitos e deveres entre homens e mulheres; (ii) a importância da sua participação equilibrada para consolidar a democracia representativa; e (iii) a justiça de se defender iguais oportunidades para mulheres e homens, reconhecendo as formas directas e indirectas de discriminação que existem em razão do género.</w:t>
      </w:r>
      <w:r w:rsidRPr="0009396D">
        <w:rPr>
          <w:rStyle w:val="Refdenotaderodap"/>
          <w:rFonts w:ascii="Garamond" w:hAnsi="Garamond"/>
        </w:rPr>
        <w:footnoteReference w:id="116"/>
      </w:r>
      <w:r w:rsidRPr="008601E5">
        <w:rPr>
          <w:rFonts w:ascii="Garamond" w:hAnsi="Garamond"/>
          <w:lang w:val="pt-PT"/>
        </w:rPr>
        <w:t xml:space="preserve"> Note-se que o compromisso com o aumento da representação das mulheres nas instâncias de tomada de decisão, além de ser um compromisso político do Governo, espelhado no seu Programa para a IXª Legislatura e no </w:t>
      </w:r>
      <w:proofErr w:type="spellStart"/>
      <w:r w:rsidRPr="008601E5">
        <w:rPr>
          <w:rFonts w:ascii="Garamond" w:hAnsi="Garamond"/>
          <w:lang w:val="pt-PT"/>
        </w:rPr>
        <w:t>PEDS</w:t>
      </w:r>
      <w:proofErr w:type="spellEnd"/>
      <w:r w:rsidRPr="008601E5">
        <w:rPr>
          <w:rFonts w:ascii="Garamond" w:hAnsi="Garamond"/>
          <w:lang w:val="pt-PT"/>
        </w:rPr>
        <w:t xml:space="preserve">, e da </w:t>
      </w:r>
      <w:proofErr w:type="spellStart"/>
      <w:r w:rsidRPr="008601E5">
        <w:rPr>
          <w:rFonts w:ascii="Garamond" w:hAnsi="Garamond"/>
          <w:lang w:val="pt-PT"/>
        </w:rPr>
        <w:t>CEDAW</w:t>
      </w:r>
      <w:proofErr w:type="spellEnd"/>
      <w:r w:rsidRPr="008601E5">
        <w:rPr>
          <w:rFonts w:ascii="Garamond" w:hAnsi="Garamond"/>
          <w:lang w:val="pt-PT"/>
        </w:rPr>
        <w:t>,</w:t>
      </w:r>
      <w:r w:rsidRPr="0009396D">
        <w:rPr>
          <w:rStyle w:val="Refdenotaderodap"/>
          <w:rFonts w:ascii="Garamond" w:hAnsi="Garamond"/>
        </w:rPr>
        <w:footnoteReference w:id="117"/>
      </w:r>
      <w:r w:rsidRPr="008601E5">
        <w:rPr>
          <w:rFonts w:ascii="Garamond" w:hAnsi="Garamond"/>
          <w:lang w:val="pt-PT"/>
        </w:rPr>
        <w:t xml:space="preserve"> é um compromisso mundial que se reafirmou no contexto da Agenda 2030 para o desenvolvimento sustentável, através de </w:t>
      </w:r>
      <w:proofErr w:type="spellStart"/>
      <w:r w:rsidRPr="008601E5">
        <w:rPr>
          <w:rFonts w:ascii="Garamond" w:hAnsi="Garamond"/>
          <w:lang w:val="pt-PT"/>
        </w:rPr>
        <w:t>ODS</w:t>
      </w:r>
      <w:proofErr w:type="spellEnd"/>
      <w:r w:rsidRPr="008601E5">
        <w:rPr>
          <w:rFonts w:ascii="Garamond" w:hAnsi="Garamond"/>
          <w:lang w:val="pt-PT"/>
        </w:rPr>
        <w:t xml:space="preserve"> 5</w:t>
      </w:r>
      <w:r w:rsidRPr="0009396D">
        <w:rPr>
          <w:rStyle w:val="Refdenotaderodap"/>
          <w:rFonts w:ascii="Garamond" w:hAnsi="Garamond"/>
        </w:rPr>
        <w:footnoteReference w:id="118"/>
      </w:r>
      <w:r w:rsidRPr="008601E5">
        <w:rPr>
          <w:rFonts w:ascii="Garamond" w:hAnsi="Garamond"/>
          <w:lang w:val="pt-PT"/>
        </w:rPr>
        <w:t xml:space="preserve"> e do </w:t>
      </w:r>
      <w:proofErr w:type="spellStart"/>
      <w:r w:rsidRPr="008601E5">
        <w:rPr>
          <w:rFonts w:ascii="Garamond" w:hAnsi="Garamond"/>
          <w:lang w:val="pt-PT"/>
        </w:rPr>
        <w:t>ODS</w:t>
      </w:r>
      <w:proofErr w:type="spellEnd"/>
      <w:r w:rsidRPr="008601E5">
        <w:rPr>
          <w:rFonts w:ascii="Garamond" w:hAnsi="Garamond"/>
          <w:lang w:val="pt-PT"/>
        </w:rPr>
        <w:t xml:space="preserve"> 16,</w:t>
      </w:r>
      <w:r w:rsidRPr="0009396D">
        <w:rPr>
          <w:rStyle w:val="Refdenotaderodap"/>
          <w:rFonts w:ascii="Garamond" w:hAnsi="Garamond"/>
        </w:rPr>
        <w:footnoteReference w:id="119"/>
      </w:r>
      <w:r w:rsidRPr="008601E5">
        <w:rPr>
          <w:rFonts w:ascii="Garamond" w:hAnsi="Garamond"/>
          <w:lang w:val="pt-PT"/>
        </w:rPr>
        <w:t xml:space="preserve"> e no contexto Africano através da Agenda de Desenvolvimento 2063 da União Africana.</w:t>
      </w:r>
    </w:p>
    <w:p w14:paraId="7B4512B5" w14:textId="77777777" w:rsidR="008601E5" w:rsidRPr="004420D4" w:rsidRDefault="008601E5" w:rsidP="008601E5">
      <w:pPr>
        <w:spacing w:after="120"/>
        <w:jc w:val="both"/>
        <w:rPr>
          <w:rFonts w:ascii="Garamond" w:hAnsi="Garamond"/>
        </w:rPr>
      </w:pPr>
      <w:r w:rsidRPr="008601E5">
        <w:rPr>
          <w:rFonts w:ascii="Garamond" w:hAnsi="Garamond"/>
          <w:lang w:val="pt-PT"/>
        </w:rPr>
        <w:t xml:space="preserve">A Lei da Paridade, reafirmando os princípios salvaguardados </w:t>
      </w:r>
      <w:proofErr w:type="spellStart"/>
      <w:r w:rsidRPr="008601E5">
        <w:rPr>
          <w:rFonts w:ascii="Garamond" w:hAnsi="Garamond"/>
          <w:lang w:val="pt-PT"/>
        </w:rPr>
        <w:t>pela</w:t>
      </w:r>
      <w:proofErr w:type="spellEnd"/>
      <w:r w:rsidRPr="008601E5">
        <w:rPr>
          <w:rFonts w:ascii="Garamond" w:hAnsi="Garamond"/>
          <w:lang w:val="pt-PT"/>
        </w:rPr>
        <w:t xml:space="preserve"> Constituição da República, reforça medidas promotoras da igualdade de facto (igualdade de resultado) entre homens e mulheres no acesso e exercício de cargos decisão, destacando em particular a </w:t>
      </w:r>
      <w:r w:rsidRPr="008601E5">
        <w:rPr>
          <w:rFonts w:ascii="Garamond" w:hAnsi="Garamond"/>
          <w:b/>
          <w:bCs/>
          <w:lang w:val="pt-PT"/>
        </w:rPr>
        <w:t>paridade na participação política</w:t>
      </w:r>
      <w:r w:rsidRPr="008601E5">
        <w:rPr>
          <w:rFonts w:ascii="Garamond" w:hAnsi="Garamond"/>
          <w:lang w:val="pt-PT"/>
        </w:rPr>
        <w:t>. Esta é entendida no âmbito da Lei como «</w:t>
      </w:r>
      <w:r w:rsidRPr="008601E5">
        <w:rPr>
          <w:rFonts w:ascii="Garamond" w:hAnsi="Garamond"/>
          <w:b/>
          <w:bCs/>
          <w:i/>
          <w:iCs/>
          <w:lang w:val="pt-PT"/>
        </w:rPr>
        <w:t>a representação mínima de 40% de cada um dos sexos nas listas de candidatura</w:t>
      </w:r>
      <w:r w:rsidRPr="008601E5">
        <w:rPr>
          <w:rFonts w:ascii="Garamond" w:hAnsi="Garamond"/>
          <w:i/>
          <w:iCs/>
          <w:lang w:val="pt-PT"/>
        </w:rPr>
        <w:t xml:space="preserve"> aos órgãos colegiais do poder político, nomeadamente, Assembleia Nacional, Câmara Municipal, Assembleia Municipal e outros órgãos supramunicipais ou inframunicipais</w:t>
      </w:r>
      <w:r w:rsidRPr="008601E5">
        <w:rPr>
          <w:rFonts w:ascii="Garamond" w:hAnsi="Garamond"/>
          <w:lang w:val="pt-PT"/>
        </w:rPr>
        <w:t xml:space="preserve">» (artigo 4º, nº1). Ou seja, fixa um limiar mínimo do que pode ser considerado paridade, tanto para homens como para mulheres, sem impedir que se alcance o equilíbrio 50/50. </w:t>
      </w:r>
      <w:proofErr w:type="spellStart"/>
      <w:r>
        <w:rPr>
          <w:rFonts w:ascii="Garamond" w:hAnsi="Garamond"/>
        </w:rPr>
        <w:t>P</w:t>
      </w:r>
      <w:r w:rsidRPr="004420D4">
        <w:rPr>
          <w:rFonts w:ascii="Garamond" w:hAnsi="Garamond"/>
        </w:rPr>
        <w:t>ropõe</w:t>
      </w:r>
      <w:proofErr w:type="spellEnd"/>
      <w:r w:rsidRPr="004420D4">
        <w:rPr>
          <w:rFonts w:ascii="Garamond" w:hAnsi="Garamond"/>
        </w:rPr>
        <w:t xml:space="preserve"> as </w:t>
      </w:r>
      <w:proofErr w:type="spellStart"/>
      <w:r w:rsidRPr="004420D4">
        <w:rPr>
          <w:rFonts w:ascii="Garamond" w:hAnsi="Garamond"/>
        </w:rPr>
        <w:t>seguintes</w:t>
      </w:r>
      <w:proofErr w:type="spellEnd"/>
      <w:r w:rsidRPr="004420D4">
        <w:rPr>
          <w:rFonts w:ascii="Garamond" w:hAnsi="Garamond"/>
        </w:rPr>
        <w:t xml:space="preserve"> </w:t>
      </w:r>
      <w:proofErr w:type="spellStart"/>
      <w:r w:rsidRPr="004420D4">
        <w:rPr>
          <w:rFonts w:ascii="Garamond" w:hAnsi="Garamond"/>
        </w:rPr>
        <w:t>medidas</w:t>
      </w:r>
      <w:proofErr w:type="spellEnd"/>
      <w:r w:rsidRPr="004420D4">
        <w:rPr>
          <w:rFonts w:ascii="Garamond" w:hAnsi="Garamond"/>
        </w:rPr>
        <w:t xml:space="preserve"> </w:t>
      </w:r>
      <w:proofErr w:type="spellStart"/>
      <w:r w:rsidRPr="004420D4">
        <w:rPr>
          <w:rFonts w:ascii="Garamond" w:hAnsi="Garamond"/>
        </w:rPr>
        <w:t>concretas</w:t>
      </w:r>
      <w:proofErr w:type="spellEnd"/>
      <w:r w:rsidRPr="004420D4">
        <w:rPr>
          <w:rFonts w:ascii="Garamond" w:hAnsi="Garamond"/>
        </w:rPr>
        <w:t>:</w:t>
      </w:r>
    </w:p>
    <w:p w14:paraId="23EB9833" w14:textId="77777777" w:rsidR="008601E5" w:rsidRPr="008601E5" w:rsidRDefault="008601E5" w:rsidP="00786DEC">
      <w:pPr>
        <w:pStyle w:val="PargrafodaLista"/>
        <w:numPr>
          <w:ilvl w:val="0"/>
          <w:numId w:val="51"/>
        </w:numPr>
        <w:spacing w:after="240" w:line="259" w:lineRule="auto"/>
        <w:jc w:val="both"/>
        <w:rPr>
          <w:rFonts w:ascii="Garamond" w:hAnsi="Garamond"/>
          <w:lang w:val="pt-PT"/>
        </w:rPr>
      </w:pPr>
      <w:r w:rsidRPr="008601E5">
        <w:rPr>
          <w:rFonts w:ascii="Garamond" w:hAnsi="Garamond"/>
          <w:lang w:val="pt-PT"/>
        </w:rPr>
        <w:t xml:space="preserve">A </w:t>
      </w:r>
      <w:r w:rsidRPr="008601E5">
        <w:rPr>
          <w:rFonts w:ascii="Garamond" w:hAnsi="Garamond"/>
          <w:b/>
          <w:bCs/>
          <w:u w:val="single"/>
          <w:lang w:val="pt-PT"/>
        </w:rPr>
        <w:t>alternância</w:t>
      </w:r>
      <w:r w:rsidRPr="008601E5">
        <w:rPr>
          <w:rFonts w:ascii="Garamond" w:hAnsi="Garamond"/>
          <w:lang w:val="pt-PT"/>
        </w:rPr>
        <w:t xml:space="preserve"> entre candidatos homens e mulheres (ou vice-versa) nos 2 primeiros lugares de qualquer lista de candidatura plurinominal, e a colocação de um máximo de 2 candidatos seguidos do mesmo sexo no resto dessas mesmas listas (artigo 4º, nº2).</w:t>
      </w:r>
    </w:p>
    <w:p w14:paraId="203AAC7A" w14:textId="77777777" w:rsidR="008601E5" w:rsidRPr="008601E5" w:rsidRDefault="008601E5" w:rsidP="00786DEC">
      <w:pPr>
        <w:pStyle w:val="PargrafodaLista"/>
        <w:numPr>
          <w:ilvl w:val="0"/>
          <w:numId w:val="51"/>
        </w:numPr>
        <w:spacing w:after="240" w:line="259" w:lineRule="auto"/>
        <w:jc w:val="both"/>
        <w:rPr>
          <w:rFonts w:ascii="Garamond" w:hAnsi="Garamond"/>
          <w:lang w:val="pt-PT"/>
        </w:rPr>
      </w:pPr>
      <w:r w:rsidRPr="008601E5">
        <w:rPr>
          <w:rFonts w:ascii="Garamond" w:hAnsi="Garamond"/>
          <w:lang w:val="pt-PT"/>
        </w:rPr>
        <w:t xml:space="preserve">Uma </w:t>
      </w:r>
      <w:r w:rsidRPr="008601E5">
        <w:rPr>
          <w:rFonts w:ascii="Garamond" w:hAnsi="Garamond"/>
          <w:b/>
          <w:bCs/>
          <w:u w:val="single"/>
          <w:lang w:val="pt-PT"/>
        </w:rPr>
        <w:t>medida de fiscalização</w:t>
      </w:r>
      <w:r w:rsidRPr="008601E5">
        <w:rPr>
          <w:rFonts w:ascii="Garamond" w:hAnsi="Garamond"/>
          <w:lang w:val="pt-PT"/>
        </w:rPr>
        <w:t xml:space="preserve"> do efectivo cumprimento da alternância nas listas de candidaturas plurinominais (artigo 5º e 6º): o mandatário da lista que não cumpre os requisitos de alternância é notificado(a), solicitando a correcção da lista, que, caso não seja </w:t>
      </w:r>
      <w:proofErr w:type="spellStart"/>
      <w:r w:rsidRPr="008601E5">
        <w:rPr>
          <w:rFonts w:ascii="Garamond" w:hAnsi="Garamond"/>
          <w:lang w:val="pt-PT"/>
        </w:rPr>
        <w:t>efetuada</w:t>
      </w:r>
      <w:proofErr w:type="spellEnd"/>
      <w:r w:rsidRPr="008601E5">
        <w:rPr>
          <w:rFonts w:ascii="Garamond" w:hAnsi="Garamond"/>
          <w:lang w:val="pt-PT"/>
        </w:rPr>
        <w:t xml:space="preserve">, leva à rejeição da lista </w:t>
      </w:r>
      <w:proofErr w:type="spellStart"/>
      <w:r w:rsidRPr="008601E5">
        <w:rPr>
          <w:rFonts w:ascii="Garamond" w:hAnsi="Garamond"/>
          <w:lang w:val="pt-PT"/>
        </w:rPr>
        <w:t>pelo</w:t>
      </w:r>
      <w:proofErr w:type="spellEnd"/>
      <w:r w:rsidRPr="008601E5">
        <w:rPr>
          <w:rFonts w:ascii="Garamond" w:hAnsi="Garamond"/>
          <w:lang w:val="pt-PT"/>
        </w:rPr>
        <w:t xml:space="preserve"> Tribunal e comunicação da decisão à Comissão Nacional de Eleições.</w:t>
      </w:r>
    </w:p>
    <w:p w14:paraId="05F796E5" w14:textId="77777777" w:rsidR="008601E5" w:rsidRPr="008601E5" w:rsidRDefault="008601E5" w:rsidP="00786DEC">
      <w:pPr>
        <w:pStyle w:val="PargrafodaLista"/>
        <w:numPr>
          <w:ilvl w:val="0"/>
          <w:numId w:val="51"/>
        </w:numPr>
        <w:spacing w:after="240" w:line="259" w:lineRule="auto"/>
        <w:jc w:val="both"/>
        <w:rPr>
          <w:rFonts w:ascii="Garamond" w:hAnsi="Garamond"/>
          <w:lang w:val="pt-PT"/>
        </w:rPr>
      </w:pPr>
      <w:r w:rsidRPr="008601E5">
        <w:rPr>
          <w:rFonts w:ascii="Garamond" w:hAnsi="Garamond"/>
          <w:b/>
          <w:bCs/>
          <w:u w:val="single"/>
          <w:lang w:val="pt-PT"/>
        </w:rPr>
        <w:t>Responsabilidades na sensibilização</w:t>
      </w:r>
      <w:r w:rsidRPr="008601E5">
        <w:rPr>
          <w:rFonts w:ascii="Garamond" w:hAnsi="Garamond"/>
          <w:lang w:val="pt-PT"/>
        </w:rPr>
        <w:t xml:space="preserve"> de militantes, simpatizantes e membros dos partidos, e da sociedade em geral, sobre a participação paritária de homens e mulheres em cargos electivos e de tomada de decisão, e sobre a prevenção e o combate da violência na política: têm responsabilidades, em particular, os partidos políticos, as associações de mulheres dos partidos políticos e as juventudes partidárias, coadjuvados </w:t>
      </w:r>
      <w:proofErr w:type="spellStart"/>
      <w:r w:rsidRPr="008601E5">
        <w:rPr>
          <w:rFonts w:ascii="Garamond" w:hAnsi="Garamond"/>
          <w:lang w:val="pt-PT"/>
        </w:rPr>
        <w:t>pelas</w:t>
      </w:r>
      <w:proofErr w:type="spellEnd"/>
      <w:r w:rsidRPr="008601E5">
        <w:rPr>
          <w:rFonts w:ascii="Garamond" w:hAnsi="Garamond"/>
          <w:lang w:val="pt-PT"/>
        </w:rPr>
        <w:t xml:space="preserve"> organizações de promoção da igualdade de género e as universidades (artigo 8º).</w:t>
      </w:r>
    </w:p>
    <w:p w14:paraId="0664891D" w14:textId="77777777" w:rsidR="008601E5" w:rsidRPr="008601E5" w:rsidRDefault="008601E5" w:rsidP="00786DEC">
      <w:pPr>
        <w:pStyle w:val="PargrafodaLista"/>
        <w:numPr>
          <w:ilvl w:val="0"/>
          <w:numId w:val="51"/>
        </w:numPr>
        <w:spacing w:after="240" w:line="259" w:lineRule="auto"/>
        <w:ind w:left="357" w:hanging="357"/>
        <w:jc w:val="both"/>
        <w:rPr>
          <w:rFonts w:ascii="Garamond" w:hAnsi="Garamond"/>
          <w:lang w:val="pt-PT"/>
        </w:rPr>
      </w:pPr>
      <w:r w:rsidRPr="008601E5">
        <w:rPr>
          <w:rFonts w:ascii="Garamond" w:hAnsi="Garamond"/>
          <w:lang w:val="pt-PT"/>
        </w:rPr>
        <w:t xml:space="preserve">Uma </w:t>
      </w:r>
      <w:r w:rsidRPr="008601E5">
        <w:rPr>
          <w:rFonts w:ascii="Garamond" w:hAnsi="Garamond"/>
          <w:b/>
          <w:bCs/>
          <w:u w:val="single"/>
          <w:lang w:val="pt-PT"/>
        </w:rPr>
        <w:t>Comissão de Seguimento</w:t>
      </w:r>
      <w:r w:rsidRPr="008601E5">
        <w:rPr>
          <w:rFonts w:ascii="Garamond" w:hAnsi="Garamond"/>
          <w:lang w:val="pt-PT"/>
        </w:rPr>
        <w:t xml:space="preserve"> que recolhe e trata informações relevantes para a concretização da Lei, segue a sua implementação, identifica dificuldades e constrangimentos, e elabora relatórios periódicos de avaliação: a </w:t>
      </w:r>
      <w:proofErr w:type="spellStart"/>
      <w:r w:rsidRPr="008601E5">
        <w:rPr>
          <w:rFonts w:ascii="Garamond" w:hAnsi="Garamond"/>
          <w:lang w:val="pt-PT"/>
        </w:rPr>
        <w:t>RMP</w:t>
      </w:r>
      <w:proofErr w:type="spellEnd"/>
      <w:r w:rsidRPr="008601E5">
        <w:rPr>
          <w:rFonts w:ascii="Garamond" w:hAnsi="Garamond"/>
          <w:lang w:val="pt-PT"/>
        </w:rPr>
        <w:t>-CV preside a Comissão, que integra as institui</w:t>
      </w:r>
      <w:r w:rsidRPr="008601E5">
        <w:rPr>
          <w:rFonts w:ascii="Garamond" w:hAnsi="Garamond" w:cs="Calibri"/>
          <w:lang w:val="pt-PT"/>
        </w:rPr>
        <w:t>çõ</w:t>
      </w:r>
      <w:r w:rsidRPr="008601E5">
        <w:rPr>
          <w:rFonts w:ascii="Garamond" w:hAnsi="Garamond"/>
          <w:lang w:val="pt-PT"/>
        </w:rPr>
        <w:t>es governamentais em matéria de igualdade de género, as associa</w:t>
      </w:r>
      <w:r w:rsidRPr="008601E5">
        <w:rPr>
          <w:rFonts w:ascii="Garamond" w:hAnsi="Garamond" w:cs="Calibri"/>
          <w:lang w:val="pt-PT"/>
        </w:rPr>
        <w:t>çõ</w:t>
      </w:r>
      <w:r w:rsidRPr="008601E5">
        <w:rPr>
          <w:rFonts w:ascii="Garamond" w:hAnsi="Garamond"/>
          <w:lang w:val="pt-PT"/>
        </w:rPr>
        <w:t>es de mulheres dos partidos pol</w:t>
      </w:r>
      <w:r w:rsidRPr="008601E5">
        <w:rPr>
          <w:rFonts w:ascii="Garamond" w:hAnsi="Garamond" w:cs="Calibri"/>
          <w:lang w:val="pt-PT"/>
        </w:rPr>
        <w:t>í</w:t>
      </w:r>
      <w:r w:rsidRPr="008601E5">
        <w:rPr>
          <w:rFonts w:ascii="Garamond" w:hAnsi="Garamond"/>
          <w:lang w:val="pt-PT"/>
        </w:rPr>
        <w:t>ticos e organiza</w:t>
      </w:r>
      <w:r w:rsidRPr="008601E5">
        <w:rPr>
          <w:rFonts w:ascii="Garamond" w:hAnsi="Garamond" w:cs="Calibri"/>
          <w:lang w:val="pt-PT"/>
        </w:rPr>
        <w:t>çõ</w:t>
      </w:r>
      <w:r w:rsidRPr="008601E5">
        <w:rPr>
          <w:rFonts w:ascii="Garamond" w:hAnsi="Garamond"/>
          <w:lang w:val="pt-PT"/>
        </w:rPr>
        <w:t>es da sociedade civil de promoção da igualdade de género (artigo 9º).</w:t>
      </w:r>
    </w:p>
    <w:p w14:paraId="59ECE0AB" w14:textId="77777777" w:rsidR="008601E5" w:rsidRPr="008601E5" w:rsidRDefault="008601E5" w:rsidP="008601E5">
      <w:pPr>
        <w:spacing w:after="240"/>
        <w:jc w:val="both"/>
        <w:rPr>
          <w:rFonts w:ascii="Garamond" w:hAnsi="Garamond"/>
          <w:lang w:val="pt-PT"/>
        </w:rPr>
      </w:pPr>
      <w:r w:rsidRPr="008601E5">
        <w:rPr>
          <w:rFonts w:ascii="Garamond" w:hAnsi="Garamond"/>
          <w:lang w:val="pt-PT"/>
        </w:rPr>
        <w:t>A Lei da Paridade terá impacto na</w:t>
      </w:r>
      <w:r w:rsidRPr="008601E5">
        <w:rPr>
          <w:rFonts w:ascii="Garamond" w:hAnsi="Garamond"/>
          <w:b/>
          <w:bCs/>
          <w:lang w:val="pt-PT"/>
        </w:rPr>
        <w:t xml:space="preserve"> revisão do Código Eleitoral</w:t>
      </w:r>
      <w:r w:rsidRPr="008601E5">
        <w:rPr>
          <w:rFonts w:ascii="Garamond" w:hAnsi="Garamond"/>
          <w:lang w:val="pt-PT"/>
        </w:rPr>
        <w:t xml:space="preserve">, bem como da </w:t>
      </w:r>
      <w:r w:rsidRPr="008601E5">
        <w:rPr>
          <w:rFonts w:ascii="Garamond" w:hAnsi="Garamond"/>
          <w:b/>
          <w:bCs/>
          <w:lang w:val="pt-PT"/>
        </w:rPr>
        <w:t>Lei dos Partidos Políticos</w:t>
      </w:r>
      <w:r w:rsidRPr="008601E5">
        <w:rPr>
          <w:rFonts w:ascii="Garamond" w:hAnsi="Garamond"/>
          <w:lang w:val="pt-PT"/>
        </w:rPr>
        <w:t>. Note-se que neste último caso, apesar da proposta não ter sido finalizada, o início do processo de revisão deu aos partidos políticos a oportunidade de debater internamente as questões da paridade, o que impactou a presença de mulheres nos órgãos de decisão partidários.</w:t>
      </w:r>
      <w:r w:rsidRPr="0009396D">
        <w:rPr>
          <w:rStyle w:val="Refdenotaderodap"/>
          <w:rFonts w:ascii="Garamond" w:hAnsi="Garamond"/>
        </w:rPr>
        <w:footnoteReference w:id="120"/>
      </w:r>
    </w:p>
    <w:p w14:paraId="6F73F6BB" w14:textId="77777777" w:rsidR="008601E5" w:rsidRPr="008601E5" w:rsidRDefault="008601E5" w:rsidP="008601E5">
      <w:pPr>
        <w:jc w:val="both"/>
        <w:rPr>
          <w:rFonts w:ascii="Garamond" w:hAnsi="Garamond"/>
          <w:lang w:val="pt-PT"/>
        </w:rPr>
      </w:pPr>
      <w:r w:rsidRPr="008601E5">
        <w:rPr>
          <w:rFonts w:ascii="Garamond" w:hAnsi="Garamond"/>
          <w:lang w:val="pt-PT"/>
        </w:rPr>
        <w:t xml:space="preserve">A proposta de Lei foi elaborada no contexto de uma ampla reflexão e debate a nível nacional, sob a coordenação da </w:t>
      </w:r>
      <w:proofErr w:type="spellStart"/>
      <w:r w:rsidRPr="008601E5">
        <w:rPr>
          <w:rFonts w:ascii="Garamond" w:hAnsi="Garamond"/>
          <w:lang w:val="pt-PT"/>
        </w:rPr>
        <w:t>RMP</w:t>
      </w:r>
      <w:proofErr w:type="spellEnd"/>
      <w:r w:rsidRPr="008601E5">
        <w:rPr>
          <w:rFonts w:ascii="Garamond" w:hAnsi="Garamond"/>
          <w:lang w:val="pt-PT"/>
        </w:rPr>
        <w:t xml:space="preserve">-CV e em colaboração com o </w:t>
      </w:r>
      <w:proofErr w:type="spellStart"/>
      <w:r w:rsidRPr="008601E5">
        <w:rPr>
          <w:rFonts w:ascii="Garamond" w:hAnsi="Garamond"/>
          <w:lang w:val="pt-PT"/>
        </w:rPr>
        <w:t>ICIEG</w:t>
      </w:r>
      <w:proofErr w:type="spellEnd"/>
      <w:r w:rsidRPr="008601E5">
        <w:rPr>
          <w:rFonts w:ascii="Garamond" w:hAnsi="Garamond"/>
          <w:lang w:val="pt-PT"/>
        </w:rPr>
        <w:t xml:space="preserve">, </w:t>
      </w:r>
      <w:proofErr w:type="spellStart"/>
      <w:r w:rsidRPr="008601E5">
        <w:rPr>
          <w:rFonts w:ascii="Garamond" w:hAnsi="Garamond"/>
          <w:lang w:val="pt-PT"/>
        </w:rPr>
        <w:t>OSC</w:t>
      </w:r>
      <w:proofErr w:type="spellEnd"/>
      <w:r w:rsidRPr="008601E5">
        <w:rPr>
          <w:rFonts w:ascii="Garamond" w:hAnsi="Garamond"/>
          <w:lang w:val="pt-PT"/>
        </w:rPr>
        <w:t xml:space="preserve">, organizações partidárias de mulheres, entre outros parceiros, e submetida </w:t>
      </w:r>
      <w:proofErr w:type="spellStart"/>
      <w:r w:rsidRPr="008601E5">
        <w:rPr>
          <w:rFonts w:ascii="Garamond" w:hAnsi="Garamond"/>
          <w:lang w:val="pt-PT"/>
        </w:rPr>
        <w:t>pela</w:t>
      </w:r>
      <w:proofErr w:type="spellEnd"/>
      <w:r w:rsidRPr="008601E5">
        <w:rPr>
          <w:rFonts w:ascii="Garamond" w:hAnsi="Garamond"/>
          <w:lang w:val="pt-PT"/>
        </w:rPr>
        <w:t xml:space="preserve"> </w:t>
      </w:r>
      <w:proofErr w:type="spellStart"/>
      <w:r w:rsidRPr="008601E5">
        <w:rPr>
          <w:rFonts w:ascii="Garamond" w:hAnsi="Garamond"/>
          <w:lang w:val="pt-PT"/>
        </w:rPr>
        <w:t>RMP</w:t>
      </w:r>
      <w:proofErr w:type="spellEnd"/>
      <w:r w:rsidRPr="008601E5">
        <w:rPr>
          <w:rFonts w:ascii="Garamond" w:hAnsi="Garamond"/>
          <w:lang w:val="pt-PT"/>
        </w:rPr>
        <w:t xml:space="preserve">-CV à Assembleia Nacional. Estiveram implicados na advocacia </w:t>
      </w:r>
      <w:proofErr w:type="spellStart"/>
      <w:r w:rsidRPr="008601E5">
        <w:rPr>
          <w:rFonts w:ascii="Garamond" w:hAnsi="Garamond"/>
          <w:lang w:val="pt-PT"/>
        </w:rPr>
        <w:t>pela</w:t>
      </w:r>
      <w:proofErr w:type="spellEnd"/>
      <w:r w:rsidRPr="008601E5">
        <w:rPr>
          <w:rFonts w:ascii="Garamond" w:hAnsi="Garamond"/>
          <w:lang w:val="pt-PT"/>
        </w:rPr>
        <w:t xml:space="preserve"> Lei da Paridade tanto Deputados como Deputadas, e homens e mulheres de vários quadrantes da sociedade. A aprovação da Lei da Paridade assentou num forte compromisso político relativamente à paridade, numa lógica suprapartidária, tanto do Governo, como das cúpulas partidárias. Contudo, é inegável que o processo de advocacia foi árduo e que a implementação da Lei de Paridade exigirá esforços consistentes e concertados. A discussão da Proposta de Lei, agendada para 17/07/19, foi inclusivamente adiada por unanimidade das bancadas, para 10/19, com base na necessidade de mais tempo para analisar a questão da paridade. Para a implementação da Lei da Paridade, deverão ser tidos em conta os vários desafios que subsistem: </w:t>
      </w:r>
    </w:p>
    <w:p w14:paraId="4ECD5261" w14:textId="77777777" w:rsidR="008601E5" w:rsidRPr="008601E5" w:rsidRDefault="008601E5" w:rsidP="00786DEC">
      <w:pPr>
        <w:pStyle w:val="PargrafodaLista"/>
        <w:numPr>
          <w:ilvl w:val="0"/>
          <w:numId w:val="52"/>
        </w:numPr>
        <w:spacing w:after="240" w:line="259" w:lineRule="auto"/>
        <w:ind w:left="227" w:hanging="227"/>
        <w:jc w:val="both"/>
        <w:rPr>
          <w:rFonts w:ascii="Garamond" w:hAnsi="Garamond"/>
          <w:lang w:val="pt-PT"/>
        </w:rPr>
      </w:pPr>
      <w:r w:rsidRPr="008601E5">
        <w:rPr>
          <w:rFonts w:ascii="Garamond" w:hAnsi="Garamond"/>
          <w:lang w:val="pt-PT"/>
        </w:rPr>
        <w:t>A mudança de atitudes e práticas exige esforços substanciais e continuados de sensibilização e formação, tendo em conta a natureza profundamente enraizada do estereótipos e representações de género, que atribuem o espaço público e a liderança aos homens e o espaço privado às mulheres: a sensibilização e formação deve permitir construir uma compreensão e aceitação, tanto da parte de homens como de mulheres, das responsabilidades e contribuições de ambos no espaço doméstico e no espaço público, e uma redistribuição de poderes, bem como do tempo dedicado ao trabalho remunerado e não remunerado (a este respeito, está em curso a implementação do Sistema de Cuidados – ver Eixo 1).</w:t>
      </w:r>
    </w:p>
    <w:p w14:paraId="35DE2330" w14:textId="77777777" w:rsidR="008601E5" w:rsidRPr="008601E5" w:rsidRDefault="008601E5" w:rsidP="00786DEC">
      <w:pPr>
        <w:pStyle w:val="PargrafodaLista"/>
        <w:numPr>
          <w:ilvl w:val="0"/>
          <w:numId w:val="52"/>
        </w:numPr>
        <w:shd w:val="clear" w:color="auto" w:fill="FFFFFF" w:themeFill="background1"/>
        <w:spacing w:line="259" w:lineRule="auto"/>
        <w:ind w:left="227" w:hanging="227"/>
        <w:jc w:val="both"/>
        <w:rPr>
          <w:rFonts w:ascii="Garamond" w:hAnsi="Garamond"/>
          <w:lang w:val="pt-PT"/>
        </w:rPr>
      </w:pPr>
      <w:r w:rsidRPr="008601E5">
        <w:rPr>
          <w:rFonts w:ascii="Garamond" w:hAnsi="Garamond"/>
          <w:lang w:val="pt-PT"/>
        </w:rPr>
        <w:t xml:space="preserve">A mudança do funcionamento altamente masculinizado dos partidos políticos: as estruturas partidárias, e respectiva cultura institucional, são dominadas por homens e as perspectivas valorizadas sobre questões nacionais são as masculinas. A forma de praticar política (em termos de horários, lugares dos encontros, modalidades de </w:t>
      </w:r>
      <w:proofErr w:type="spellStart"/>
      <w:r w:rsidRPr="008601E5">
        <w:rPr>
          <w:rFonts w:ascii="Garamond" w:hAnsi="Garamond"/>
          <w:i/>
          <w:iCs/>
          <w:lang w:val="pt-PT"/>
        </w:rPr>
        <w:t>networking</w:t>
      </w:r>
      <w:proofErr w:type="spellEnd"/>
      <w:r w:rsidRPr="008601E5">
        <w:rPr>
          <w:rFonts w:ascii="Garamond" w:hAnsi="Garamond"/>
          <w:lang w:val="pt-PT"/>
        </w:rPr>
        <w:t>, etc.) não é propícia à participação das mulheres. Aspectos que geram dentro dos partidos mecanismos de enviesamento e exclusão.</w:t>
      </w:r>
    </w:p>
    <w:p w14:paraId="25F8BB03" w14:textId="77777777" w:rsidR="008601E5" w:rsidRPr="008601E5" w:rsidRDefault="008601E5" w:rsidP="00786DEC">
      <w:pPr>
        <w:pStyle w:val="PargrafodaLista"/>
        <w:numPr>
          <w:ilvl w:val="0"/>
          <w:numId w:val="52"/>
        </w:numPr>
        <w:shd w:val="clear" w:color="auto" w:fill="FFFFFF" w:themeFill="background1"/>
        <w:spacing w:line="259" w:lineRule="auto"/>
        <w:ind w:left="227" w:hanging="227"/>
        <w:jc w:val="both"/>
        <w:rPr>
          <w:rFonts w:ascii="Garamond" w:hAnsi="Garamond"/>
          <w:lang w:val="pt-PT"/>
        </w:rPr>
      </w:pPr>
      <w:r w:rsidRPr="008601E5">
        <w:rPr>
          <w:rFonts w:ascii="Garamond" w:hAnsi="Garamond"/>
          <w:lang w:val="pt-PT"/>
        </w:rPr>
        <w:t xml:space="preserve">A desconstrução do discurso (versus prática) à volta da </w:t>
      </w:r>
      <w:r w:rsidRPr="008601E5">
        <w:rPr>
          <w:rFonts w:ascii="Garamond" w:hAnsi="Garamond"/>
          <w:i/>
          <w:iCs/>
          <w:lang w:val="pt-PT"/>
        </w:rPr>
        <w:t>meritocracia</w:t>
      </w:r>
      <w:r w:rsidRPr="008601E5">
        <w:rPr>
          <w:rFonts w:ascii="Garamond" w:hAnsi="Garamond"/>
          <w:lang w:val="pt-PT"/>
        </w:rPr>
        <w:t>, para que as mulheres possam negociar a sua entrada no espaço público do poder e da tomada de decisão.</w:t>
      </w:r>
    </w:p>
    <w:p w14:paraId="522B1C02" w14:textId="77777777" w:rsidR="008601E5" w:rsidRPr="008601E5" w:rsidRDefault="008601E5" w:rsidP="00786DEC">
      <w:pPr>
        <w:pStyle w:val="PargrafodaLista"/>
        <w:numPr>
          <w:ilvl w:val="0"/>
          <w:numId w:val="52"/>
        </w:numPr>
        <w:shd w:val="clear" w:color="auto" w:fill="FFFFFF" w:themeFill="background1"/>
        <w:spacing w:line="259" w:lineRule="auto"/>
        <w:ind w:left="227" w:hanging="227"/>
        <w:jc w:val="both"/>
        <w:rPr>
          <w:rFonts w:ascii="Garamond" w:hAnsi="Garamond"/>
          <w:lang w:val="pt-PT"/>
        </w:rPr>
      </w:pPr>
      <w:r w:rsidRPr="008601E5">
        <w:rPr>
          <w:rFonts w:ascii="Garamond" w:hAnsi="Garamond"/>
          <w:lang w:val="pt-PT"/>
        </w:rPr>
        <w:t xml:space="preserve">A não tolerância aos ataques pessoais durante as campanhas e formas especificas de ataque à honra e bom nome das mulheres, entre outras formas de </w:t>
      </w:r>
      <w:proofErr w:type="spellStart"/>
      <w:r w:rsidRPr="008601E5">
        <w:rPr>
          <w:rFonts w:ascii="Garamond" w:hAnsi="Garamond"/>
          <w:lang w:val="pt-PT"/>
        </w:rPr>
        <w:t>VBG</w:t>
      </w:r>
      <w:proofErr w:type="spellEnd"/>
      <w:r w:rsidRPr="008601E5">
        <w:rPr>
          <w:rFonts w:ascii="Garamond" w:hAnsi="Garamond"/>
          <w:lang w:val="pt-PT"/>
        </w:rPr>
        <w:t>, que são dissuasoras para as mulheres, com enfase na violência que acontece em contextos eleitorais.</w:t>
      </w:r>
    </w:p>
    <w:p w14:paraId="5ADE6239" w14:textId="77777777" w:rsidR="008601E5" w:rsidRPr="008601E5" w:rsidRDefault="008601E5" w:rsidP="00786DEC">
      <w:pPr>
        <w:pStyle w:val="PargrafodaLista"/>
        <w:numPr>
          <w:ilvl w:val="0"/>
          <w:numId w:val="52"/>
        </w:numPr>
        <w:spacing w:after="240" w:line="259" w:lineRule="auto"/>
        <w:ind w:left="227" w:hanging="227"/>
        <w:jc w:val="both"/>
        <w:rPr>
          <w:rFonts w:ascii="Garamond" w:hAnsi="Garamond"/>
          <w:lang w:val="pt-PT"/>
        </w:rPr>
      </w:pPr>
      <w:r w:rsidRPr="008601E5">
        <w:rPr>
          <w:rFonts w:ascii="Garamond" w:hAnsi="Garamond"/>
          <w:lang w:val="pt-PT"/>
        </w:rPr>
        <w:t>O entendimento das questões comuns que aproximam a todos/todas tendo em conta a diversidade dos representantes políticos (mulheres e homens), seus discursos, anseios, etc.</w:t>
      </w:r>
    </w:p>
    <w:p w14:paraId="206B1B52" w14:textId="77777777" w:rsidR="008601E5" w:rsidRPr="008601E5" w:rsidRDefault="008601E5" w:rsidP="00786DEC">
      <w:pPr>
        <w:pStyle w:val="PargrafodaLista"/>
        <w:numPr>
          <w:ilvl w:val="0"/>
          <w:numId w:val="52"/>
        </w:numPr>
        <w:spacing w:after="240" w:line="259" w:lineRule="auto"/>
        <w:ind w:left="227" w:hanging="227"/>
        <w:jc w:val="both"/>
        <w:rPr>
          <w:rFonts w:ascii="Garamond" w:hAnsi="Garamond"/>
          <w:lang w:val="pt-PT"/>
        </w:rPr>
      </w:pPr>
      <w:r w:rsidRPr="008601E5">
        <w:rPr>
          <w:rFonts w:ascii="Garamond" w:hAnsi="Garamond"/>
          <w:lang w:val="pt-PT"/>
        </w:rPr>
        <w:t>A assunção por parte dos partidos de uma agenda de género, à semelhança das propostas que defendem em áreas chave como o emprego, saúde, educação, energia, etc.</w:t>
      </w:r>
    </w:p>
    <w:p w14:paraId="4803E0DF" w14:textId="77777777" w:rsidR="008601E5" w:rsidRPr="008601E5" w:rsidRDefault="008601E5" w:rsidP="00786DEC">
      <w:pPr>
        <w:pStyle w:val="PargrafodaLista"/>
        <w:numPr>
          <w:ilvl w:val="0"/>
          <w:numId w:val="52"/>
        </w:numPr>
        <w:spacing w:after="240" w:line="259" w:lineRule="auto"/>
        <w:ind w:left="227" w:hanging="227"/>
        <w:jc w:val="both"/>
        <w:rPr>
          <w:rFonts w:ascii="Garamond" w:hAnsi="Garamond"/>
          <w:lang w:val="pt-PT"/>
        </w:rPr>
      </w:pPr>
      <w:r w:rsidRPr="008601E5">
        <w:rPr>
          <w:rFonts w:ascii="Garamond" w:hAnsi="Garamond"/>
          <w:lang w:val="pt-PT"/>
        </w:rPr>
        <w:t>Aproveitar estrategicamente o curto espaço de tempo até às primeiras eleições em que se aplica a Lei da Paridade (autárquicas 2020)</w:t>
      </w:r>
    </w:p>
    <w:p w14:paraId="684E1834" w14:textId="77777777" w:rsidR="00477CD8" w:rsidRDefault="008601E5" w:rsidP="008601E5">
      <w:pPr>
        <w:jc w:val="both"/>
        <w:rPr>
          <w:rFonts w:ascii="Garamond" w:hAnsi="Garamond"/>
          <w:lang w:val="pt-PT"/>
        </w:rPr>
      </w:pPr>
      <w:r w:rsidRPr="008601E5">
        <w:rPr>
          <w:rFonts w:ascii="Garamond" w:hAnsi="Garamond"/>
          <w:lang w:val="pt-PT"/>
        </w:rPr>
        <w:t xml:space="preserve">O </w:t>
      </w:r>
      <w:bookmarkStart w:id="100" w:name="_Hlk21018632"/>
      <w:r w:rsidRPr="008601E5">
        <w:rPr>
          <w:rFonts w:ascii="Garamond" w:hAnsi="Garamond"/>
          <w:i/>
          <w:lang w:val="pt-PT"/>
        </w:rPr>
        <w:t xml:space="preserve">Plano de </w:t>
      </w:r>
      <w:proofErr w:type="spellStart"/>
      <w:r w:rsidRPr="008601E5">
        <w:rPr>
          <w:rFonts w:ascii="Garamond" w:hAnsi="Garamond"/>
          <w:i/>
          <w:lang w:val="pt-PT"/>
        </w:rPr>
        <w:t>Ação</w:t>
      </w:r>
      <w:proofErr w:type="spellEnd"/>
      <w:r w:rsidRPr="008601E5">
        <w:rPr>
          <w:rFonts w:ascii="Garamond" w:hAnsi="Garamond"/>
          <w:i/>
          <w:lang w:val="pt-PT"/>
        </w:rPr>
        <w:t xml:space="preserve"> de Advocacia da Paridade de Género (2017-2019)</w:t>
      </w:r>
      <w:r w:rsidRPr="008601E5">
        <w:rPr>
          <w:rFonts w:ascii="Garamond" w:hAnsi="Garamond"/>
          <w:lang w:val="pt-PT"/>
        </w:rPr>
        <w:t xml:space="preserve">, prevê </w:t>
      </w:r>
      <w:proofErr w:type="spellStart"/>
      <w:r w:rsidRPr="008601E5">
        <w:rPr>
          <w:rFonts w:ascii="Garamond" w:hAnsi="Garamond"/>
          <w:lang w:val="pt-PT"/>
        </w:rPr>
        <w:t>ações</w:t>
      </w:r>
      <w:proofErr w:type="spellEnd"/>
      <w:r w:rsidRPr="008601E5">
        <w:rPr>
          <w:rFonts w:ascii="Garamond" w:hAnsi="Garamond"/>
          <w:lang w:val="pt-PT"/>
        </w:rPr>
        <w:t xml:space="preserve"> de divulgação da Lei da Paridade, uma vez aprovada, bem, como do </w:t>
      </w:r>
      <w:r w:rsidRPr="008601E5">
        <w:rPr>
          <w:rFonts w:ascii="Garamond" w:hAnsi="Garamond"/>
          <w:b/>
          <w:bCs/>
          <w:lang w:val="pt-PT"/>
        </w:rPr>
        <w:t>Código Eleitoral</w:t>
      </w:r>
      <w:r w:rsidRPr="008601E5">
        <w:rPr>
          <w:rFonts w:ascii="Garamond" w:hAnsi="Garamond"/>
          <w:lang w:val="pt-PT"/>
        </w:rPr>
        <w:t xml:space="preserve"> e da </w:t>
      </w:r>
      <w:r w:rsidRPr="008601E5">
        <w:rPr>
          <w:rFonts w:ascii="Garamond" w:hAnsi="Garamond"/>
          <w:b/>
          <w:bCs/>
          <w:lang w:val="pt-PT"/>
        </w:rPr>
        <w:t>Lei dos Partidos Políticos</w:t>
      </w:r>
      <w:r w:rsidRPr="008601E5">
        <w:rPr>
          <w:rFonts w:ascii="Garamond" w:hAnsi="Garamond"/>
          <w:lang w:val="pt-PT"/>
        </w:rPr>
        <w:t xml:space="preserve">, uma vez revistos. No âmbito da implementação do Plano de Advocacia, foram implementadas campanhas, sensibilizações e formações a vários níveis, incluindo o estabelecimento de Promotores da Paridade em cada Município. </w:t>
      </w:r>
    </w:p>
    <w:p w14:paraId="57D69ACF" w14:textId="22A01840" w:rsidR="008601E5" w:rsidRPr="00477CD8" w:rsidRDefault="008601E5" w:rsidP="002A62A2">
      <w:pPr>
        <w:pStyle w:val="PargrafodaLista"/>
        <w:numPr>
          <w:ilvl w:val="0"/>
          <w:numId w:val="62"/>
        </w:numPr>
        <w:jc w:val="both"/>
        <w:rPr>
          <w:rFonts w:ascii="Garamond" w:hAnsi="Garamond"/>
          <w:lang w:val="pt-PT"/>
        </w:rPr>
      </w:pPr>
      <w:r w:rsidRPr="00477CD8">
        <w:rPr>
          <w:rFonts w:ascii="Garamond" w:hAnsi="Garamond"/>
          <w:lang w:val="pt-PT"/>
        </w:rPr>
        <w:t xml:space="preserve">Nesse sentido será prioridade </w:t>
      </w:r>
      <w:r w:rsidRPr="00477CD8">
        <w:rPr>
          <w:rFonts w:ascii="Garamond" w:hAnsi="Garamond"/>
          <w:b/>
          <w:bCs/>
          <w:lang w:val="pt-PT"/>
        </w:rPr>
        <w:t>actualizar e estender o</w:t>
      </w:r>
      <w:r w:rsidRPr="00477CD8">
        <w:rPr>
          <w:rFonts w:ascii="Garamond" w:hAnsi="Garamond"/>
          <w:b/>
          <w:bCs/>
          <w:i/>
          <w:lang w:val="pt-PT"/>
        </w:rPr>
        <w:t xml:space="preserve"> Plano de </w:t>
      </w:r>
      <w:proofErr w:type="spellStart"/>
      <w:r w:rsidRPr="00477CD8">
        <w:rPr>
          <w:rFonts w:ascii="Garamond" w:hAnsi="Garamond"/>
          <w:b/>
          <w:bCs/>
          <w:i/>
          <w:lang w:val="pt-PT"/>
        </w:rPr>
        <w:t>Ação</w:t>
      </w:r>
      <w:proofErr w:type="spellEnd"/>
      <w:r w:rsidRPr="00477CD8">
        <w:rPr>
          <w:rFonts w:ascii="Garamond" w:hAnsi="Garamond"/>
          <w:b/>
          <w:bCs/>
          <w:i/>
          <w:lang w:val="pt-PT"/>
        </w:rPr>
        <w:t xml:space="preserve"> de Advocacia da Paridade de Género</w:t>
      </w:r>
      <w:r w:rsidRPr="00477CD8">
        <w:rPr>
          <w:rFonts w:ascii="Garamond" w:hAnsi="Garamond"/>
          <w:lang w:val="pt-PT"/>
        </w:rPr>
        <w:t xml:space="preserve">, enquanto instrumento de trabalho comum entre a </w:t>
      </w:r>
      <w:proofErr w:type="spellStart"/>
      <w:r w:rsidRPr="00477CD8">
        <w:rPr>
          <w:rFonts w:ascii="Garamond" w:hAnsi="Garamond"/>
          <w:lang w:val="pt-PT"/>
        </w:rPr>
        <w:t>RMP</w:t>
      </w:r>
      <w:proofErr w:type="spellEnd"/>
      <w:r w:rsidRPr="00477CD8">
        <w:rPr>
          <w:rFonts w:ascii="Garamond" w:hAnsi="Garamond"/>
          <w:lang w:val="pt-PT"/>
        </w:rPr>
        <w:t xml:space="preserve">-CV, </w:t>
      </w:r>
      <w:proofErr w:type="spellStart"/>
      <w:r w:rsidRPr="00477CD8">
        <w:rPr>
          <w:rFonts w:ascii="Garamond" w:hAnsi="Garamond"/>
          <w:lang w:val="pt-PT"/>
        </w:rPr>
        <w:t>ICIEG</w:t>
      </w:r>
      <w:proofErr w:type="spellEnd"/>
      <w:r w:rsidRPr="00477CD8">
        <w:rPr>
          <w:rFonts w:ascii="Garamond" w:hAnsi="Garamond"/>
          <w:lang w:val="pt-PT"/>
        </w:rPr>
        <w:t xml:space="preserve">, </w:t>
      </w:r>
      <w:proofErr w:type="spellStart"/>
      <w:r w:rsidRPr="00477CD8">
        <w:rPr>
          <w:rFonts w:ascii="Garamond" w:hAnsi="Garamond"/>
          <w:lang w:val="pt-PT"/>
        </w:rPr>
        <w:t>OSC</w:t>
      </w:r>
      <w:proofErr w:type="spellEnd"/>
      <w:r w:rsidRPr="00477CD8">
        <w:rPr>
          <w:rFonts w:ascii="Garamond" w:hAnsi="Garamond"/>
          <w:lang w:val="pt-PT"/>
        </w:rPr>
        <w:t xml:space="preserve">, instituições e advogados do género, alinhando-o às principais etapas do calendário eleitoral dos próximos 4/5 anos, e zelando </w:t>
      </w:r>
      <w:proofErr w:type="spellStart"/>
      <w:r w:rsidRPr="00477CD8">
        <w:rPr>
          <w:rFonts w:ascii="Garamond" w:hAnsi="Garamond"/>
          <w:lang w:val="pt-PT"/>
        </w:rPr>
        <w:t>pela</w:t>
      </w:r>
      <w:proofErr w:type="spellEnd"/>
      <w:r w:rsidRPr="00477CD8">
        <w:rPr>
          <w:rFonts w:ascii="Garamond" w:hAnsi="Garamond"/>
          <w:lang w:val="pt-PT"/>
        </w:rPr>
        <w:t xml:space="preserve"> sua apropriação por todos.</w:t>
      </w:r>
      <w:r w:rsidR="00477CD8">
        <w:rPr>
          <w:rFonts w:ascii="Garamond" w:hAnsi="Garamond"/>
          <w:lang w:val="pt-PT"/>
        </w:rPr>
        <w:t xml:space="preserve"> Para o efeito, deverá ser assinado um novo Memorandum de Entendimento, que apresente as responsabilidades das várias entidades no processo de divulgação e reforço das capacidades para a implementação da Lei da Paridade, divisão de responsabilidades que deve estar alinhada ao previsto </w:t>
      </w:r>
      <w:proofErr w:type="spellStart"/>
      <w:r w:rsidR="00477CD8">
        <w:rPr>
          <w:rFonts w:ascii="Garamond" w:hAnsi="Garamond"/>
          <w:lang w:val="pt-PT"/>
        </w:rPr>
        <w:t>pela</w:t>
      </w:r>
      <w:proofErr w:type="spellEnd"/>
      <w:r w:rsidR="00477CD8">
        <w:rPr>
          <w:rFonts w:ascii="Garamond" w:hAnsi="Garamond"/>
          <w:lang w:val="pt-PT"/>
        </w:rPr>
        <w:t xml:space="preserve"> própria Lei.</w:t>
      </w:r>
    </w:p>
    <w:p w14:paraId="5EFDE232" w14:textId="0E06C473" w:rsidR="008601E5" w:rsidRPr="008601E5" w:rsidRDefault="00477CD8" w:rsidP="008601E5">
      <w:pPr>
        <w:pStyle w:val="PargrafodaLista"/>
        <w:numPr>
          <w:ilvl w:val="0"/>
          <w:numId w:val="14"/>
        </w:numPr>
        <w:ind w:left="714" w:hanging="357"/>
        <w:jc w:val="both"/>
        <w:rPr>
          <w:rFonts w:ascii="Garamond" w:hAnsi="Garamond"/>
          <w:lang w:val="pt-PT"/>
        </w:rPr>
      </w:pPr>
      <w:r w:rsidRPr="00477CD8">
        <w:rPr>
          <w:rFonts w:ascii="Garamond" w:hAnsi="Garamond"/>
          <w:lang w:val="pt-PT"/>
        </w:rPr>
        <w:t xml:space="preserve">Devem ser priorizadas em particular as </w:t>
      </w:r>
      <w:proofErr w:type="spellStart"/>
      <w:r w:rsidRPr="00477CD8">
        <w:rPr>
          <w:rFonts w:ascii="Garamond" w:hAnsi="Garamond"/>
          <w:lang w:val="pt-PT"/>
        </w:rPr>
        <w:t>ações</w:t>
      </w:r>
      <w:proofErr w:type="spellEnd"/>
      <w:r w:rsidRPr="00477CD8">
        <w:rPr>
          <w:rFonts w:ascii="Garamond" w:hAnsi="Garamond"/>
          <w:lang w:val="pt-PT"/>
        </w:rPr>
        <w:t xml:space="preserve"> que dizem respeito ao</w:t>
      </w:r>
      <w:r w:rsidRPr="008601E5">
        <w:rPr>
          <w:rFonts w:ascii="Garamond" w:hAnsi="Garamond"/>
          <w:lang w:val="pt-PT"/>
        </w:rPr>
        <w:t xml:space="preserve"> </w:t>
      </w:r>
      <w:r>
        <w:rPr>
          <w:rFonts w:ascii="Garamond" w:hAnsi="Garamond"/>
          <w:lang w:val="pt-PT"/>
        </w:rPr>
        <w:t>e</w:t>
      </w:r>
      <w:r w:rsidR="008601E5" w:rsidRPr="008601E5">
        <w:rPr>
          <w:rFonts w:ascii="Garamond" w:hAnsi="Garamond"/>
          <w:lang w:val="pt-PT"/>
        </w:rPr>
        <w:t xml:space="preserve">stabelecimento e formação da </w:t>
      </w:r>
      <w:r w:rsidR="008601E5" w:rsidRPr="008601E5">
        <w:rPr>
          <w:rFonts w:ascii="Garamond" w:hAnsi="Garamond"/>
          <w:b/>
          <w:bCs/>
          <w:lang w:val="pt-PT"/>
        </w:rPr>
        <w:t>Comissão de Seguimento</w:t>
      </w:r>
      <w:r w:rsidR="008601E5" w:rsidRPr="008601E5">
        <w:rPr>
          <w:rFonts w:ascii="Garamond" w:hAnsi="Garamond"/>
          <w:lang w:val="pt-PT"/>
        </w:rPr>
        <w:t xml:space="preserve"> da implementação da Lei da Paridade, bem como a definição de plano e instrumentos de trabalho, incluindo a realização de encontros de socialização e sensibilização dos Secretários e Magistrados, em conjunto com a CNE, para fiscalização das listas dos candidatos às eleições.</w:t>
      </w:r>
    </w:p>
    <w:p w14:paraId="4CDB80B0" w14:textId="77777777" w:rsidR="008601E5" w:rsidRPr="008601E5" w:rsidRDefault="008601E5" w:rsidP="00786DEC">
      <w:pPr>
        <w:pStyle w:val="PargrafodaLista"/>
        <w:numPr>
          <w:ilvl w:val="0"/>
          <w:numId w:val="25"/>
        </w:numPr>
        <w:ind w:left="714" w:hanging="357"/>
        <w:jc w:val="both"/>
        <w:rPr>
          <w:rFonts w:ascii="Garamond" w:hAnsi="Garamond"/>
          <w:lang w:val="pt-PT"/>
        </w:rPr>
      </w:pPr>
      <w:bookmarkStart w:id="101" w:name="_Hlk19703480"/>
      <w:bookmarkStart w:id="102" w:name="_Hlk19703152"/>
      <w:r w:rsidRPr="008601E5">
        <w:rPr>
          <w:rFonts w:ascii="Garamond" w:hAnsi="Garamond"/>
          <w:lang w:val="pt-PT"/>
        </w:rPr>
        <w:t xml:space="preserve">Formação dos vários </w:t>
      </w:r>
      <w:proofErr w:type="spellStart"/>
      <w:r w:rsidRPr="008601E5">
        <w:rPr>
          <w:rFonts w:ascii="Garamond" w:hAnsi="Garamond"/>
          <w:lang w:val="pt-PT"/>
        </w:rPr>
        <w:t>atores</w:t>
      </w:r>
      <w:proofErr w:type="spellEnd"/>
      <w:r w:rsidRPr="008601E5">
        <w:rPr>
          <w:rFonts w:ascii="Garamond" w:hAnsi="Garamond"/>
          <w:lang w:val="pt-PT"/>
        </w:rPr>
        <w:t xml:space="preserve"> com responsabilidades na sensibilização no contexto da implementação da Lei da Paridade (partidos políticos, associações de mulheres dos partidos políticos, juventudes partidárias, </w:t>
      </w:r>
      <w:proofErr w:type="spellStart"/>
      <w:r w:rsidRPr="008601E5">
        <w:rPr>
          <w:rFonts w:ascii="Garamond" w:hAnsi="Garamond"/>
          <w:lang w:val="pt-PT"/>
        </w:rPr>
        <w:t>OSC</w:t>
      </w:r>
      <w:proofErr w:type="spellEnd"/>
      <w:r w:rsidRPr="008601E5">
        <w:rPr>
          <w:rFonts w:ascii="Garamond" w:hAnsi="Garamond"/>
          <w:lang w:val="pt-PT"/>
        </w:rPr>
        <w:t xml:space="preserve"> de promoção da igualdade de género, universidades, zelando </w:t>
      </w:r>
      <w:proofErr w:type="spellStart"/>
      <w:r w:rsidRPr="008601E5">
        <w:rPr>
          <w:rFonts w:ascii="Garamond" w:hAnsi="Garamond"/>
          <w:lang w:val="pt-PT"/>
        </w:rPr>
        <w:t>pela</w:t>
      </w:r>
      <w:proofErr w:type="spellEnd"/>
      <w:r w:rsidRPr="008601E5">
        <w:rPr>
          <w:rFonts w:ascii="Garamond" w:hAnsi="Garamond"/>
          <w:lang w:val="pt-PT"/>
        </w:rPr>
        <w:t xml:space="preserve"> inclusão dos promotores da paridade de género já engajados), no sentido de garantir a boa compreensão da importância da participação das mulheres na vida política e na tomada de decisão, e de prevenir e combater a </w:t>
      </w:r>
      <w:proofErr w:type="spellStart"/>
      <w:r w:rsidRPr="008601E5">
        <w:rPr>
          <w:rFonts w:ascii="Garamond" w:hAnsi="Garamond"/>
          <w:lang w:val="pt-PT"/>
        </w:rPr>
        <w:t>VBG</w:t>
      </w:r>
      <w:proofErr w:type="spellEnd"/>
      <w:r w:rsidRPr="008601E5">
        <w:rPr>
          <w:rFonts w:ascii="Garamond" w:hAnsi="Garamond"/>
          <w:lang w:val="pt-PT"/>
        </w:rPr>
        <w:t xml:space="preserve"> no contexto das campanhas eleitorais.</w:t>
      </w:r>
    </w:p>
    <w:p w14:paraId="1BE4C8B1" w14:textId="77777777" w:rsidR="008601E5" w:rsidRPr="008601E5" w:rsidRDefault="008601E5" w:rsidP="008601E5">
      <w:pPr>
        <w:pStyle w:val="PargrafodaLista"/>
        <w:numPr>
          <w:ilvl w:val="0"/>
          <w:numId w:val="14"/>
        </w:numPr>
        <w:ind w:left="714" w:hanging="357"/>
        <w:jc w:val="both"/>
        <w:rPr>
          <w:rFonts w:ascii="Garamond" w:hAnsi="Garamond"/>
          <w:lang w:val="pt-PT"/>
        </w:rPr>
      </w:pPr>
      <w:r w:rsidRPr="008601E5">
        <w:rPr>
          <w:rFonts w:ascii="Garamond" w:hAnsi="Garamond"/>
          <w:lang w:val="pt-PT"/>
        </w:rPr>
        <w:t>Assegurar a multiplicação da mensagem a militantes, simpatizantes e membros dos partidos, e da sociedade em geral, definindo um plano de sensibilização e divulgação do quadro legal em matéria de representação de homens e mulheres na tomada de decisão (campanhas de informação, educação e comunicação, incluindo debates televisivos e radiofónicos).</w:t>
      </w:r>
    </w:p>
    <w:p w14:paraId="32F3DF3B" w14:textId="77777777" w:rsidR="008601E5" w:rsidRPr="008601E5" w:rsidRDefault="008601E5" w:rsidP="008601E5">
      <w:pPr>
        <w:pStyle w:val="PargrafodaLista"/>
        <w:numPr>
          <w:ilvl w:val="0"/>
          <w:numId w:val="14"/>
        </w:numPr>
        <w:ind w:left="714" w:hanging="357"/>
        <w:jc w:val="both"/>
        <w:rPr>
          <w:rFonts w:ascii="Garamond" w:hAnsi="Garamond"/>
          <w:lang w:val="pt-PT"/>
        </w:rPr>
      </w:pPr>
      <w:r w:rsidRPr="008601E5">
        <w:rPr>
          <w:rFonts w:ascii="Garamond" w:hAnsi="Garamond"/>
          <w:lang w:val="pt-PT"/>
        </w:rPr>
        <w:t xml:space="preserve">Advogar directamente junto dos partidos políticos durante o processo de elaboração das listas eleitorais, para cada eleição, de acordo com os calendários identificados. </w:t>
      </w:r>
    </w:p>
    <w:bookmarkEnd w:id="101"/>
    <w:bookmarkEnd w:id="102"/>
    <w:p w14:paraId="50C7A55C" w14:textId="77777777" w:rsidR="008601E5" w:rsidRPr="008601E5" w:rsidRDefault="008601E5" w:rsidP="008601E5">
      <w:pPr>
        <w:pStyle w:val="PargrafodaLista"/>
        <w:numPr>
          <w:ilvl w:val="0"/>
          <w:numId w:val="14"/>
        </w:numPr>
        <w:spacing w:after="160"/>
        <w:ind w:left="714" w:hanging="357"/>
        <w:contextualSpacing w:val="0"/>
        <w:jc w:val="both"/>
        <w:rPr>
          <w:rFonts w:ascii="Garamond" w:hAnsi="Garamond"/>
          <w:lang w:val="pt-PT"/>
        </w:rPr>
      </w:pPr>
      <w:r w:rsidRPr="008601E5">
        <w:rPr>
          <w:rFonts w:ascii="Garamond" w:hAnsi="Garamond"/>
          <w:lang w:val="pt-PT"/>
        </w:rPr>
        <w:t>Introduzir as questões da paridade e outras questões de género relevantes nos processos eleitorais, no plano de comunicação para as eleições, incluindo um encontro de trabalho específico com os órgãos de comunicação social, para a cobertura das questões da paridade.</w:t>
      </w:r>
    </w:p>
    <w:p w14:paraId="161FACD7" w14:textId="43F677DC" w:rsidR="008601E5" w:rsidRPr="008601E5" w:rsidRDefault="008601E5" w:rsidP="008601E5">
      <w:pPr>
        <w:spacing w:after="240"/>
        <w:jc w:val="both"/>
        <w:rPr>
          <w:rFonts w:ascii="Garamond" w:hAnsi="Garamond"/>
          <w:lang w:val="pt-PT"/>
        </w:rPr>
      </w:pPr>
      <w:r w:rsidRPr="008601E5">
        <w:rPr>
          <w:rFonts w:ascii="Garamond" w:hAnsi="Garamond"/>
          <w:lang w:val="pt-PT"/>
        </w:rPr>
        <w:t xml:space="preserve">Cabo Verde </w:t>
      </w:r>
      <w:r w:rsidR="00D244DF">
        <w:rPr>
          <w:rFonts w:ascii="Garamond" w:hAnsi="Garamond"/>
          <w:lang w:val="pt-PT"/>
        </w:rPr>
        <w:t>deverá</w:t>
      </w:r>
      <w:r w:rsidRPr="008601E5">
        <w:rPr>
          <w:rFonts w:ascii="Garamond" w:hAnsi="Garamond"/>
          <w:lang w:val="pt-PT"/>
        </w:rPr>
        <w:t xml:space="preserve"> reportar ao Comité </w:t>
      </w:r>
      <w:proofErr w:type="spellStart"/>
      <w:r w:rsidRPr="008601E5">
        <w:rPr>
          <w:rFonts w:ascii="Garamond" w:hAnsi="Garamond"/>
          <w:lang w:val="pt-PT"/>
        </w:rPr>
        <w:t>CEDAW</w:t>
      </w:r>
      <w:proofErr w:type="spellEnd"/>
      <w:r w:rsidRPr="008601E5">
        <w:rPr>
          <w:rFonts w:ascii="Garamond" w:hAnsi="Garamond"/>
          <w:lang w:val="pt-PT"/>
        </w:rPr>
        <w:t xml:space="preserve"> </w:t>
      </w:r>
      <w:r w:rsidR="00D244DF">
        <w:rPr>
          <w:rFonts w:ascii="Garamond" w:hAnsi="Garamond"/>
          <w:lang w:val="pt-PT"/>
        </w:rPr>
        <w:t>(</w:t>
      </w:r>
      <w:proofErr w:type="spellStart"/>
      <w:r w:rsidRPr="008601E5">
        <w:rPr>
          <w:rFonts w:ascii="Garamond" w:hAnsi="Garamond"/>
          <w:lang w:val="pt-PT"/>
        </w:rPr>
        <w:t>junho</w:t>
      </w:r>
      <w:proofErr w:type="spellEnd"/>
      <w:r w:rsidRPr="008601E5">
        <w:rPr>
          <w:rFonts w:ascii="Garamond" w:hAnsi="Garamond"/>
          <w:lang w:val="pt-PT"/>
        </w:rPr>
        <w:t xml:space="preserve"> 2021</w:t>
      </w:r>
      <w:r w:rsidR="00D244DF">
        <w:rPr>
          <w:rFonts w:ascii="Garamond" w:hAnsi="Garamond"/>
          <w:lang w:val="pt-PT"/>
        </w:rPr>
        <w:t xml:space="preserve">) </w:t>
      </w:r>
      <w:r w:rsidRPr="008601E5">
        <w:rPr>
          <w:rFonts w:ascii="Garamond" w:hAnsi="Garamond"/>
          <w:lang w:val="pt-PT"/>
        </w:rPr>
        <w:t>as medidas tomadas para sensibilizar políticos, líderes comunitários, media e público em geral sobre a importância da participação das mulheres na vida política</w:t>
      </w:r>
      <w:r w:rsidR="00D244DF">
        <w:rPr>
          <w:rFonts w:ascii="Garamond" w:hAnsi="Garamond"/>
          <w:lang w:val="pt-PT"/>
        </w:rPr>
        <w:t xml:space="preserve"> e </w:t>
      </w:r>
      <w:r w:rsidRPr="008601E5">
        <w:rPr>
          <w:rFonts w:ascii="Garamond" w:hAnsi="Garamond"/>
          <w:lang w:val="pt-PT"/>
        </w:rPr>
        <w:t>representação nas posições de tomada de decisão.</w:t>
      </w:r>
      <w:r>
        <w:rPr>
          <w:rStyle w:val="Refdenotaderodap"/>
          <w:rFonts w:ascii="Garamond" w:hAnsi="Garamond"/>
        </w:rPr>
        <w:footnoteReference w:id="121"/>
      </w:r>
    </w:p>
    <w:p w14:paraId="58367597" w14:textId="77777777" w:rsidR="008601E5" w:rsidRPr="008601E5" w:rsidRDefault="008601E5" w:rsidP="008601E5">
      <w:pPr>
        <w:jc w:val="both"/>
        <w:rPr>
          <w:rFonts w:ascii="Garamond" w:hAnsi="Garamond"/>
          <w:lang w:val="pt-PT"/>
        </w:rPr>
      </w:pPr>
      <w:r w:rsidRPr="008601E5">
        <w:rPr>
          <w:rFonts w:ascii="Garamond" w:hAnsi="Garamond"/>
          <w:lang w:val="pt-PT"/>
        </w:rPr>
        <w:t>Outro desafio apontado para a participação das mulheres na liderança política, diz respeito às menores oportunidades que as mulheres têm de desenvolver as suas capacidades políticas, já que têm menos oportunidades de exercício de liderança e, consequentemente, de angariação da necessária base de apoio político. Ao longo dos últimos anos várias iniciativas contribuíram para a capacitação de mulheres líderes em matéria de igualdade de género, entre as quais:</w:t>
      </w:r>
    </w:p>
    <w:p w14:paraId="3C4A189E" w14:textId="77777777" w:rsidR="008601E5" w:rsidRPr="008601E5" w:rsidRDefault="008601E5" w:rsidP="00786DEC">
      <w:pPr>
        <w:pStyle w:val="PargrafodaLista"/>
        <w:numPr>
          <w:ilvl w:val="0"/>
          <w:numId w:val="55"/>
        </w:numPr>
        <w:spacing w:line="259" w:lineRule="auto"/>
        <w:ind w:left="340" w:hanging="340"/>
        <w:jc w:val="both"/>
        <w:rPr>
          <w:rFonts w:ascii="Garamond" w:hAnsi="Garamond"/>
          <w:lang w:val="pt-PT"/>
        </w:rPr>
      </w:pPr>
      <w:r w:rsidRPr="008601E5">
        <w:rPr>
          <w:rFonts w:ascii="Garamond" w:hAnsi="Garamond"/>
          <w:lang w:val="pt-PT"/>
        </w:rPr>
        <w:t xml:space="preserve">A capacitação de mulheres com </w:t>
      </w:r>
      <w:proofErr w:type="spellStart"/>
      <w:r w:rsidRPr="008601E5">
        <w:rPr>
          <w:rFonts w:ascii="Garamond" w:hAnsi="Garamond"/>
          <w:lang w:val="pt-PT"/>
        </w:rPr>
        <w:t>atividade</w:t>
      </w:r>
      <w:proofErr w:type="spellEnd"/>
      <w:r w:rsidRPr="008601E5">
        <w:rPr>
          <w:rFonts w:ascii="Garamond" w:hAnsi="Garamond"/>
          <w:lang w:val="pt-PT"/>
        </w:rPr>
        <w:t xml:space="preserve"> político-partidária a nível local, em particular em São Miguel e na Praia, por ocasião da elaboração das respectivas Agendas de Género. A metodologia assenta na formação das lideranças locais (formação em género, desenvolvimento local, intervenção comunitária), de forma </w:t>
      </w:r>
      <w:proofErr w:type="gramStart"/>
      <w:r w:rsidRPr="008601E5">
        <w:rPr>
          <w:rFonts w:ascii="Garamond" w:hAnsi="Garamond"/>
          <w:lang w:val="pt-PT"/>
        </w:rPr>
        <w:t>supra partidária</w:t>
      </w:r>
      <w:proofErr w:type="gramEnd"/>
      <w:r w:rsidRPr="008601E5">
        <w:rPr>
          <w:rFonts w:ascii="Garamond" w:hAnsi="Garamond"/>
          <w:lang w:val="pt-PT"/>
        </w:rPr>
        <w:t xml:space="preserve">, que efectuam um diagnóstico participativo a nível local sobre as preocupações das mulheres e meninas e prioridades de género das comunidades, que são sistematizadas numa Agenda de Género de revindicações a serem tidas em conta </w:t>
      </w:r>
      <w:proofErr w:type="spellStart"/>
      <w:r w:rsidRPr="008601E5">
        <w:rPr>
          <w:rFonts w:ascii="Garamond" w:hAnsi="Garamond"/>
          <w:lang w:val="pt-PT"/>
        </w:rPr>
        <w:t>pelos</w:t>
      </w:r>
      <w:proofErr w:type="spellEnd"/>
      <w:r w:rsidRPr="008601E5">
        <w:rPr>
          <w:rFonts w:ascii="Garamond" w:hAnsi="Garamond"/>
          <w:lang w:val="pt-PT"/>
        </w:rPr>
        <w:t xml:space="preserve"> vários </w:t>
      </w:r>
      <w:proofErr w:type="spellStart"/>
      <w:r w:rsidRPr="008601E5">
        <w:rPr>
          <w:rFonts w:ascii="Garamond" w:hAnsi="Garamond"/>
          <w:lang w:val="pt-PT"/>
        </w:rPr>
        <w:t>atores</w:t>
      </w:r>
      <w:proofErr w:type="spellEnd"/>
      <w:r w:rsidRPr="008601E5">
        <w:rPr>
          <w:rFonts w:ascii="Garamond" w:hAnsi="Garamond"/>
          <w:lang w:val="pt-PT"/>
        </w:rPr>
        <w:t>/instituições, dando voz às mulheres.</w:t>
      </w:r>
    </w:p>
    <w:p w14:paraId="019F3B6C" w14:textId="77777777" w:rsidR="008601E5" w:rsidRPr="008601E5" w:rsidRDefault="008601E5" w:rsidP="00786DEC">
      <w:pPr>
        <w:pStyle w:val="PargrafodaLista"/>
        <w:numPr>
          <w:ilvl w:val="0"/>
          <w:numId w:val="55"/>
        </w:numPr>
        <w:spacing w:line="259" w:lineRule="auto"/>
        <w:ind w:left="340" w:hanging="340"/>
        <w:jc w:val="both"/>
        <w:rPr>
          <w:rFonts w:ascii="Garamond" w:hAnsi="Garamond"/>
          <w:lang w:val="pt-PT"/>
        </w:rPr>
      </w:pPr>
      <w:r w:rsidRPr="008601E5">
        <w:rPr>
          <w:rFonts w:ascii="Garamond" w:hAnsi="Garamond"/>
          <w:lang w:val="pt-PT"/>
        </w:rPr>
        <w:t>A constituição de uma Coligação de Mulheres de Santiago (mulheres engajadas politicamente a nível local).</w:t>
      </w:r>
    </w:p>
    <w:p w14:paraId="54B73F6D" w14:textId="77777777" w:rsidR="008601E5" w:rsidRPr="008601E5" w:rsidRDefault="008601E5" w:rsidP="00786DEC">
      <w:pPr>
        <w:pStyle w:val="PargrafodaLista"/>
        <w:numPr>
          <w:ilvl w:val="0"/>
          <w:numId w:val="55"/>
        </w:numPr>
        <w:spacing w:after="240" w:line="259" w:lineRule="auto"/>
        <w:ind w:left="340" w:hanging="340"/>
        <w:contextualSpacing w:val="0"/>
        <w:jc w:val="both"/>
        <w:rPr>
          <w:rFonts w:ascii="Garamond" w:hAnsi="Garamond"/>
          <w:lang w:val="pt-PT"/>
        </w:rPr>
      </w:pPr>
      <w:r w:rsidRPr="008601E5">
        <w:rPr>
          <w:rFonts w:ascii="Garamond" w:hAnsi="Garamond"/>
          <w:lang w:val="pt-PT"/>
        </w:rPr>
        <w:t xml:space="preserve">O reforço das capacidades em matéria de igualdade de género das mulheres parlamentares, no início do seu mandato. </w:t>
      </w:r>
    </w:p>
    <w:p w14:paraId="15092459" w14:textId="77777777" w:rsidR="008601E5" w:rsidRPr="008601E5" w:rsidRDefault="008601E5" w:rsidP="008601E5">
      <w:pPr>
        <w:jc w:val="both"/>
        <w:rPr>
          <w:rFonts w:ascii="Garamond" w:hAnsi="Garamond"/>
          <w:lang w:val="pt-PT"/>
        </w:rPr>
      </w:pPr>
      <w:r w:rsidRPr="008601E5">
        <w:rPr>
          <w:rFonts w:ascii="Garamond" w:hAnsi="Garamond"/>
          <w:lang w:val="pt-PT"/>
        </w:rPr>
        <w:t xml:space="preserve">Iniciativas que vêm dando frutos consideráveis, em termos de propostas de leis e advocacia </w:t>
      </w:r>
      <w:proofErr w:type="spellStart"/>
      <w:r w:rsidRPr="008601E5">
        <w:rPr>
          <w:rFonts w:ascii="Garamond" w:hAnsi="Garamond"/>
          <w:lang w:val="pt-PT"/>
        </w:rPr>
        <w:t>pela</w:t>
      </w:r>
      <w:proofErr w:type="spellEnd"/>
      <w:r w:rsidRPr="008601E5">
        <w:rPr>
          <w:rFonts w:ascii="Garamond" w:hAnsi="Garamond"/>
          <w:lang w:val="pt-PT"/>
        </w:rPr>
        <w:t xml:space="preserve"> sua aprovação (ex. Lei </w:t>
      </w:r>
      <w:proofErr w:type="spellStart"/>
      <w:r w:rsidRPr="008601E5">
        <w:rPr>
          <w:rFonts w:ascii="Garamond" w:hAnsi="Garamond"/>
          <w:lang w:val="pt-PT"/>
        </w:rPr>
        <w:t>VBG</w:t>
      </w:r>
      <w:proofErr w:type="spellEnd"/>
      <w:r w:rsidRPr="008601E5">
        <w:rPr>
          <w:rFonts w:ascii="Garamond" w:hAnsi="Garamond"/>
          <w:lang w:val="pt-PT"/>
        </w:rPr>
        <w:t xml:space="preserve"> e sua regulamentação, Lei da Paridade), advocacia </w:t>
      </w:r>
      <w:proofErr w:type="spellStart"/>
      <w:r w:rsidRPr="008601E5">
        <w:rPr>
          <w:rFonts w:ascii="Garamond" w:hAnsi="Garamond"/>
          <w:lang w:val="pt-PT"/>
        </w:rPr>
        <w:t>pelo</w:t>
      </w:r>
      <w:proofErr w:type="spellEnd"/>
      <w:r w:rsidRPr="008601E5">
        <w:rPr>
          <w:rFonts w:ascii="Garamond" w:hAnsi="Garamond"/>
          <w:lang w:val="pt-PT"/>
        </w:rPr>
        <w:t xml:space="preserve"> financiamento de prioridades de género e </w:t>
      </w:r>
      <w:proofErr w:type="spellStart"/>
      <w:r w:rsidRPr="008601E5">
        <w:rPr>
          <w:rFonts w:ascii="Garamond" w:hAnsi="Garamond"/>
          <w:lang w:val="pt-PT"/>
        </w:rPr>
        <w:t>pela</w:t>
      </w:r>
      <w:proofErr w:type="spellEnd"/>
      <w:r w:rsidRPr="008601E5">
        <w:rPr>
          <w:rFonts w:ascii="Garamond" w:hAnsi="Garamond"/>
          <w:lang w:val="pt-PT"/>
        </w:rPr>
        <w:t xml:space="preserve"> orçamentação sensível ao género, entre outras. </w:t>
      </w:r>
    </w:p>
    <w:p w14:paraId="1AC430EB" w14:textId="77777777" w:rsidR="008601E5" w:rsidRPr="008601E5" w:rsidRDefault="008601E5" w:rsidP="00786DEC">
      <w:pPr>
        <w:pStyle w:val="PargrafodaLista"/>
        <w:numPr>
          <w:ilvl w:val="0"/>
          <w:numId w:val="31"/>
        </w:numPr>
        <w:spacing w:after="240"/>
        <w:jc w:val="both"/>
        <w:rPr>
          <w:rFonts w:ascii="Garamond" w:hAnsi="Garamond"/>
          <w:lang w:val="pt-PT"/>
        </w:rPr>
      </w:pPr>
      <w:r w:rsidRPr="008601E5">
        <w:rPr>
          <w:rFonts w:ascii="Garamond" w:hAnsi="Garamond"/>
          <w:lang w:val="pt-PT"/>
        </w:rPr>
        <w:t>Será importante consolidar os ganhos, dando continuidade ao reforço das capacidades mulheres parlamentares, sobretudo no início do seu mandato em cada legislatura, em matérias de políticas públicas de género e o seu seguimento, orçamentação sensível ao género, liderança política.</w:t>
      </w:r>
    </w:p>
    <w:p w14:paraId="73955EE4" w14:textId="5CD3A6CC" w:rsidR="008601E5" w:rsidRPr="002B0F42" w:rsidRDefault="008601E5" w:rsidP="00786DEC">
      <w:pPr>
        <w:pStyle w:val="PargrafodaLista"/>
        <w:numPr>
          <w:ilvl w:val="0"/>
          <w:numId w:val="31"/>
        </w:numPr>
        <w:spacing w:after="240"/>
        <w:jc w:val="both"/>
        <w:rPr>
          <w:rFonts w:ascii="Garamond" w:hAnsi="Garamond"/>
          <w:lang w:val="pt-PT"/>
        </w:rPr>
      </w:pPr>
      <w:r w:rsidRPr="008601E5">
        <w:rPr>
          <w:rFonts w:ascii="Garamond" w:hAnsi="Garamond"/>
          <w:lang w:val="pt-PT"/>
        </w:rPr>
        <w:t xml:space="preserve">Consolidar as coligações existentes de mulheres envolvidas na </w:t>
      </w:r>
      <w:proofErr w:type="spellStart"/>
      <w:r w:rsidRPr="008601E5">
        <w:rPr>
          <w:rFonts w:ascii="Garamond" w:hAnsi="Garamond"/>
          <w:lang w:val="pt-PT"/>
        </w:rPr>
        <w:t>atividade</w:t>
      </w:r>
      <w:proofErr w:type="spellEnd"/>
      <w:r w:rsidRPr="008601E5">
        <w:rPr>
          <w:rFonts w:ascii="Garamond" w:hAnsi="Garamond"/>
          <w:lang w:val="pt-PT"/>
        </w:rPr>
        <w:t xml:space="preserve"> político-partidária a nível local e estabelecer outras noutras ilhas, através do desenvolvimento de Agendas de Género, seguinte a metodologia existente.</w:t>
      </w:r>
    </w:p>
    <w:p w14:paraId="44664185" w14:textId="77777777" w:rsidR="008601E5" w:rsidRPr="008601E5" w:rsidRDefault="008601E5" w:rsidP="00786DEC">
      <w:pPr>
        <w:pStyle w:val="PargrafodaLista"/>
        <w:numPr>
          <w:ilvl w:val="0"/>
          <w:numId w:val="31"/>
        </w:numPr>
        <w:spacing w:after="240"/>
        <w:jc w:val="both"/>
        <w:rPr>
          <w:rFonts w:ascii="Garamond" w:hAnsi="Garamond"/>
          <w:lang w:val="pt-PT"/>
        </w:rPr>
      </w:pPr>
      <w:r w:rsidRPr="008601E5">
        <w:rPr>
          <w:rFonts w:ascii="Garamond" w:hAnsi="Garamond"/>
          <w:lang w:val="pt-PT"/>
        </w:rPr>
        <w:t>Com a devida urgência, e em colaboração com os partidos políticos, capacitar em todos os Municípios do país mulheres candidatas e potenciais candidatas, em liderança para a participação na política, entre outros, com vista a aumentar o número de mulheres candidatas, em linha com o Plano de Advocacia.</w:t>
      </w:r>
    </w:p>
    <w:p w14:paraId="21EC6C5A" w14:textId="77777777" w:rsidR="008601E5" w:rsidRPr="008601E5" w:rsidRDefault="008601E5" w:rsidP="00786DEC">
      <w:pPr>
        <w:pStyle w:val="PargrafodaLista"/>
        <w:numPr>
          <w:ilvl w:val="0"/>
          <w:numId w:val="31"/>
        </w:numPr>
        <w:spacing w:after="240"/>
        <w:jc w:val="both"/>
        <w:rPr>
          <w:rFonts w:ascii="Garamond" w:hAnsi="Garamond"/>
          <w:lang w:val="pt-PT"/>
        </w:rPr>
      </w:pPr>
      <w:r w:rsidRPr="008601E5">
        <w:rPr>
          <w:rFonts w:ascii="Garamond" w:hAnsi="Garamond"/>
          <w:lang w:val="pt-PT"/>
        </w:rPr>
        <w:t xml:space="preserve">Advogar </w:t>
      </w:r>
      <w:proofErr w:type="spellStart"/>
      <w:r w:rsidRPr="008601E5">
        <w:rPr>
          <w:rFonts w:ascii="Garamond" w:hAnsi="Garamond"/>
          <w:lang w:val="pt-PT"/>
        </w:rPr>
        <w:t>pela</w:t>
      </w:r>
      <w:proofErr w:type="spellEnd"/>
      <w:r w:rsidRPr="008601E5">
        <w:rPr>
          <w:rFonts w:ascii="Garamond" w:hAnsi="Garamond"/>
          <w:lang w:val="pt-PT"/>
        </w:rPr>
        <w:t xml:space="preserve"> definição e </w:t>
      </w:r>
      <w:proofErr w:type="spellStart"/>
      <w:r w:rsidRPr="008601E5">
        <w:rPr>
          <w:rFonts w:ascii="Garamond" w:hAnsi="Garamond"/>
          <w:lang w:val="pt-PT"/>
        </w:rPr>
        <w:t>visibilização</w:t>
      </w:r>
      <w:proofErr w:type="spellEnd"/>
      <w:r w:rsidRPr="008601E5">
        <w:rPr>
          <w:rFonts w:ascii="Garamond" w:hAnsi="Garamond"/>
          <w:lang w:val="pt-PT"/>
        </w:rPr>
        <w:t xml:space="preserve"> de agendas de género nas plataformas políticas eleitorais dos partidos, formando </w:t>
      </w:r>
      <w:proofErr w:type="spellStart"/>
      <w:r w:rsidRPr="008601E5">
        <w:rPr>
          <w:rFonts w:ascii="Garamond" w:hAnsi="Garamond"/>
          <w:lang w:val="pt-PT"/>
        </w:rPr>
        <w:t>atores</w:t>
      </w:r>
      <w:proofErr w:type="spellEnd"/>
      <w:r w:rsidRPr="008601E5">
        <w:rPr>
          <w:rFonts w:ascii="Garamond" w:hAnsi="Garamond"/>
          <w:lang w:val="pt-PT"/>
        </w:rPr>
        <w:t xml:space="preserve"> envolvidos com a igualdade de género na análise da inclusão das suas pautas de revindicações nas plataformas políticas partidárias (ex. elaboração de grelhas de análise ou </w:t>
      </w:r>
      <w:proofErr w:type="spellStart"/>
      <w:r w:rsidRPr="008601E5">
        <w:rPr>
          <w:rFonts w:ascii="Garamond" w:hAnsi="Garamond"/>
          <w:i/>
          <w:iCs/>
          <w:lang w:val="pt-PT"/>
        </w:rPr>
        <w:t>scorecards</w:t>
      </w:r>
      <w:proofErr w:type="spellEnd"/>
      <w:r w:rsidRPr="008601E5">
        <w:rPr>
          <w:rFonts w:ascii="Garamond" w:hAnsi="Garamond"/>
          <w:lang w:val="pt-PT"/>
        </w:rPr>
        <w:t xml:space="preserve">)     </w:t>
      </w:r>
    </w:p>
    <w:p w14:paraId="060574CB" w14:textId="77777777" w:rsidR="008601E5" w:rsidRPr="008601E5" w:rsidRDefault="008601E5" w:rsidP="008601E5">
      <w:pPr>
        <w:spacing w:before="240"/>
        <w:jc w:val="both"/>
        <w:rPr>
          <w:rFonts w:ascii="Garamond" w:hAnsi="Garamond"/>
          <w:lang w:val="pt-PT"/>
        </w:rPr>
      </w:pPr>
      <w:r w:rsidRPr="008601E5">
        <w:rPr>
          <w:rFonts w:ascii="Garamond" w:hAnsi="Garamond"/>
          <w:lang w:val="pt-PT"/>
        </w:rPr>
        <w:t>A Lei da Paridade contempla, além da paridade na representação política:</w:t>
      </w:r>
    </w:p>
    <w:p w14:paraId="1A5E36C9" w14:textId="77777777" w:rsidR="008601E5" w:rsidRPr="008601E5" w:rsidRDefault="008601E5" w:rsidP="00786DEC">
      <w:pPr>
        <w:pStyle w:val="PargrafodaLista"/>
        <w:numPr>
          <w:ilvl w:val="0"/>
          <w:numId w:val="53"/>
        </w:numPr>
        <w:spacing w:line="259" w:lineRule="auto"/>
        <w:ind w:left="357" w:hanging="357"/>
        <w:jc w:val="both"/>
        <w:rPr>
          <w:rFonts w:ascii="Garamond" w:hAnsi="Garamond"/>
          <w:lang w:val="pt-PT"/>
        </w:rPr>
      </w:pPr>
      <w:r w:rsidRPr="008601E5">
        <w:rPr>
          <w:rFonts w:ascii="Garamond" w:hAnsi="Garamond"/>
          <w:lang w:val="pt-PT"/>
        </w:rPr>
        <w:t xml:space="preserve">A </w:t>
      </w:r>
      <w:r w:rsidRPr="008601E5">
        <w:rPr>
          <w:rFonts w:ascii="Garamond" w:hAnsi="Garamond"/>
          <w:b/>
          <w:bCs/>
          <w:lang w:val="pt-PT"/>
        </w:rPr>
        <w:t>paridade na formação e constituição do Governo</w:t>
      </w:r>
      <w:r w:rsidRPr="008601E5">
        <w:rPr>
          <w:rFonts w:ascii="Garamond" w:hAnsi="Garamond"/>
          <w:lang w:val="pt-PT"/>
        </w:rPr>
        <w:t xml:space="preserve">, estipulando que o Primeiro Ministro deve se empenhar na aplicação do princípio da paridade (Artigo 4º, nº3). Note-se que no Governo, órgão de nomeação política, o país sofreu uma regressão: de 2006 a 2016 houve paridade no governo, sendo a proporção de mulheres Ministras </w:t>
      </w:r>
      <w:proofErr w:type="spellStart"/>
      <w:r w:rsidRPr="008601E5">
        <w:rPr>
          <w:rFonts w:ascii="Garamond" w:hAnsi="Garamond"/>
          <w:lang w:val="pt-PT"/>
        </w:rPr>
        <w:t>atualmente</w:t>
      </w:r>
      <w:proofErr w:type="spellEnd"/>
      <w:r w:rsidRPr="008601E5">
        <w:rPr>
          <w:rFonts w:ascii="Garamond" w:hAnsi="Garamond"/>
          <w:lang w:val="pt-PT"/>
        </w:rPr>
        <w:t xml:space="preserve"> de 25%.</w:t>
      </w:r>
      <w:r w:rsidRPr="00806495">
        <w:rPr>
          <w:rStyle w:val="Refdenotaderodap"/>
          <w:rFonts w:ascii="Garamond" w:hAnsi="Garamond"/>
        </w:rPr>
        <w:footnoteReference w:id="122"/>
      </w:r>
    </w:p>
    <w:p w14:paraId="2B6888D9" w14:textId="77777777" w:rsidR="008601E5" w:rsidRPr="008601E5" w:rsidRDefault="008601E5" w:rsidP="00786DEC">
      <w:pPr>
        <w:pStyle w:val="PargrafodaLista"/>
        <w:numPr>
          <w:ilvl w:val="0"/>
          <w:numId w:val="53"/>
        </w:numPr>
        <w:spacing w:line="259" w:lineRule="auto"/>
        <w:ind w:left="357" w:hanging="357"/>
        <w:jc w:val="both"/>
        <w:rPr>
          <w:rFonts w:ascii="Garamond" w:hAnsi="Garamond"/>
          <w:lang w:val="pt-PT"/>
        </w:rPr>
      </w:pPr>
      <w:r w:rsidRPr="008601E5">
        <w:rPr>
          <w:rFonts w:ascii="Garamond" w:hAnsi="Garamond"/>
          <w:lang w:val="pt-PT"/>
        </w:rPr>
        <w:t xml:space="preserve">A </w:t>
      </w:r>
      <w:r w:rsidRPr="008601E5">
        <w:rPr>
          <w:rFonts w:ascii="Garamond" w:hAnsi="Garamond"/>
          <w:b/>
          <w:bCs/>
          <w:lang w:val="pt-PT"/>
        </w:rPr>
        <w:t xml:space="preserve">paridade nos órgãos de </w:t>
      </w:r>
      <w:proofErr w:type="spellStart"/>
      <w:r w:rsidRPr="008601E5">
        <w:rPr>
          <w:rFonts w:ascii="Garamond" w:hAnsi="Garamond"/>
          <w:b/>
          <w:bCs/>
          <w:lang w:val="pt-PT"/>
        </w:rPr>
        <w:t>direção</w:t>
      </w:r>
      <w:proofErr w:type="spellEnd"/>
      <w:r w:rsidRPr="008601E5">
        <w:rPr>
          <w:rFonts w:ascii="Garamond" w:hAnsi="Garamond"/>
          <w:b/>
          <w:bCs/>
          <w:lang w:val="pt-PT"/>
        </w:rPr>
        <w:t xml:space="preserve"> do </w:t>
      </w:r>
      <w:proofErr w:type="spellStart"/>
      <w:r w:rsidRPr="008601E5">
        <w:rPr>
          <w:rFonts w:ascii="Garamond" w:hAnsi="Garamond"/>
          <w:b/>
          <w:bCs/>
          <w:lang w:val="pt-PT"/>
        </w:rPr>
        <w:t>setor</w:t>
      </w:r>
      <w:proofErr w:type="spellEnd"/>
      <w:r w:rsidRPr="008601E5">
        <w:rPr>
          <w:rFonts w:ascii="Garamond" w:hAnsi="Garamond"/>
          <w:b/>
          <w:bCs/>
          <w:lang w:val="pt-PT"/>
        </w:rPr>
        <w:t xml:space="preserve"> público administrativo e empresarial do Estado e das autarquias locais</w:t>
      </w:r>
      <w:r w:rsidRPr="008601E5">
        <w:rPr>
          <w:rFonts w:ascii="Garamond" w:hAnsi="Garamond"/>
          <w:lang w:val="pt-PT"/>
        </w:rPr>
        <w:t xml:space="preserve"> (Artigo7º). Os dados mostram que em 2015,</w:t>
      </w:r>
      <w:r w:rsidRPr="0009396D">
        <w:rPr>
          <w:rStyle w:val="Refdenotaderodap"/>
          <w:rFonts w:ascii="Garamond" w:hAnsi="Garamond"/>
        </w:rPr>
        <w:footnoteReference w:id="123"/>
      </w:r>
      <w:r w:rsidRPr="008601E5">
        <w:rPr>
          <w:rFonts w:ascii="Garamond" w:hAnsi="Garamond"/>
          <w:lang w:val="pt-PT"/>
        </w:rPr>
        <w:t xml:space="preserve"> as mulheres ocupavam apenas 20% dos cargos de dirigentes intermédios e 34% dos cargos de dirigentes superiores.</w:t>
      </w:r>
      <w:r w:rsidRPr="008601E5">
        <w:rPr>
          <w:rFonts w:ascii="Garamond" w:hAnsi="Garamond"/>
          <w:color w:val="FF0000"/>
          <w:lang w:val="pt-PT"/>
        </w:rPr>
        <w:t xml:space="preserve"> </w:t>
      </w:r>
    </w:p>
    <w:p w14:paraId="6456BFC7" w14:textId="77777777" w:rsidR="008601E5" w:rsidRPr="008601E5" w:rsidRDefault="008601E5" w:rsidP="008601E5">
      <w:pPr>
        <w:pStyle w:val="PargrafodaLista"/>
        <w:ind w:left="357"/>
        <w:jc w:val="both"/>
        <w:rPr>
          <w:rFonts w:ascii="Garamond" w:hAnsi="Garamond"/>
          <w:lang w:val="pt-PT"/>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25"/>
      </w:tblGrid>
      <w:tr w:rsidR="008601E5" w:rsidRPr="005808D4" w14:paraId="08EB710A" w14:textId="77777777" w:rsidTr="00432079">
        <w:tc>
          <w:tcPr>
            <w:tcW w:w="3969" w:type="dxa"/>
          </w:tcPr>
          <w:p w14:paraId="6F08120D" w14:textId="682FE082" w:rsidR="008601E5" w:rsidRPr="008601E5" w:rsidRDefault="008601E5" w:rsidP="00B85C5F">
            <w:pPr>
              <w:jc w:val="center"/>
              <w:rPr>
                <w:rFonts w:ascii="Garamond" w:hAnsi="Garamond"/>
                <w:sz w:val="20"/>
                <w:szCs w:val="20"/>
                <w:lang w:val="pt-PT"/>
              </w:rPr>
            </w:pPr>
            <w:bookmarkStart w:id="103" w:name="_Toc32856886"/>
            <w:r w:rsidRPr="008601E5">
              <w:rPr>
                <w:rFonts w:ascii="Garamond" w:hAnsi="Garamond"/>
                <w:b/>
                <w:bCs/>
                <w:i/>
                <w:iCs/>
                <w:sz w:val="20"/>
                <w:szCs w:val="20"/>
                <w:lang w:val="pt-PT"/>
              </w:rPr>
              <w:t xml:space="preserve">Gráfico </w:t>
            </w:r>
            <w:r w:rsidRPr="009516C0">
              <w:rPr>
                <w:rFonts w:ascii="Garamond" w:hAnsi="Garamond"/>
                <w:b/>
                <w:bCs/>
                <w:i/>
                <w:iCs/>
                <w:sz w:val="20"/>
                <w:szCs w:val="20"/>
              </w:rPr>
              <w:fldChar w:fldCharType="begin"/>
            </w:r>
            <w:r w:rsidRPr="008601E5">
              <w:rPr>
                <w:rFonts w:ascii="Garamond" w:hAnsi="Garamond"/>
                <w:b/>
                <w:bCs/>
                <w:i/>
                <w:iCs/>
                <w:sz w:val="20"/>
                <w:szCs w:val="20"/>
                <w:lang w:val="pt-PT"/>
              </w:rPr>
              <w:instrText xml:space="preserve"> SEQ Grafico \* ARABIC </w:instrText>
            </w:r>
            <w:r w:rsidRPr="009516C0">
              <w:rPr>
                <w:rFonts w:ascii="Garamond" w:hAnsi="Garamond"/>
                <w:b/>
                <w:bCs/>
                <w:i/>
                <w:iCs/>
                <w:sz w:val="20"/>
                <w:szCs w:val="20"/>
              </w:rPr>
              <w:fldChar w:fldCharType="separate"/>
            </w:r>
            <w:r w:rsidR="009F122A">
              <w:rPr>
                <w:rFonts w:ascii="Garamond" w:hAnsi="Garamond"/>
                <w:b/>
                <w:bCs/>
                <w:i/>
                <w:iCs/>
                <w:noProof/>
                <w:sz w:val="20"/>
                <w:szCs w:val="20"/>
                <w:lang w:val="pt-PT"/>
              </w:rPr>
              <w:t>32</w:t>
            </w:r>
            <w:r w:rsidRPr="009516C0">
              <w:rPr>
                <w:rFonts w:ascii="Garamond" w:hAnsi="Garamond"/>
                <w:b/>
                <w:bCs/>
                <w:i/>
                <w:iCs/>
                <w:sz w:val="20"/>
                <w:szCs w:val="20"/>
              </w:rPr>
              <w:fldChar w:fldCharType="end"/>
            </w:r>
            <w:r w:rsidRPr="008601E5">
              <w:rPr>
                <w:rFonts w:ascii="Garamond" w:hAnsi="Garamond"/>
                <w:b/>
                <w:bCs/>
                <w:i/>
                <w:iCs/>
                <w:sz w:val="20"/>
                <w:szCs w:val="20"/>
                <w:lang w:val="pt-PT"/>
              </w:rPr>
              <w:t xml:space="preserve"> – Percentagem de Dirigentes da Administração Pública por sexo (2015)</w:t>
            </w:r>
            <w:bookmarkEnd w:id="103"/>
          </w:p>
        </w:tc>
        <w:tc>
          <w:tcPr>
            <w:tcW w:w="4525" w:type="dxa"/>
            <w:vMerge w:val="restart"/>
            <w:shd w:val="clear" w:color="auto" w:fill="F2F2F2" w:themeFill="background1" w:themeFillShade="F2"/>
          </w:tcPr>
          <w:p w14:paraId="23A977FB" w14:textId="77777777" w:rsidR="008601E5" w:rsidRPr="002B0F42" w:rsidRDefault="008601E5" w:rsidP="00432079">
            <w:pPr>
              <w:jc w:val="both"/>
              <w:rPr>
                <w:rFonts w:ascii="Garamond" w:hAnsi="Garamond"/>
                <w:sz w:val="22"/>
                <w:szCs w:val="22"/>
                <w:lang w:val="pt-PT"/>
              </w:rPr>
            </w:pPr>
          </w:p>
          <w:p w14:paraId="376CAA61" w14:textId="77777777" w:rsidR="008601E5" w:rsidRPr="002B0F42" w:rsidRDefault="008601E5" w:rsidP="00432079">
            <w:pPr>
              <w:jc w:val="both"/>
              <w:rPr>
                <w:rFonts w:ascii="Garamond" w:hAnsi="Garamond"/>
                <w:sz w:val="22"/>
                <w:szCs w:val="22"/>
                <w:lang w:val="pt-PT"/>
              </w:rPr>
            </w:pPr>
            <w:r w:rsidRPr="002B0F42">
              <w:rPr>
                <w:rFonts w:ascii="Garamond" w:hAnsi="Garamond"/>
                <w:sz w:val="22"/>
                <w:szCs w:val="22"/>
                <w:lang w:val="pt-PT"/>
              </w:rPr>
              <w:t>Contudo, nos últimos anos alguns sectores vêm demonstrando um forte compromisso com a promoção da paridade na tomada de decisão, entre os quais:</w:t>
            </w:r>
          </w:p>
          <w:p w14:paraId="5ED12F0B" w14:textId="77777777" w:rsidR="008601E5" w:rsidRPr="002B0F42" w:rsidRDefault="008601E5" w:rsidP="00786DEC">
            <w:pPr>
              <w:pStyle w:val="PargrafodaLista"/>
              <w:numPr>
                <w:ilvl w:val="0"/>
                <w:numId w:val="26"/>
              </w:numPr>
              <w:jc w:val="both"/>
              <w:rPr>
                <w:rFonts w:ascii="Garamond" w:hAnsi="Garamond"/>
                <w:sz w:val="22"/>
                <w:szCs w:val="22"/>
                <w:lang w:val="pt-PT"/>
              </w:rPr>
            </w:pPr>
            <w:r w:rsidRPr="002B0F42">
              <w:rPr>
                <w:rFonts w:ascii="Garamond" w:hAnsi="Garamond"/>
                <w:sz w:val="22"/>
                <w:szCs w:val="22"/>
                <w:lang w:val="pt-PT"/>
              </w:rPr>
              <w:t xml:space="preserve">A Educação: como referenciado no </w:t>
            </w:r>
            <w:r w:rsidRPr="002B0F42">
              <w:rPr>
                <w:rFonts w:ascii="Garamond" w:hAnsi="Garamond"/>
                <w:i/>
                <w:iCs/>
                <w:sz w:val="22"/>
                <w:szCs w:val="22"/>
                <w:lang w:val="pt-PT"/>
              </w:rPr>
              <w:t>Eixo 2,</w:t>
            </w:r>
            <w:r w:rsidRPr="002B0F42">
              <w:rPr>
                <w:rFonts w:ascii="Garamond" w:hAnsi="Garamond"/>
                <w:sz w:val="22"/>
                <w:szCs w:val="22"/>
                <w:lang w:val="pt-PT"/>
              </w:rPr>
              <w:t xml:space="preserve"> foi alcançada a paridade nos cargos de decisão a nível local, tradicionalmente ocupados por homens</w:t>
            </w:r>
          </w:p>
          <w:p w14:paraId="1A0690BD" w14:textId="77777777" w:rsidR="008601E5" w:rsidRPr="002B0F42" w:rsidRDefault="008601E5" w:rsidP="00786DEC">
            <w:pPr>
              <w:pStyle w:val="PargrafodaLista"/>
              <w:numPr>
                <w:ilvl w:val="0"/>
                <w:numId w:val="26"/>
              </w:numPr>
              <w:jc w:val="both"/>
              <w:rPr>
                <w:rFonts w:ascii="Garamond" w:hAnsi="Garamond"/>
                <w:sz w:val="22"/>
                <w:szCs w:val="22"/>
                <w:lang w:val="pt-PT"/>
              </w:rPr>
            </w:pPr>
            <w:r w:rsidRPr="002B0F42">
              <w:rPr>
                <w:rFonts w:ascii="Garamond" w:hAnsi="Garamond"/>
                <w:sz w:val="22"/>
                <w:szCs w:val="22"/>
                <w:lang w:val="pt-PT"/>
              </w:rPr>
              <w:t>A Administração Interna: a Polícia Nacional aplicou um critério de paridade no envio de quadros superiores para formação (sem a qual as mulheres da PN não poderiam cumprir os critérios de habilitações para nomeação em cargos de chefia)</w:t>
            </w:r>
          </w:p>
        </w:tc>
      </w:tr>
      <w:tr w:rsidR="008601E5" w14:paraId="20EEBB14" w14:textId="77777777" w:rsidTr="00432079">
        <w:tc>
          <w:tcPr>
            <w:tcW w:w="3969" w:type="dxa"/>
          </w:tcPr>
          <w:p w14:paraId="4B5C3FF5" w14:textId="77777777" w:rsidR="008601E5" w:rsidRDefault="008601E5" w:rsidP="00432079">
            <w:pPr>
              <w:jc w:val="center"/>
              <w:rPr>
                <w:rFonts w:ascii="Garamond" w:hAnsi="Garamond"/>
              </w:rPr>
            </w:pPr>
            <w:r w:rsidRPr="00393AE8">
              <w:rPr>
                <w:rFonts w:ascii="Garamond" w:hAnsi="Garamond"/>
                <w:noProof/>
              </w:rPr>
              <w:drawing>
                <wp:inline distT="0" distB="0" distL="0" distR="0" wp14:anchorId="6A9B0FB7" wp14:editId="59B6C229">
                  <wp:extent cx="1811020" cy="1880315"/>
                  <wp:effectExtent l="0" t="0" r="0" b="5715"/>
                  <wp:docPr id="41" name="Gráfico 41">
                    <a:extLst xmlns:a="http://schemas.openxmlformats.org/drawingml/2006/main">
                      <a:ext uri="{FF2B5EF4-FFF2-40B4-BE49-F238E27FC236}">
                        <a16:creationId xmlns:a16="http://schemas.microsoft.com/office/drawing/2014/main" id="{2046DB2D-FAA8-45C1-AFAF-AD021A206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4525" w:type="dxa"/>
            <w:vMerge/>
            <w:shd w:val="clear" w:color="auto" w:fill="F2F2F2" w:themeFill="background1" w:themeFillShade="F2"/>
          </w:tcPr>
          <w:p w14:paraId="2D0E841B" w14:textId="77777777" w:rsidR="008601E5" w:rsidRDefault="008601E5" w:rsidP="00432079">
            <w:pPr>
              <w:jc w:val="both"/>
              <w:rPr>
                <w:rFonts w:ascii="Garamond" w:hAnsi="Garamond"/>
              </w:rPr>
            </w:pPr>
          </w:p>
        </w:tc>
      </w:tr>
      <w:tr w:rsidR="008601E5" w:rsidRPr="005808D4" w14:paraId="7F13591C" w14:textId="77777777" w:rsidTr="00432079">
        <w:tc>
          <w:tcPr>
            <w:tcW w:w="3969" w:type="dxa"/>
          </w:tcPr>
          <w:p w14:paraId="018BBBBF" w14:textId="77777777" w:rsidR="008601E5" w:rsidRPr="008601E5" w:rsidRDefault="008601E5" w:rsidP="00432079">
            <w:pPr>
              <w:jc w:val="center"/>
              <w:rPr>
                <w:rFonts w:ascii="Garamond" w:hAnsi="Garamond"/>
                <w:b/>
                <w:bCs/>
                <w:sz w:val="20"/>
                <w:szCs w:val="20"/>
                <w:lang w:val="pt-PT"/>
              </w:rPr>
            </w:pPr>
            <w:r w:rsidRPr="008601E5">
              <w:rPr>
                <w:rFonts w:ascii="Garamond" w:hAnsi="Garamond"/>
                <w:b/>
                <w:bCs/>
                <w:sz w:val="20"/>
                <w:szCs w:val="20"/>
                <w:lang w:val="pt-PT"/>
              </w:rPr>
              <w:t xml:space="preserve">Fonte: </w:t>
            </w:r>
            <w:proofErr w:type="spellStart"/>
            <w:r w:rsidRPr="008601E5">
              <w:rPr>
                <w:rFonts w:ascii="Garamond" w:hAnsi="Garamond" w:cstheme="minorHAnsi"/>
                <w:b/>
                <w:bCs/>
                <w:sz w:val="20"/>
                <w:szCs w:val="20"/>
                <w:lang w:val="pt-PT"/>
              </w:rPr>
              <w:t>DNAP</w:t>
            </w:r>
            <w:proofErr w:type="spellEnd"/>
            <w:r w:rsidRPr="008601E5">
              <w:rPr>
                <w:rFonts w:ascii="Garamond" w:hAnsi="Garamond" w:cstheme="minorHAnsi"/>
                <w:b/>
                <w:bCs/>
                <w:sz w:val="20"/>
                <w:szCs w:val="20"/>
                <w:lang w:val="pt-PT"/>
              </w:rPr>
              <w:t xml:space="preserve"> (2016) </w:t>
            </w:r>
            <w:r w:rsidRPr="008601E5">
              <w:rPr>
                <w:rFonts w:ascii="Garamond" w:hAnsi="Garamond" w:cstheme="minorHAnsi"/>
                <w:b/>
                <w:bCs/>
                <w:iCs/>
                <w:sz w:val="20"/>
                <w:szCs w:val="20"/>
                <w:lang w:val="pt-PT"/>
              </w:rPr>
              <w:t>Balanço Social do Capital Humano da Administração</w:t>
            </w:r>
          </w:p>
        </w:tc>
        <w:tc>
          <w:tcPr>
            <w:tcW w:w="4525" w:type="dxa"/>
            <w:vMerge/>
            <w:shd w:val="clear" w:color="auto" w:fill="F2F2F2" w:themeFill="background1" w:themeFillShade="F2"/>
          </w:tcPr>
          <w:p w14:paraId="68AE3AD1" w14:textId="77777777" w:rsidR="008601E5" w:rsidRPr="008601E5" w:rsidRDefault="008601E5" w:rsidP="00432079">
            <w:pPr>
              <w:jc w:val="both"/>
              <w:rPr>
                <w:rFonts w:ascii="Garamond" w:hAnsi="Garamond"/>
                <w:lang w:val="pt-PT"/>
              </w:rPr>
            </w:pPr>
          </w:p>
        </w:tc>
      </w:tr>
    </w:tbl>
    <w:p w14:paraId="244E9623" w14:textId="77777777" w:rsidR="008601E5" w:rsidRPr="008601E5" w:rsidRDefault="008601E5" w:rsidP="008601E5">
      <w:pPr>
        <w:jc w:val="both"/>
        <w:rPr>
          <w:rFonts w:ascii="Garamond" w:hAnsi="Garamond"/>
          <w:lang w:val="pt-PT"/>
        </w:rPr>
      </w:pPr>
    </w:p>
    <w:p w14:paraId="75E28611" w14:textId="77777777" w:rsidR="008601E5" w:rsidRPr="008601E5" w:rsidRDefault="008601E5" w:rsidP="008601E5">
      <w:pPr>
        <w:jc w:val="both"/>
        <w:rPr>
          <w:rFonts w:ascii="Garamond" w:hAnsi="Garamond"/>
          <w:lang w:val="pt-PT"/>
        </w:rPr>
      </w:pPr>
      <w:r w:rsidRPr="008601E5">
        <w:rPr>
          <w:rFonts w:ascii="Garamond" w:hAnsi="Garamond"/>
          <w:lang w:val="pt-PT"/>
        </w:rPr>
        <w:t>Analisando outros sectores e níveis de poder temos:</w:t>
      </w:r>
    </w:p>
    <w:p w14:paraId="0E3E33B6" w14:textId="77777777" w:rsidR="008601E5" w:rsidRPr="008601E5" w:rsidRDefault="008601E5" w:rsidP="00786DEC">
      <w:pPr>
        <w:pStyle w:val="PargrafodaLista"/>
        <w:numPr>
          <w:ilvl w:val="0"/>
          <w:numId w:val="54"/>
        </w:numPr>
        <w:spacing w:after="240" w:line="259" w:lineRule="auto"/>
        <w:jc w:val="both"/>
        <w:rPr>
          <w:rFonts w:ascii="Garamond" w:hAnsi="Garamond"/>
          <w:lang w:val="pt-PT"/>
        </w:rPr>
      </w:pPr>
      <w:proofErr w:type="spellStart"/>
      <w:r w:rsidRPr="008601E5">
        <w:rPr>
          <w:rFonts w:ascii="Garamond" w:hAnsi="Garamond"/>
          <w:b/>
          <w:bCs/>
          <w:lang w:val="pt-PT"/>
        </w:rPr>
        <w:t>MNEC</w:t>
      </w:r>
      <w:proofErr w:type="spellEnd"/>
      <w:r w:rsidRPr="008601E5">
        <w:rPr>
          <w:rFonts w:ascii="Garamond" w:hAnsi="Garamond"/>
          <w:lang w:val="pt-PT"/>
        </w:rPr>
        <w:t>: 18,8% das Embaixadas, Missões Permanentes e Postos Consulares de Cabo Verde no exterior são chefiadas por mulheres (2019´).</w:t>
      </w:r>
      <w:r w:rsidRPr="00E27BEB">
        <w:rPr>
          <w:rStyle w:val="Refdenotaderodap"/>
          <w:rFonts w:ascii="Garamond" w:hAnsi="Garamond"/>
        </w:rPr>
        <w:footnoteReference w:id="124"/>
      </w:r>
      <w:r w:rsidRPr="008601E5">
        <w:rPr>
          <w:rFonts w:ascii="Garamond" w:hAnsi="Garamond"/>
          <w:lang w:val="pt-PT"/>
        </w:rPr>
        <w:t xml:space="preserve"> </w:t>
      </w:r>
    </w:p>
    <w:p w14:paraId="03529893" w14:textId="77777777" w:rsidR="008601E5" w:rsidRPr="008601E5" w:rsidRDefault="008601E5" w:rsidP="00786DEC">
      <w:pPr>
        <w:pStyle w:val="PargrafodaLista"/>
        <w:numPr>
          <w:ilvl w:val="0"/>
          <w:numId w:val="54"/>
        </w:numPr>
        <w:spacing w:after="240" w:line="259" w:lineRule="auto"/>
        <w:jc w:val="both"/>
        <w:rPr>
          <w:rFonts w:ascii="Garamond" w:hAnsi="Garamond"/>
          <w:lang w:val="pt-PT"/>
        </w:rPr>
      </w:pPr>
      <w:r w:rsidRPr="008601E5">
        <w:rPr>
          <w:rFonts w:ascii="Garamond" w:hAnsi="Garamond"/>
          <w:b/>
          <w:bCs/>
          <w:lang w:val="pt-PT"/>
        </w:rPr>
        <w:t>Desporto</w:t>
      </w:r>
      <w:r w:rsidRPr="008601E5">
        <w:rPr>
          <w:rFonts w:ascii="Garamond" w:hAnsi="Garamond"/>
          <w:lang w:val="pt-PT"/>
        </w:rPr>
        <w:t>: 4,8% das Federações desportivas que existem em Cabo Verde têm uma Presidente, especificamente a Federação de Ginástica, tendo todas 20 demais Presidentes homens.</w:t>
      </w:r>
      <w:r>
        <w:rPr>
          <w:rStyle w:val="Refdenotaderodap"/>
          <w:rFonts w:ascii="Garamond" w:hAnsi="Garamond"/>
        </w:rPr>
        <w:footnoteReference w:id="125"/>
      </w:r>
    </w:p>
    <w:p w14:paraId="12B3EF82" w14:textId="77777777" w:rsidR="008601E5" w:rsidRPr="008601E5" w:rsidRDefault="008601E5" w:rsidP="00786DEC">
      <w:pPr>
        <w:pStyle w:val="PargrafodaLista"/>
        <w:numPr>
          <w:ilvl w:val="0"/>
          <w:numId w:val="54"/>
        </w:numPr>
        <w:spacing w:after="240" w:line="259" w:lineRule="auto"/>
        <w:jc w:val="both"/>
        <w:rPr>
          <w:rFonts w:ascii="Garamond" w:hAnsi="Garamond"/>
          <w:lang w:val="pt-PT"/>
        </w:rPr>
      </w:pPr>
      <w:r w:rsidRPr="008601E5">
        <w:rPr>
          <w:rFonts w:ascii="Garamond" w:hAnsi="Garamond"/>
          <w:b/>
          <w:bCs/>
          <w:lang w:val="pt-PT"/>
        </w:rPr>
        <w:t>Órgãos da Comunicação Social</w:t>
      </w:r>
      <w:r w:rsidRPr="008601E5">
        <w:rPr>
          <w:rFonts w:ascii="Garamond" w:hAnsi="Garamond"/>
          <w:lang w:val="pt-PT"/>
        </w:rPr>
        <w:t xml:space="preserve">: 26,5% dos cargos de </w:t>
      </w:r>
      <w:proofErr w:type="spellStart"/>
      <w:r w:rsidRPr="008601E5">
        <w:rPr>
          <w:rFonts w:ascii="Garamond" w:hAnsi="Garamond"/>
          <w:lang w:val="pt-PT"/>
        </w:rPr>
        <w:t>direção</w:t>
      </w:r>
      <w:proofErr w:type="spellEnd"/>
      <w:r w:rsidRPr="008601E5">
        <w:rPr>
          <w:rFonts w:ascii="Garamond" w:hAnsi="Garamond"/>
          <w:lang w:val="pt-PT"/>
        </w:rPr>
        <w:t xml:space="preserve"> são ocupados por mulheres, sendo a </w:t>
      </w:r>
      <w:proofErr w:type="spellStart"/>
      <w:r w:rsidRPr="008601E5">
        <w:rPr>
          <w:rFonts w:ascii="Garamond" w:hAnsi="Garamond"/>
          <w:lang w:val="pt-PT"/>
        </w:rPr>
        <w:t>Diretora</w:t>
      </w:r>
      <w:proofErr w:type="spellEnd"/>
      <w:r w:rsidRPr="008601E5">
        <w:rPr>
          <w:rFonts w:ascii="Garamond" w:hAnsi="Garamond"/>
          <w:lang w:val="pt-PT"/>
        </w:rPr>
        <w:t xml:space="preserve"> Geral da Comunicação Social e a PCA da </w:t>
      </w:r>
      <w:proofErr w:type="spellStart"/>
      <w:r w:rsidRPr="008601E5">
        <w:rPr>
          <w:rFonts w:ascii="Garamond" w:hAnsi="Garamond"/>
          <w:lang w:val="pt-PT"/>
        </w:rPr>
        <w:t>ARC</w:t>
      </w:r>
      <w:proofErr w:type="spellEnd"/>
      <w:r w:rsidRPr="008601E5">
        <w:rPr>
          <w:rFonts w:ascii="Garamond" w:hAnsi="Garamond"/>
          <w:lang w:val="pt-PT"/>
        </w:rPr>
        <w:t xml:space="preserve"> mulheres, e o Presidente da </w:t>
      </w:r>
      <w:proofErr w:type="spellStart"/>
      <w:r w:rsidRPr="008601E5">
        <w:rPr>
          <w:rFonts w:ascii="Garamond" w:hAnsi="Garamond"/>
          <w:lang w:val="pt-PT"/>
        </w:rPr>
        <w:t>AJOC</w:t>
      </w:r>
      <w:proofErr w:type="spellEnd"/>
      <w:r w:rsidRPr="008601E5">
        <w:rPr>
          <w:rFonts w:ascii="Garamond" w:hAnsi="Garamond"/>
          <w:lang w:val="pt-PT"/>
        </w:rPr>
        <w:t xml:space="preserve"> um homem. </w:t>
      </w:r>
    </w:p>
    <w:p w14:paraId="1BF8193C" w14:textId="77777777" w:rsidR="008601E5" w:rsidRPr="008601E5" w:rsidRDefault="008601E5" w:rsidP="00786DEC">
      <w:pPr>
        <w:pStyle w:val="PargrafodaLista"/>
        <w:numPr>
          <w:ilvl w:val="0"/>
          <w:numId w:val="54"/>
        </w:numPr>
        <w:spacing w:after="240"/>
        <w:jc w:val="both"/>
        <w:rPr>
          <w:rFonts w:ascii="Garamond" w:hAnsi="Garamond"/>
          <w:lang w:val="pt-PT"/>
        </w:rPr>
      </w:pPr>
      <w:r w:rsidRPr="008601E5">
        <w:rPr>
          <w:rFonts w:ascii="Garamond" w:hAnsi="Garamond"/>
          <w:b/>
          <w:bCs/>
          <w:lang w:val="pt-PT"/>
        </w:rPr>
        <w:t>Poder judicial</w:t>
      </w:r>
      <w:r w:rsidRPr="008601E5">
        <w:rPr>
          <w:rFonts w:ascii="Garamond" w:hAnsi="Garamond"/>
          <w:lang w:val="pt-PT"/>
        </w:rPr>
        <w:t>: a proporção de mulheres magistradas subiu para 38,7% em 2017.</w:t>
      </w:r>
      <w:r w:rsidRPr="00806495">
        <w:rPr>
          <w:rStyle w:val="Refdenotaderodap"/>
          <w:rFonts w:ascii="Garamond" w:hAnsi="Garamond"/>
        </w:rPr>
        <w:footnoteReference w:id="126"/>
      </w:r>
      <w:r w:rsidRPr="008601E5">
        <w:rPr>
          <w:rFonts w:ascii="Garamond" w:hAnsi="Garamond"/>
          <w:lang w:val="pt-PT"/>
        </w:rPr>
        <w:t xml:space="preserve"> O cargo de Bastonário da Ordem dos Advogados é ocupado </w:t>
      </w:r>
      <w:proofErr w:type="spellStart"/>
      <w:r w:rsidRPr="008601E5">
        <w:rPr>
          <w:rFonts w:ascii="Garamond" w:hAnsi="Garamond"/>
          <w:lang w:val="pt-PT"/>
        </w:rPr>
        <w:t>pela</w:t>
      </w:r>
      <w:proofErr w:type="spellEnd"/>
      <w:r w:rsidRPr="008601E5">
        <w:rPr>
          <w:rFonts w:ascii="Garamond" w:hAnsi="Garamond"/>
          <w:lang w:val="pt-PT"/>
        </w:rPr>
        <w:t xml:space="preserve"> segunda vez consecutiva por uma mulher.</w:t>
      </w:r>
    </w:p>
    <w:p w14:paraId="17ECD676" w14:textId="77777777" w:rsidR="008601E5" w:rsidRPr="008601E5" w:rsidRDefault="008601E5" w:rsidP="00786DEC">
      <w:pPr>
        <w:pStyle w:val="PargrafodaLista"/>
        <w:numPr>
          <w:ilvl w:val="0"/>
          <w:numId w:val="54"/>
        </w:numPr>
        <w:spacing w:after="240"/>
        <w:jc w:val="both"/>
        <w:rPr>
          <w:rFonts w:ascii="Garamond" w:hAnsi="Garamond"/>
          <w:lang w:val="pt-PT"/>
        </w:rPr>
      </w:pPr>
      <w:r w:rsidRPr="008601E5">
        <w:rPr>
          <w:rFonts w:ascii="Garamond" w:hAnsi="Garamond"/>
          <w:b/>
          <w:bCs/>
          <w:lang w:val="pt-PT"/>
        </w:rPr>
        <w:t>Sector privado</w:t>
      </w:r>
      <w:r w:rsidRPr="008601E5">
        <w:rPr>
          <w:rFonts w:ascii="Garamond" w:hAnsi="Garamond"/>
          <w:lang w:val="pt-PT"/>
        </w:rPr>
        <w:t xml:space="preserve">: dados referenciados no </w:t>
      </w:r>
      <w:r w:rsidRPr="008601E5">
        <w:rPr>
          <w:rFonts w:ascii="Garamond" w:hAnsi="Garamond"/>
          <w:i/>
          <w:iCs/>
          <w:lang w:val="pt-PT"/>
        </w:rPr>
        <w:t>Eixo 1 – Empoderamento Económico e Igualdade no Trabalho</w:t>
      </w:r>
      <w:r w:rsidRPr="008601E5">
        <w:rPr>
          <w:rFonts w:ascii="Garamond" w:hAnsi="Garamond"/>
          <w:lang w:val="pt-PT"/>
        </w:rPr>
        <w:t>.</w:t>
      </w:r>
    </w:p>
    <w:p w14:paraId="73EC212A" w14:textId="06A47A75" w:rsidR="008601E5" w:rsidRPr="002B0F42" w:rsidRDefault="008601E5" w:rsidP="008601E5">
      <w:pPr>
        <w:jc w:val="both"/>
        <w:rPr>
          <w:rFonts w:ascii="Garamond" w:hAnsi="Garamond"/>
          <w:lang w:val="pt-PT"/>
        </w:rPr>
      </w:pPr>
      <w:r w:rsidRPr="008601E5">
        <w:rPr>
          <w:rFonts w:ascii="Garamond" w:hAnsi="Garamond"/>
          <w:lang w:val="pt-PT"/>
        </w:rPr>
        <w:t xml:space="preserve">Considerando este panorama, serão necessários esforços consideráveis para alcançar a paridade nos órgãos de </w:t>
      </w:r>
      <w:proofErr w:type="spellStart"/>
      <w:r w:rsidRPr="008601E5">
        <w:rPr>
          <w:rFonts w:ascii="Garamond" w:hAnsi="Garamond"/>
          <w:lang w:val="pt-PT"/>
        </w:rPr>
        <w:t>direção</w:t>
      </w:r>
      <w:proofErr w:type="spellEnd"/>
      <w:r w:rsidRPr="008601E5">
        <w:rPr>
          <w:rFonts w:ascii="Garamond" w:hAnsi="Garamond"/>
          <w:lang w:val="pt-PT"/>
        </w:rPr>
        <w:t xml:space="preserve"> do </w:t>
      </w:r>
      <w:proofErr w:type="spellStart"/>
      <w:r w:rsidRPr="008601E5">
        <w:rPr>
          <w:rFonts w:ascii="Garamond" w:hAnsi="Garamond"/>
          <w:lang w:val="pt-PT"/>
        </w:rPr>
        <w:t>setor</w:t>
      </w:r>
      <w:proofErr w:type="spellEnd"/>
      <w:r w:rsidRPr="008601E5">
        <w:rPr>
          <w:rFonts w:ascii="Garamond" w:hAnsi="Garamond"/>
          <w:lang w:val="pt-PT"/>
        </w:rPr>
        <w:t xml:space="preserve"> público administrativo e empresarial do Estado/autarquias locais</w:t>
      </w:r>
      <w:r w:rsidR="002B0F42">
        <w:rPr>
          <w:rFonts w:ascii="Garamond" w:hAnsi="Garamond"/>
          <w:lang w:val="pt-PT"/>
        </w:rPr>
        <w:t>:</w:t>
      </w:r>
    </w:p>
    <w:p w14:paraId="44C14038" w14:textId="77777777" w:rsidR="008601E5" w:rsidRPr="008601E5" w:rsidRDefault="008601E5" w:rsidP="00786DEC">
      <w:pPr>
        <w:pStyle w:val="PargrafodaLista"/>
        <w:numPr>
          <w:ilvl w:val="0"/>
          <w:numId w:val="25"/>
        </w:numPr>
        <w:ind w:left="714" w:hanging="357"/>
        <w:jc w:val="both"/>
        <w:rPr>
          <w:rFonts w:ascii="Garamond" w:hAnsi="Garamond"/>
          <w:lang w:val="pt-PT"/>
        </w:rPr>
      </w:pPr>
      <w:r w:rsidRPr="008601E5">
        <w:rPr>
          <w:rFonts w:ascii="Garamond" w:hAnsi="Garamond"/>
          <w:lang w:val="pt-PT"/>
        </w:rPr>
        <w:t xml:space="preserve">A Comissão de Seguimento da implementação da Lei da Paridade deverá realizar um </w:t>
      </w:r>
      <w:r w:rsidRPr="002B0F42">
        <w:rPr>
          <w:rFonts w:ascii="Garamond" w:hAnsi="Garamond"/>
          <w:lang w:val="pt-PT"/>
        </w:rPr>
        <w:t xml:space="preserve">encontro de socialização e sensibilização com a </w:t>
      </w:r>
      <w:proofErr w:type="spellStart"/>
      <w:r w:rsidRPr="002B0F42">
        <w:rPr>
          <w:rFonts w:ascii="Garamond" w:hAnsi="Garamond"/>
          <w:lang w:val="pt-PT"/>
        </w:rPr>
        <w:t>DNAP</w:t>
      </w:r>
      <w:proofErr w:type="spellEnd"/>
      <w:r w:rsidRPr="002B0F42">
        <w:rPr>
          <w:rFonts w:ascii="Garamond" w:hAnsi="Garamond"/>
          <w:lang w:val="pt-PT"/>
        </w:rPr>
        <w:t xml:space="preserve">, </w:t>
      </w:r>
      <w:proofErr w:type="spellStart"/>
      <w:r w:rsidRPr="002B0F42">
        <w:rPr>
          <w:rFonts w:ascii="Garamond" w:hAnsi="Garamond"/>
          <w:lang w:val="pt-PT"/>
        </w:rPr>
        <w:t>DGAL</w:t>
      </w:r>
      <w:proofErr w:type="spellEnd"/>
      <w:r w:rsidRPr="002B0F42">
        <w:rPr>
          <w:rFonts w:ascii="Garamond" w:hAnsi="Garamond"/>
          <w:lang w:val="pt-PT"/>
        </w:rPr>
        <w:t xml:space="preserve"> e respectiva tutela, e </w:t>
      </w:r>
      <w:proofErr w:type="spellStart"/>
      <w:r w:rsidRPr="002B0F42">
        <w:rPr>
          <w:rFonts w:ascii="Garamond" w:hAnsi="Garamond"/>
          <w:lang w:val="pt-PT"/>
        </w:rPr>
        <w:t>ANMCV</w:t>
      </w:r>
      <w:proofErr w:type="spellEnd"/>
      <w:r w:rsidRPr="002B0F42">
        <w:rPr>
          <w:rFonts w:ascii="Garamond" w:hAnsi="Garamond"/>
          <w:lang w:val="pt-PT"/>
        </w:rPr>
        <w:t xml:space="preserve">, em conjunto com </w:t>
      </w:r>
      <w:r w:rsidRPr="008601E5">
        <w:rPr>
          <w:rFonts w:ascii="Garamond" w:hAnsi="Garamond"/>
          <w:lang w:val="pt-PT"/>
        </w:rPr>
        <w:t xml:space="preserve">o </w:t>
      </w:r>
      <w:proofErr w:type="spellStart"/>
      <w:r w:rsidRPr="008601E5">
        <w:rPr>
          <w:rFonts w:ascii="Garamond" w:hAnsi="Garamond"/>
          <w:lang w:val="pt-PT"/>
        </w:rPr>
        <w:t>ICIEG</w:t>
      </w:r>
      <w:proofErr w:type="spellEnd"/>
      <w:r w:rsidRPr="008601E5">
        <w:rPr>
          <w:rFonts w:ascii="Garamond" w:hAnsi="Garamond"/>
          <w:lang w:val="pt-PT"/>
        </w:rPr>
        <w:t>, para divulgação da Lei no que toque à Administração Pública de todos os sectores, a nível central, local e empresarial do Estado e discussão da implementação da Lei.</w:t>
      </w:r>
    </w:p>
    <w:p w14:paraId="44C976D7" w14:textId="77777777" w:rsidR="008601E5" w:rsidRPr="008601E5" w:rsidRDefault="008601E5" w:rsidP="00786DEC">
      <w:pPr>
        <w:pStyle w:val="PargrafodaLista"/>
        <w:numPr>
          <w:ilvl w:val="0"/>
          <w:numId w:val="25"/>
        </w:numPr>
        <w:ind w:left="714" w:hanging="357"/>
        <w:jc w:val="both"/>
        <w:rPr>
          <w:rFonts w:ascii="Garamond" w:hAnsi="Garamond"/>
          <w:lang w:val="pt-PT"/>
        </w:rPr>
      </w:pPr>
      <w:r w:rsidRPr="008601E5">
        <w:rPr>
          <w:rFonts w:ascii="Garamond" w:hAnsi="Garamond"/>
          <w:lang w:val="pt-PT"/>
        </w:rPr>
        <w:t xml:space="preserve">O Plano de Advocacia prevê </w:t>
      </w:r>
      <w:proofErr w:type="spellStart"/>
      <w:r w:rsidRPr="008601E5">
        <w:rPr>
          <w:rFonts w:ascii="Garamond" w:hAnsi="Garamond"/>
          <w:lang w:val="pt-PT"/>
        </w:rPr>
        <w:t>ações</w:t>
      </w:r>
      <w:proofErr w:type="spellEnd"/>
      <w:r w:rsidRPr="008601E5">
        <w:rPr>
          <w:rFonts w:ascii="Garamond" w:hAnsi="Garamond"/>
          <w:lang w:val="pt-PT"/>
        </w:rPr>
        <w:t xml:space="preserve"> de formação para vários públicos chave, no sentido de divulgar o quadro legal vigente e garantir a boa compreensão da importância da participação das mulheres na tomada de decisão, incluindo ordens profissionais e sindicatos, e preconiza-se a criação de um núcleo de funcionários formados da Administração Pública, sob a coordenação da </w:t>
      </w:r>
      <w:proofErr w:type="spellStart"/>
      <w:r w:rsidRPr="008601E5">
        <w:rPr>
          <w:rFonts w:ascii="Garamond" w:hAnsi="Garamond"/>
          <w:lang w:val="pt-PT"/>
        </w:rPr>
        <w:t>DNAP</w:t>
      </w:r>
      <w:proofErr w:type="spellEnd"/>
      <w:r w:rsidRPr="008601E5">
        <w:rPr>
          <w:rFonts w:ascii="Garamond" w:hAnsi="Garamond"/>
          <w:lang w:val="pt-PT"/>
        </w:rPr>
        <w:t>, para a sensibilização das instituições de Estado.</w:t>
      </w:r>
    </w:p>
    <w:p w14:paraId="7FE0EF6B" w14:textId="77777777" w:rsidR="008601E5" w:rsidRPr="008601E5" w:rsidRDefault="008601E5" w:rsidP="008601E5">
      <w:pPr>
        <w:pStyle w:val="PargrafodaLista"/>
        <w:numPr>
          <w:ilvl w:val="0"/>
          <w:numId w:val="14"/>
        </w:numPr>
        <w:spacing w:after="240"/>
        <w:ind w:left="714" w:hanging="357"/>
        <w:contextualSpacing w:val="0"/>
        <w:jc w:val="both"/>
        <w:rPr>
          <w:rFonts w:ascii="Garamond" w:hAnsi="Garamond"/>
          <w:lang w:val="pt-PT"/>
        </w:rPr>
      </w:pPr>
      <w:r w:rsidRPr="008601E5">
        <w:rPr>
          <w:rFonts w:ascii="Garamond" w:hAnsi="Garamond"/>
          <w:lang w:val="pt-PT"/>
        </w:rPr>
        <w:t>No sentido de assegurar o seguimento das tendências na administração pública, deve-se garantir a disponibilidade de dados regulares, desagregados por sexo, bem como a compilação de indicadores estandardizados e a sua análise numa perspectiva de género.</w:t>
      </w:r>
    </w:p>
    <w:p w14:paraId="734DC97D" w14:textId="77777777" w:rsidR="008601E5" w:rsidRPr="008601E5" w:rsidRDefault="008601E5" w:rsidP="008601E5">
      <w:pPr>
        <w:jc w:val="both"/>
        <w:rPr>
          <w:rFonts w:ascii="Garamond" w:hAnsi="Garamond"/>
          <w:lang w:val="pt-PT"/>
        </w:rPr>
      </w:pPr>
      <w:r w:rsidRPr="008601E5">
        <w:rPr>
          <w:rFonts w:ascii="Garamond" w:hAnsi="Garamond"/>
          <w:lang w:val="pt-PT"/>
        </w:rPr>
        <w:t xml:space="preserve">Analisando a tomada de decisão no âmbito comunitário, os dados do Programa </w:t>
      </w:r>
      <w:proofErr w:type="spellStart"/>
      <w:r w:rsidRPr="008601E5">
        <w:rPr>
          <w:rFonts w:ascii="Garamond" w:hAnsi="Garamond"/>
          <w:lang w:val="pt-PT"/>
        </w:rPr>
        <w:t>POSER</w:t>
      </w:r>
      <w:proofErr w:type="spellEnd"/>
      <w:r w:rsidRPr="008601E5">
        <w:rPr>
          <w:rFonts w:ascii="Garamond" w:hAnsi="Garamond"/>
          <w:lang w:val="pt-PT"/>
        </w:rPr>
        <w:t xml:space="preserve"> de luta contra a pobreza rural indicam que, apesar dos esforços empreendidos, as mulheres continuam pouco representadas nas instâncias de decisão das Comissões Regionais de Parceiros (CRP) - cerca de 28% em 2018 (representando um avanço em relação aos 23% de 2014), e nas Associações Comunitárias de Desenvolvimento (ACD) – cerca de 27%.</w:t>
      </w:r>
      <w:r>
        <w:rPr>
          <w:rStyle w:val="Refdenotaderodap"/>
          <w:rFonts w:ascii="Garamond" w:hAnsi="Garamond"/>
        </w:rPr>
        <w:footnoteReference w:id="127"/>
      </w:r>
      <w:r w:rsidRPr="008601E5">
        <w:rPr>
          <w:rFonts w:ascii="Garamond" w:hAnsi="Garamond"/>
          <w:lang w:val="pt-PT"/>
        </w:rPr>
        <w:t xml:space="preserve"> Corre-se assim o risco das suas vozes não serem ouvidas nestas instâncias, onde se tomam as grandes orientações e decisões comunitárias no âmbito do Programa (entre outras decisões) e das suas necessidades e interesses específicos não serem tidos em conta. Vários outros programas já sinalizaram nas suas análises e relatórios as dificuldades </w:t>
      </w:r>
      <w:proofErr w:type="gramStart"/>
      <w:r w:rsidRPr="008601E5">
        <w:rPr>
          <w:rFonts w:ascii="Garamond" w:hAnsi="Garamond"/>
          <w:lang w:val="pt-PT"/>
        </w:rPr>
        <w:t>das</w:t>
      </w:r>
      <w:proofErr w:type="gramEnd"/>
      <w:r w:rsidRPr="008601E5">
        <w:rPr>
          <w:rFonts w:ascii="Garamond" w:hAnsi="Garamond"/>
          <w:lang w:val="pt-PT"/>
        </w:rPr>
        <w:t xml:space="preserve"> mulheres participarem de forma significativa, serem ouvidas e influenciarem as decisões, em particular em contexto rural e nos diversos ramos da agricultura. Os estereótipos de género quanto aos papeis das mulheres e dos homens são mais vincados no mundo rural e, especificamente, no quadro da actividade agrícola (sentido lato), deixando às mulheres um espaço exíguo de decisão sobre questões fundamentais para a geração de renda e sua sobrevivência. </w:t>
      </w:r>
    </w:p>
    <w:p w14:paraId="0A37B6BA" w14:textId="77777777" w:rsidR="008601E5" w:rsidRPr="008601E5" w:rsidRDefault="008601E5" w:rsidP="00786DEC">
      <w:pPr>
        <w:pStyle w:val="PargrafodaLista"/>
        <w:numPr>
          <w:ilvl w:val="0"/>
          <w:numId w:val="27"/>
        </w:numPr>
        <w:shd w:val="clear" w:color="auto" w:fill="FFFFFF"/>
        <w:spacing w:after="240"/>
        <w:jc w:val="both"/>
        <w:rPr>
          <w:rFonts w:ascii="Garamond" w:hAnsi="Garamond"/>
          <w:lang w:val="pt-PT"/>
        </w:rPr>
      </w:pPr>
      <w:r w:rsidRPr="008601E5">
        <w:rPr>
          <w:rFonts w:ascii="Garamond" w:hAnsi="Garamond"/>
          <w:lang w:val="pt-PT"/>
        </w:rPr>
        <w:t xml:space="preserve">Assim, é necessário sistematizar a preocupação com a participação e a tomada de decisão tanto de homens, como mulheres, enquanto </w:t>
      </w:r>
      <w:proofErr w:type="spellStart"/>
      <w:r w:rsidRPr="008601E5">
        <w:rPr>
          <w:rFonts w:ascii="Garamond" w:hAnsi="Garamond"/>
          <w:lang w:val="pt-PT"/>
        </w:rPr>
        <w:t>atores</w:t>
      </w:r>
      <w:proofErr w:type="spellEnd"/>
      <w:r w:rsidRPr="008601E5">
        <w:rPr>
          <w:rFonts w:ascii="Garamond" w:hAnsi="Garamond"/>
          <w:lang w:val="pt-PT"/>
        </w:rPr>
        <w:t xml:space="preserve"> do desenvolvimento, em todos os </w:t>
      </w:r>
      <w:r w:rsidRPr="008601E5">
        <w:rPr>
          <w:rFonts w:ascii="Garamond" w:hAnsi="Garamond"/>
          <w:b/>
          <w:bCs/>
          <w:lang w:val="pt-PT"/>
        </w:rPr>
        <w:t>projectos rurais</w:t>
      </w:r>
      <w:r w:rsidRPr="008601E5">
        <w:rPr>
          <w:rFonts w:ascii="Garamond" w:hAnsi="Garamond"/>
          <w:lang w:val="pt-PT"/>
        </w:rPr>
        <w:t xml:space="preserve">, de </w:t>
      </w:r>
      <w:r w:rsidRPr="008601E5">
        <w:rPr>
          <w:rFonts w:ascii="Garamond" w:hAnsi="Garamond"/>
          <w:b/>
          <w:bCs/>
          <w:lang w:val="pt-PT"/>
        </w:rPr>
        <w:t>agricultura</w:t>
      </w:r>
      <w:r w:rsidRPr="008601E5">
        <w:rPr>
          <w:rFonts w:ascii="Garamond" w:hAnsi="Garamond"/>
          <w:lang w:val="pt-PT"/>
        </w:rPr>
        <w:t xml:space="preserve">, </w:t>
      </w:r>
      <w:r w:rsidRPr="008601E5">
        <w:rPr>
          <w:rFonts w:ascii="Garamond" w:hAnsi="Garamond"/>
          <w:b/>
          <w:bCs/>
          <w:lang w:val="pt-PT"/>
        </w:rPr>
        <w:t>mudanças climáticas</w:t>
      </w:r>
      <w:r w:rsidRPr="008601E5">
        <w:rPr>
          <w:rFonts w:ascii="Garamond" w:hAnsi="Garamond"/>
          <w:lang w:val="pt-PT"/>
        </w:rPr>
        <w:t xml:space="preserve">, </w:t>
      </w:r>
      <w:r w:rsidRPr="008601E5">
        <w:rPr>
          <w:rFonts w:ascii="Garamond" w:hAnsi="Garamond"/>
          <w:b/>
          <w:bCs/>
          <w:lang w:val="pt-PT"/>
        </w:rPr>
        <w:t>riscos de desastres</w:t>
      </w:r>
      <w:r w:rsidRPr="008601E5">
        <w:rPr>
          <w:rFonts w:ascii="Garamond" w:hAnsi="Garamond"/>
          <w:lang w:val="pt-PT"/>
        </w:rPr>
        <w:t xml:space="preserve">, </w:t>
      </w:r>
      <w:r w:rsidRPr="008601E5">
        <w:rPr>
          <w:rFonts w:ascii="Garamond" w:hAnsi="Garamond"/>
          <w:b/>
          <w:bCs/>
          <w:lang w:val="pt-PT"/>
        </w:rPr>
        <w:t>epidemias de saúde</w:t>
      </w:r>
      <w:r w:rsidRPr="008601E5">
        <w:rPr>
          <w:rFonts w:ascii="Garamond" w:hAnsi="Garamond"/>
          <w:lang w:val="pt-PT"/>
        </w:rPr>
        <w:t xml:space="preserve">, entre outros. Isto implica o recurso sistemático a metodologias participativas sensíveis ao género, que analisem o acesso diferenciado de mulheres e homens aos recursos, os seus papeis, responsabilidades e saberes, os desafios à participação na tomada de decisão, com vista a definir estratégias eficazes (incluindo medidas especiais temporárias) para estimular a participação </w:t>
      </w:r>
      <w:proofErr w:type="spellStart"/>
      <w:r w:rsidRPr="008601E5">
        <w:rPr>
          <w:rFonts w:ascii="Garamond" w:hAnsi="Garamond"/>
          <w:lang w:val="pt-PT"/>
        </w:rPr>
        <w:t>ativa</w:t>
      </w:r>
      <w:proofErr w:type="spellEnd"/>
      <w:r w:rsidRPr="008601E5">
        <w:rPr>
          <w:rFonts w:ascii="Garamond" w:hAnsi="Garamond"/>
          <w:lang w:val="pt-PT"/>
        </w:rPr>
        <w:t xml:space="preserve"> de mulheres e homens nos processos e cargos de decisão. Deverão ser desenvolvidos abordagens e instrumentos para o efeito, bem como as capacidades dos vários intervenientes, incluindo a nível comunitário. </w:t>
      </w:r>
    </w:p>
    <w:p w14:paraId="1669A9DB" w14:textId="77777777" w:rsidR="008601E5" w:rsidRPr="008601E5" w:rsidRDefault="008601E5" w:rsidP="00786DEC">
      <w:pPr>
        <w:pStyle w:val="PargrafodaLista"/>
        <w:numPr>
          <w:ilvl w:val="0"/>
          <w:numId w:val="27"/>
        </w:numPr>
        <w:shd w:val="clear" w:color="auto" w:fill="FFFFFF"/>
        <w:spacing w:after="240"/>
        <w:jc w:val="both"/>
        <w:rPr>
          <w:rFonts w:ascii="Garamond" w:hAnsi="Garamond"/>
          <w:lang w:val="pt-PT"/>
        </w:rPr>
      </w:pPr>
      <w:r w:rsidRPr="008601E5">
        <w:rPr>
          <w:rFonts w:ascii="Garamond" w:hAnsi="Garamond"/>
          <w:lang w:val="pt-PT"/>
        </w:rPr>
        <w:t>Os projectos nas áreas acima elencadas devem ter sistemas de seguimento eficazes, que permitam seguir e documentar a participação na tomada de decisão de mulheres e homens, bem como o seu acesso aos serviços/apoios disponíveis.</w:t>
      </w:r>
    </w:p>
    <w:p w14:paraId="6EA5F772" w14:textId="77777777" w:rsidR="008601E5" w:rsidRPr="008601E5" w:rsidRDefault="008601E5" w:rsidP="00786DEC">
      <w:pPr>
        <w:pStyle w:val="PargrafodaLista"/>
        <w:numPr>
          <w:ilvl w:val="0"/>
          <w:numId w:val="27"/>
        </w:numPr>
        <w:shd w:val="clear" w:color="auto" w:fill="FFFFFF"/>
        <w:spacing w:after="240"/>
        <w:jc w:val="both"/>
        <w:rPr>
          <w:rFonts w:ascii="Garamond" w:hAnsi="Garamond"/>
          <w:lang w:val="pt-PT"/>
        </w:rPr>
      </w:pPr>
      <w:r w:rsidRPr="008601E5">
        <w:rPr>
          <w:rFonts w:ascii="Garamond" w:hAnsi="Garamond"/>
          <w:lang w:val="pt-PT"/>
        </w:rPr>
        <w:t xml:space="preserve">No âmbito do Programa de Desenvolvimento Economico Local, está prevista a replicação na ilha do Fogo da experiência de desenvolvimento de uma Agenda de Género. Pretende-se que as lideranças envolvidas no caso do Fogo sejam de todos os </w:t>
      </w:r>
      <w:proofErr w:type="spellStart"/>
      <w:r w:rsidRPr="008601E5">
        <w:rPr>
          <w:rFonts w:ascii="Garamond" w:hAnsi="Garamond"/>
          <w:lang w:val="pt-PT"/>
        </w:rPr>
        <w:t>setores</w:t>
      </w:r>
      <w:proofErr w:type="spellEnd"/>
      <w:r w:rsidRPr="008601E5">
        <w:rPr>
          <w:rFonts w:ascii="Garamond" w:hAnsi="Garamond"/>
          <w:lang w:val="pt-PT"/>
        </w:rPr>
        <w:t xml:space="preserve"> da sociedade, incluindo mulheres e homens, além das mulheres envolvidas em actividades político-</w:t>
      </w:r>
      <w:r w:rsidRPr="002B0F42">
        <w:rPr>
          <w:rFonts w:ascii="Garamond" w:hAnsi="Garamond"/>
          <w:lang w:val="pt-PT"/>
        </w:rPr>
        <w:t xml:space="preserve">partidárias. As Agendas existentes (São Miguel, Praia) e em desenvolvimento (Fogo e outras no futuro) são um </w:t>
      </w:r>
      <w:r w:rsidRPr="008601E5">
        <w:rPr>
          <w:rFonts w:ascii="Garamond" w:hAnsi="Garamond"/>
          <w:lang w:val="pt-PT"/>
        </w:rPr>
        <w:t xml:space="preserve">instrumento a ser tido em conta </w:t>
      </w:r>
      <w:proofErr w:type="spellStart"/>
      <w:r w:rsidRPr="008601E5">
        <w:rPr>
          <w:rFonts w:ascii="Garamond" w:hAnsi="Garamond"/>
          <w:lang w:val="pt-PT"/>
        </w:rPr>
        <w:t>pelos</w:t>
      </w:r>
      <w:proofErr w:type="spellEnd"/>
      <w:r w:rsidRPr="008601E5">
        <w:rPr>
          <w:rFonts w:ascii="Garamond" w:hAnsi="Garamond"/>
          <w:lang w:val="pt-PT"/>
        </w:rPr>
        <w:t xml:space="preserve"> vários </w:t>
      </w:r>
      <w:proofErr w:type="spellStart"/>
      <w:r w:rsidRPr="008601E5">
        <w:rPr>
          <w:rFonts w:ascii="Garamond" w:hAnsi="Garamond"/>
          <w:lang w:val="pt-PT"/>
        </w:rPr>
        <w:t>atores</w:t>
      </w:r>
      <w:proofErr w:type="spellEnd"/>
      <w:r w:rsidRPr="008601E5">
        <w:rPr>
          <w:rFonts w:ascii="Garamond" w:hAnsi="Garamond"/>
          <w:lang w:val="pt-PT"/>
        </w:rPr>
        <w:t xml:space="preserve">/instituições, dando voz às mulheres, e possivelmente também a questões de género dos homens.    </w:t>
      </w:r>
    </w:p>
    <w:p w14:paraId="7012B5CA" w14:textId="77777777" w:rsidR="008601E5" w:rsidRPr="008601E5" w:rsidRDefault="008601E5" w:rsidP="008601E5">
      <w:pPr>
        <w:shd w:val="clear" w:color="auto" w:fill="FFFFFF"/>
        <w:jc w:val="both"/>
        <w:rPr>
          <w:rFonts w:ascii="Garamond" w:hAnsi="Garamond" w:cs="Times New Roman"/>
          <w:bCs/>
          <w:lang w:val="pt-PT"/>
        </w:rPr>
      </w:pPr>
      <w:r w:rsidRPr="008601E5">
        <w:rPr>
          <w:rFonts w:ascii="Garamond" w:hAnsi="Garamond" w:cs="Times New Roman"/>
          <w:bCs/>
          <w:lang w:val="pt-PT"/>
        </w:rPr>
        <w:t xml:space="preserve">Em termos de grupos específicos, as </w:t>
      </w:r>
      <w:r w:rsidRPr="008601E5">
        <w:rPr>
          <w:rFonts w:ascii="Garamond" w:hAnsi="Garamond" w:cs="Times New Roman"/>
          <w:b/>
          <w:lang w:val="pt-PT"/>
        </w:rPr>
        <w:t>mulheres com deficiência</w:t>
      </w:r>
      <w:r w:rsidRPr="008601E5">
        <w:rPr>
          <w:rFonts w:ascii="Garamond" w:hAnsi="Garamond" w:cs="Times New Roman"/>
          <w:bCs/>
          <w:lang w:val="pt-PT"/>
        </w:rPr>
        <w:t xml:space="preserve"> vêm reivindicando o seu direito à participação na vida política e pública em condições de igualdade com outras pessoas, incluindo a possibilidade de votar e de serem eleitas. Durante o </w:t>
      </w:r>
      <w:r w:rsidRPr="008601E5">
        <w:rPr>
          <w:rFonts w:ascii="Garamond" w:hAnsi="Garamond" w:cs="Times New Roman"/>
          <w:bCs/>
          <w:i/>
          <w:iCs/>
          <w:lang w:val="pt-PT"/>
        </w:rPr>
        <w:t xml:space="preserve">Fórum Quebrando Distâncias, </w:t>
      </w:r>
      <w:proofErr w:type="gramStart"/>
      <w:r w:rsidRPr="008601E5">
        <w:rPr>
          <w:rFonts w:ascii="Garamond" w:hAnsi="Garamond" w:cs="Times New Roman"/>
          <w:bCs/>
          <w:i/>
          <w:iCs/>
          <w:lang w:val="pt-PT"/>
        </w:rPr>
        <w:t>Promovendo</w:t>
      </w:r>
      <w:proofErr w:type="gramEnd"/>
      <w:r w:rsidRPr="008601E5">
        <w:rPr>
          <w:rFonts w:ascii="Garamond" w:hAnsi="Garamond" w:cs="Times New Roman"/>
          <w:bCs/>
          <w:i/>
          <w:iCs/>
          <w:lang w:val="pt-PT"/>
        </w:rPr>
        <w:t xml:space="preserve"> os Direitos de Meninas e Mulheres com Deficiência</w:t>
      </w:r>
      <w:r w:rsidRPr="008601E5">
        <w:rPr>
          <w:rFonts w:ascii="Garamond" w:hAnsi="Garamond" w:cs="Times New Roman"/>
          <w:bCs/>
          <w:lang w:val="pt-PT"/>
        </w:rPr>
        <w:t xml:space="preserve">, consideraram que as </w:t>
      </w:r>
      <w:proofErr w:type="spellStart"/>
      <w:r w:rsidRPr="008601E5">
        <w:rPr>
          <w:rFonts w:ascii="Garamond" w:hAnsi="Garamond" w:cs="Times New Roman"/>
          <w:bCs/>
          <w:lang w:val="pt-PT"/>
        </w:rPr>
        <w:t>exceções</w:t>
      </w:r>
      <w:proofErr w:type="spellEnd"/>
      <w:r w:rsidRPr="008601E5">
        <w:rPr>
          <w:rFonts w:ascii="Garamond" w:hAnsi="Garamond" w:cs="Times New Roman"/>
          <w:bCs/>
          <w:lang w:val="pt-PT"/>
        </w:rPr>
        <w:t xml:space="preserve"> previstas na lei eleitoral não permitem o exercício pleno do direito ao voto secreto, livre e autónomo.</w:t>
      </w:r>
    </w:p>
    <w:p w14:paraId="18D4FD72" w14:textId="77777777" w:rsidR="008601E5" w:rsidRPr="008601E5" w:rsidRDefault="008601E5" w:rsidP="00786DEC">
      <w:pPr>
        <w:pStyle w:val="PargrafodaLista"/>
        <w:numPr>
          <w:ilvl w:val="0"/>
          <w:numId w:val="32"/>
        </w:numPr>
        <w:shd w:val="clear" w:color="auto" w:fill="FFFFFF"/>
        <w:ind w:left="714" w:hanging="357"/>
        <w:contextualSpacing w:val="0"/>
        <w:jc w:val="both"/>
        <w:rPr>
          <w:rFonts w:ascii="Garamond" w:hAnsi="Garamond" w:cs="Times New Roman"/>
          <w:bCs/>
          <w:lang w:val="pt-PT"/>
        </w:rPr>
      </w:pPr>
      <w:r w:rsidRPr="008601E5">
        <w:rPr>
          <w:rFonts w:ascii="Garamond" w:hAnsi="Garamond" w:cs="Times New Roman"/>
          <w:bCs/>
          <w:lang w:val="pt-PT"/>
        </w:rPr>
        <w:t xml:space="preserve">Será assim importante assegurar procedimentos e materiais apropriados à </w:t>
      </w:r>
      <w:proofErr w:type="spellStart"/>
      <w:r w:rsidRPr="008601E5">
        <w:rPr>
          <w:rFonts w:ascii="Garamond" w:hAnsi="Garamond" w:cs="Times New Roman"/>
          <w:bCs/>
          <w:lang w:val="pt-PT"/>
        </w:rPr>
        <w:t>proteção</w:t>
      </w:r>
      <w:proofErr w:type="spellEnd"/>
      <w:r w:rsidRPr="008601E5">
        <w:rPr>
          <w:rFonts w:ascii="Garamond" w:hAnsi="Garamond" w:cs="Times New Roman"/>
          <w:bCs/>
          <w:lang w:val="pt-PT"/>
        </w:rPr>
        <w:t xml:space="preserve"> do direito ao voto secreto das mulheres e homens com deficiência (ex. </w:t>
      </w:r>
      <w:bookmarkStart w:id="104" w:name="_Hlk19823154"/>
      <w:r w:rsidRPr="008601E5">
        <w:rPr>
          <w:rFonts w:ascii="Garamond" w:hAnsi="Garamond" w:cs="Times New Roman"/>
          <w:bCs/>
          <w:lang w:val="pt-PT"/>
        </w:rPr>
        <w:t xml:space="preserve">adaptar boletins de voto e/ou voto </w:t>
      </w:r>
      <w:proofErr w:type="spellStart"/>
      <w:r w:rsidRPr="008601E5">
        <w:rPr>
          <w:rFonts w:ascii="Garamond" w:hAnsi="Garamond" w:cs="Times New Roman"/>
          <w:bCs/>
          <w:lang w:val="pt-PT"/>
        </w:rPr>
        <w:t>eletrónico</w:t>
      </w:r>
      <w:proofErr w:type="spellEnd"/>
      <w:r w:rsidRPr="008601E5">
        <w:rPr>
          <w:rFonts w:ascii="Garamond" w:hAnsi="Garamond" w:cs="Times New Roman"/>
          <w:bCs/>
          <w:lang w:val="pt-PT"/>
        </w:rPr>
        <w:t xml:space="preserve">, mesas de votos em lugares acessíveis, etc.) e divulgá-los de forma sensível ao género. </w:t>
      </w:r>
    </w:p>
    <w:p w14:paraId="3E0BCA04" w14:textId="77777777" w:rsidR="008601E5" w:rsidRPr="008601E5" w:rsidRDefault="008601E5" w:rsidP="00786DEC">
      <w:pPr>
        <w:pStyle w:val="PargrafodaLista"/>
        <w:numPr>
          <w:ilvl w:val="0"/>
          <w:numId w:val="32"/>
        </w:numPr>
        <w:shd w:val="clear" w:color="auto" w:fill="FFFFFF"/>
        <w:spacing w:after="240"/>
        <w:jc w:val="both"/>
        <w:rPr>
          <w:rFonts w:ascii="Garamond" w:hAnsi="Garamond" w:cs="Times New Roman"/>
          <w:bCs/>
          <w:lang w:val="pt-PT"/>
        </w:rPr>
      </w:pPr>
      <w:r w:rsidRPr="008601E5">
        <w:rPr>
          <w:rFonts w:ascii="Garamond" w:hAnsi="Garamond" w:cs="Times New Roman"/>
          <w:bCs/>
          <w:lang w:val="pt-PT"/>
        </w:rPr>
        <w:t xml:space="preserve">De forma geral, promover o debate </w:t>
      </w:r>
      <w:bookmarkEnd w:id="104"/>
      <w:r w:rsidRPr="008601E5">
        <w:rPr>
          <w:rFonts w:ascii="Garamond" w:hAnsi="Garamond" w:cs="Times New Roman"/>
          <w:bCs/>
          <w:lang w:val="pt-PT"/>
        </w:rPr>
        <w:t xml:space="preserve">sobre a participação </w:t>
      </w:r>
      <w:proofErr w:type="spellStart"/>
      <w:r w:rsidRPr="008601E5">
        <w:rPr>
          <w:rFonts w:ascii="Garamond" w:hAnsi="Garamond" w:cs="Times New Roman"/>
          <w:bCs/>
          <w:lang w:val="pt-PT"/>
        </w:rPr>
        <w:t>ativa</w:t>
      </w:r>
      <w:proofErr w:type="spellEnd"/>
      <w:r w:rsidRPr="008601E5">
        <w:rPr>
          <w:rFonts w:ascii="Garamond" w:hAnsi="Garamond" w:cs="Times New Roman"/>
          <w:bCs/>
          <w:lang w:val="pt-PT"/>
        </w:rPr>
        <w:t xml:space="preserve"> e plena de mulheres e homens com deficiência na sociedade e os processos de tomada de decisão política em matérias que se relacionam com as suas vidas e os seus direitos – condições fundamentais ao exercício da cidadania.</w:t>
      </w:r>
    </w:p>
    <w:p w14:paraId="6551DFDB" w14:textId="77777777" w:rsidR="008601E5" w:rsidRDefault="008601E5" w:rsidP="008601E5">
      <w:pPr>
        <w:jc w:val="both"/>
        <w:rPr>
          <w:rFonts w:ascii="Garamond" w:hAnsi="Garamond" w:cs="Times New Roman"/>
          <w:bCs/>
        </w:rPr>
      </w:pPr>
      <w:proofErr w:type="spellStart"/>
      <w:r w:rsidRPr="00806495">
        <w:rPr>
          <w:rFonts w:ascii="Garamond" w:hAnsi="Garamond" w:cs="Times New Roman"/>
          <w:bCs/>
        </w:rPr>
        <w:t>Relativamente</w:t>
      </w:r>
      <w:proofErr w:type="spellEnd"/>
      <w:r w:rsidRPr="00806495">
        <w:rPr>
          <w:rFonts w:ascii="Garamond" w:hAnsi="Garamond" w:cs="Times New Roman"/>
          <w:bCs/>
        </w:rPr>
        <w:t xml:space="preserve"> </w:t>
      </w:r>
      <w:proofErr w:type="spellStart"/>
      <w:r w:rsidRPr="00806495">
        <w:rPr>
          <w:rFonts w:ascii="Garamond" w:hAnsi="Garamond" w:cs="Times New Roman"/>
          <w:bCs/>
        </w:rPr>
        <w:t>às</w:t>
      </w:r>
      <w:proofErr w:type="spellEnd"/>
      <w:r w:rsidRPr="00806495">
        <w:rPr>
          <w:rFonts w:ascii="Garamond" w:hAnsi="Garamond" w:cs="Times New Roman"/>
          <w:bCs/>
        </w:rPr>
        <w:t xml:space="preserve"> </w:t>
      </w:r>
      <w:proofErr w:type="spellStart"/>
      <w:r w:rsidRPr="00806495">
        <w:rPr>
          <w:rFonts w:ascii="Garamond" w:hAnsi="Garamond" w:cs="Times New Roman"/>
          <w:b/>
        </w:rPr>
        <w:t>mulheres</w:t>
      </w:r>
      <w:proofErr w:type="spellEnd"/>
      <w:r w:rsidRPr="00806495">
        <w:rPr>
          <w:rFonts w:ascii="Garamond" w:hAnsi="Garamond" w:cs="Times New Roman"/>
          <w:b/>
        </w:rPr>
        <w:t xml:space="preserve"> </w:t>
      </w:r>
      <w:proofErr w:type="spellStart"/>
      <w:r w:rsidRPr="00806495">
        <w:rPr>
          <w:rFonts w:ascii="Garamond" w:hAnsi="Garamond" w:cs="Times New Roman"/>
          <w:b/>
        </w:rPr>
        <w:t>imigrantes</w:t>
      </w:r>
      <w:proofErr w:type="spellEnd"/>
      <w:r>
        <w:rPr>
          <w:rFonts w:ascii="Garamond" w:hAnsi="Garamond" w:cs="Times New Roman"/>
          <w:bCs/>
        </w:rPr>
        <w:t>:</w:t>
      </w:r>
    </w:p>
    <w:p w14:paraId="1105BDB0" w14:textId="77777777" w:rsidR="008601E5" w:rsidRPr="008601E5" w:rsidRDefault="008601E5" w:rsidP="00786DEC">
      <w:pPr>
        <w:pStyle w:val="PargrafodaLista"/>
        <w:numPr>
          <w:ilvl w:val="0"/>
          <w:numId w:val="56"/>
        </w:numPr>
        <w:spacing w:after="160" w:line="259" w:lineRule="auto"/>
        <w:jc w:val="both"/>
        <w:rPr>
          <w:rFonts w:ascii="Garamond" w:hAnsi="Garamond" w:cs="Times New Roman"/>
          <w:bCs/>
          <w:lang w:val="pt-PT"/>
        </w:rPr>
      </w:pPr>
      <w:r w:rsidRPr="008601E5">
        <w:rPr>
          <w:rFonts w:ascii="Garamond" w:hAnsi="Garamond" w:cs="Times New Roman"/>
          <w:bCs/>
          <w:lang w:val="pt-PT"/>
        </w:rPr>
        <w:t xml:space="preserve">A </w:t>
      </w:r>
      <w:proofErr w:type="spellStart"/>
      <w:r w:rsidRPr="008601E5">
        <w:rPr>
          <w:rFonts w:ascii="Garamond" w:hAnsi="Garamond" w:cs="Times New Roman"/>
          <w:bCs/>
          <w:lang w:val="pt-PT"/>
        </w:rPr>
        <w:t>DGI</w:t>
      </w:r>
      <w:proofErr w:type="spellEnd"/>
      <w:r w:rsidRPr="008601E5">
        <w:rPr>
          <w:rFonts w:ascii="Garamond" w:hAnsi="Garamond" w:cs="Times New Roman"/>
          <w:bCs/>
          <w:lang w:val="pt-PT"/>
        </w:rPr>
        <w:t xml:space="preserve"> continuará a formar e estimular a sua participação no movimento associativo e na sua liderança, e terá em conta as mulheres na divulgação de informações sobre participação eleitoral.</w:t>
      </w:r>
      <w:bookmarkEnd w:id="100"/>
    </w:p>
    <w:p w14:paraId="244AB659" w14:textId="77777777" w:rsidR="008601E5" w:rsidRPr="008601E5" w:rsidRDefault="008601E5" w:rsidP="00786DEC">
      <w:pPr>
        <w:pStyle w:val="PargrafodaLista"/>
        <w:numPr>
          <w:ilvl w:val="0"/>
          <w:numId w:val="56"/>
        </w:numPr>
        <w:spacing w:after="160" w:line="259" w:lineRule="auto"/>
        <w:jc w:val="both"/>
        <w:rPr>
          <w:rFonts w:ascii="Garamond" w:hAnsi="Garamond" w:cs="Times New Roman"/>
          <w:bCs/>
          <w:lang w:val="pt-PT"/>
        </w:rPr>
      </w:pPr>
      <w:r w:rsidRPr="008601E5">
        <w:rPr>
          <w:rFonts w:ascii="Garamond" w:hAnsi="Garamond" w:cs="Times New Roman"/>
          <w:bCs/>
          <w:lang w:val="pt-PT"/>
        </w:rPr>
        <w:t>Tanto no caso das mulheres com deficiência, como das mulheres imigrantes é importante realizar um levantamento participativo das suas necessidades para uma maior participação nos processos eleitorais, liderança e discussão de políticas públicas.</w:t>
      </w:r>
    </w:p>
    <w:p w14:paraId="2EA86A84" w14:textId="0E0B121D" w:rsidR="00E56C28" w:rsidRDefault="00E56C28" w:rsidP="00E56C28">
      <w:pPr>
        <w:pStyle w:val="PargrafodaLista"/>
        <w:shd w:val="clear" w:color="auto" w:fill="FFFFFF"/>
        <w:spacing w:after="240"/>
        <w:jc w:val="both"/>
        <w:rPr>
          <w:rFonts w:ascii="Garamond" w:hAnsi="Garamond" w:cs="Times New Roman"/>
          <w:bCs/>
          <w:lang w:val="pt-PT"/>
        </w:rPr>
      </w:pPr>
    </w:p>
    <w:p w14:paraId="59C292F0" w14:textId="188BE811" w:rsidR="00E56C28" w:rsidRDefault="00E56C28" w:rsidP="00E56C28">
      <w:pPr>
        <w:pStyle w:val="PargrafodaLista"/>
        <w:shd w:val="clear" w:color="auto" w:fill="FFFFFF"/>
        <w:spacing w:after="240"/>
        <w:jc w:val="both"/>
        <w:rPr>
          <w:rFonts w:ascii="Garamond" w:hAnsi="Garamond" w:cs="Times New Roman"/>
          <w:bCs/>
          <w:lang w:val="pt-PT"/>
        </w:rPr>
      </w:pPr>
    </w:p>
    <w:p w14:paraId="4A5296B6" w14:textId="77777777" w:rsidR="00E56C28" w:rsidRPr="00806495" w:rsidRDefault="00E56C28" w:rsidP="00E56C28">
      <w:pPr>
        <w:pStyle w:val="PargrafodaLista"/>
        <w:shd w:val="clear" w:color="auto" w:fill="FFFFFF"/>
        <w:spacing w:after="240"/>
        <w:jc w:val="both"/>
        <w:rPr>
          <w:rFonts w:ascii="Garamond" w:hAnsi="Garamond" w:cs="Times New Roman"/>
          <w:bCs/>
          <w:lang w:val="pt-PT"/>
        </w:rPr>
      </w:pPr>
    </w:p>
    <w:p w14:paraId="7E3FAB27" w14:textId="2910061A" w:rsidR="0037229F" w:rsidRPr="00806495" w:rsidRDefault="0037229F" w:rsidP="00786DEC">
      <w:pPr>
        <w:pStyle w:val="PargrafodaLista"/>
        <w:numPr>
          <w:ilvl w:val="0"/>
          <w:numId w:val="32"/>
        </w:numPr>
        <w:shd w:val="clear" w:color="auto" w:fill="FFFFFF"/>
        <w:spacing w:after="240"/>
        <w:jc w:val="both"/>
        <w:rPr>
          <w:rFonts w:ascii="Garamond" w:hAnsi="Garamond" w:cs="Times New Roman"/>
          <w:bCs/>
          <w:lang w:val="pt-PT"/>
        </w:rPr>
      </w:pPr>
      <w:r w:rsidRPr="00806495">
        <w:rPr>
          <w:rFonts w:ascii="Garamond" w:hAnsi="Garamond" w:cs="Times New Roman"/>
          <w:bCs/>
          <w:lang w:val="pt-PT"/>
        </w:rPr>
        <w:br w:type="page"/>
      </w:r>
    </w:p>
    <w:p w14:paraId="1C3762D9" w14:textId="5261461B" w:rsidR="000A3765" w:rsidRPr="00806495" w:rsidRDefault="000A3765" w:rsidP="0055267C">
      <w:pPr>
        <w:pStyle w:val="PargrafodaLista"/>
        <w:spacing w:after="240"/>
        <w:ind w:left="0"/>
        <w:jc w:val="both"/>
        <w:outlineLvl w:val="2"/>
        <w:rPr>
          <w:rFonts w:ascii="Garamond" w:hAnsi="Garamond" w:cs="Times New Roman"/>
          <w:b/>
          <w:sz w:val="32"/>
          <w:szCs w:val="32"/>
          <w:lang w:val="pt-PT"/>
        </w:rPr>
      </w:pPr>
      <w:bookmarkStart w:id="105" w:name="_Toc32858133"/>
      <w:r w:rsidRPr="00806495">
        <w:rPr>
          <w:rFonts w:ascii="Garamond" w:hAnsi="Garamond" w:cs="Times New Roman"/>
          <w:b/>
          <w:sz w:val="32"/>
          <w:szCs w:val="32"/>
          <w:lang w:val="pt-PT"/>
        </w:rPr>
        <w:t xml:space="preserve">Eixo estratégico 6 – </w:t>
      </w:r>
      <w:proofErr w:type="spellStart"/>
      <w:r w:rsidR="00C223DD" w:rsidRPr="00806495">
        <w:rPr>
          <w:rFonts w:ascii="Garamond" w:hAnsi="Garamond" w:cs="Times New Roman"/>
          <w:b/>
          <w:sz w:val="32"/>
          <w:szCs w:val="32"/>
          <w:lang w:val="pt-PT"/>
        </w:rPr>
        <w:t>Transversalização</w:t>
      </w:r>
      <w:proofErr w:type="spellEnd"/>
      <w:r w:rsidR="00C223DD" w:rsidRPr="00806495">
        <w:rPr>
          <w:rFonts w:ascii="Garamond" w:hAnsi="Garamond" w:cs="Times New Roman"/>
          <w:b/>
          <w:sz w:val="32"/>
          <w:szCs w:val="32"/>
          <w:lang w:val="pt-PT"/>
        </w:rPr>
        <w:t xml:space="preserve"> da Abordagem de Género</w:t>
      </w:r>
      <w:bookmarkEnd w:id="105"/>
      <w:r w:rsidR="00C223DD" w:rsidRPr="00806495">
        <w:rPr>
          <w:rFonts w:ascii="Garamond" w:hAnsi="Garamond" w:cs="Times New Roman"/>
          <w:b/>
          <w:sz w:val="32"/>
          <w:szCs w:val="32"/>
          <w:lang w:val="pt-PT"/>
        </w:rPr>
        <w:t xml:space="preserve"> </w:t>
      </w:r>
    </w:p>
    <w:p w14:paraId="19C30DF5" w14:textId="77777777" w:rsidR="00236223" w:rsidRDefault="00236223" w:rsidP="00236223">
      <w:pPr>
        <w:spacing w:after="240"/>
        <w:jc w:val="both"/>
        <w:rPr>
          <w:rFonts w:ascii="Garamond" w:hAnsi="Garamond"/>
          <w:lang w:val="pt-PT"/>
        </w:rPr>
      </w:pPr>
      <w:r w:rsidRPr="00806495">
        <w:rPr>
          <w:rFonts w:ascii="Garamond" w:hAnsi="Garamond"/>
          <w:lang w:val="pt-PT"/>
        </w:rPr>
        <w:t xml:space="preserve">Como já referido, a igualdade de género é considerada uma questão transversal a todas as áreas de governação, conforme explicitado </w:t>
      </w:r>
      <w:proofErr w:type="spellStart"/>
      <w:r w:rsidRPr="00806495">
        <w:rPr>
          <w:rFonts w:ascii="Garamond" w:hAnsi="Garamond"/>
          <w:lang w:val="pt-PT"/>
        </w:rPr>
        <w:t>pelo</w:t>
      </w:r>
      <w:proofErr w:type="spellEnd"/>
      <w:r w:rsidRPr="00806495">
        <w:rPr>
          <w:rFonts w:ascii="Garamond" w:hAnsi="Garamond"/>
          <w:lang w:val="pt-PT"/>
        </w:rPr>
        <w:t xml:space="preserve"> Programa do Governo para a IX Legislatura (2016-2021) e </w:t>
      </w:r>
      <w:proofErr w:type="spellStart"/>
      <w:r w:rsidRPr="00806495">
        <w:rPr>
          <w:rFonts w:ascii="Garamond" w:hAnsi="Garamond"/>
          <w:lang w:val="pt-PT"/>
        </w:rPr>
        <w:t>pelo</w:t>
      </w:r>
      <w:proofErr w:type="spellEnd"/>
      <w:r w:rsidRPr="00806495">
        <w:rPr>
          <w:rFonts w:ascii="Garamond" w:hAnsi="Garamond"/>
          <w:lang w:val="pt-PT"/>
        </w:rPr>
        <w:t xml:space="preserve"> </w:t>
      </w:r>
      <w:proofErr w:type="spellStart"/>
      <w:r w:rsidRPr="00806495">
        <w:rPr>
          <w:rFonts w:ascii="Garamond" w:hAnsi="Garamond"/>
          <w:lang w:val="pt-PT"/>
        </w:rPr>
        <w:t>PEDS</w:t>
      </w:r>
      <w:proofErr w:type="spellEnd"/>
      <w:r w:rsidRPr="00806495">
        <w:rPr>
          <w:rFonts w:ascii="Garamond" w:hAnsi="Garamond"/>
          <w:lang w:val="pt-PT"/>
        </w:rPr>
        <w:t xml:space="preserve">, sendo a estratégia de </w:t>
      </w:r>
      <w:proofErr w:type="spellStart"/>
      <w:r w:rsidRPr="00806495">
        <w:rPr>
          <w:rFonts w:ascii="Garamond" w:hAnsi="Garamond"/>
          <w:lang w:val="pt-PT"/>
        </w:rPr>
        <w:t>transversalização</w:t>
      </w:r>
      <w:proofErr w:type="spellEnd"/>
      <w:r w:rsidRPr="00806495">
        <w:rPr>
          <w:rFonts w:ascii="Garamond" w:hAnsi="Garamond"/>
          <w:lang w:val="pt-PT"/>
        </w:rPr>
        <w:t xml:space="preserve"> da abordagem de género (</w:t>
      </w:r>
      <w:proofErr w:type="spellStart"/>
      <w:r w:rsidRPr="00806495">
        <w:rPr>
          <w:rFonts w:ascii="Garamond" w:hAnsi="Garamond"/>
          <w:lang w:val="pt-PT"/>
        </w:rPr>
        <w:t>TG</w:t>
      </w:r>
      <w:proofErr w:type="spellEnd"/>
      <w:r w:rsidRPr="00806495">
        <w:rPr>
          <w:rFonts w:ascii="Garamond" w:hAnsi="Garamond"/>
          <w:lang w:val="pt-PT"/>
        </w:rPr>
        <w:t xml:space="preserve">) retomada como directriz do </w:t>
      </w:r>
      <w:proofErr w:type="spellStart"/>
      <w:r w:rsidRPr="00806495">
        <w:rPr>
          <w:rFonts w:ascii="Garamond" w:hAnsi="Garamond"/>
          <w:lang w:val="pt-PT"/>
        </w:rPr>
        <w:t>PNIG</w:t>
      </w:r>
      <w:proofErr w:type="spellEnd"/>
      <w:r w:rsidRPr="00806495">
        <w:rPr>
          <w:rFonts w:ascii="Garamond" w:hAnsi="Garamond"/>
          <w:lang w:val="pt-PT"/>
        </w:rPr>
        <w:t xml:space="preserve"> (2019-2023), concomitantemente à promoção de programas e </w:t>
      </w:r>
      <w:proofErr w:type="spellStart"/>
      <w:r w:rsidRPr="00806495">
        <w:rPr>
          <w:rFonts w:ascii="Garamond" w:hAnsi="Garamond"/>
          <w:lang w:val="pt-PT"/>
        </w:rPr>
        <w:t>ações</w:t>
      </w:r>
      <w:proofErr w:type="spellEnd"/>
      <w:r w:rsidRPr="00806495">
        <w:rPr>
          <w:rFonts w:ascii="Garamond" w:hAnsi="Garamond"/>
          <w:lang w:val="pt-PT"/>
        </w:rPr>
        <w:t xml:space="preserve"> especificas de género. Ou seja, uma abordagem dupla da igualdade de género (</w:t>
      </w:r>
      <w:r w:rsidRPr="00806495">
        <w:rPr>
          <w:rFonts w:ascii="Garamond" w:hAnsi="Garamond"/>
          <w:i/>
          <w:iCs/>
          <w:lang w:val="pt-PT"/>
        </w:rPr>
        <w:t xml:space="preserve">dual </w:t>
      </w:r>
      <w:proofErr w:type="spellStart"/>
      <w:r w:rsidRPr="00806495">
        <w:rPr>
          <w:rFonts w:ascii="Garamond" w:hAnsi="Garamond"/>
          <w:i/>
          <w:iCs/>
          <w:lang w:val="pt-PT"/>
        </w:rPr>
        <w:t>approach</w:t>
      </w:r>
      <w:proofErr w:type="spellEnd"/>
      <w:r w:rsidRPr="00806495">
        <w:rPr>
          <w:rFonts w:ascii="Garamond" w:hAnsi="Garamond"/>
          <w:i/>
          <w:iCs/>
          <w:lang w:val="pt-PT"/>
        </w:rPr>
        <w:t xml:space="preserve"> to </w:t>
      </w:r>
      <w:proofErr w:type="spellStart"/>
      <w:r w:rsidRPr="00806495">
        <w:rPr>
          <w:rFonts w:ascii="Garamond" w:hAnsi="Garamond"/>
          <w:i/>
          <w:iCs/>
          <w:lang w:val="pt-PT"/>
        </w:rPr>
        <w:t>gender</w:t>
      </w:r>
      <w:proofErr w:type="spellEnd"/>
      <w:r w:rsidRPr="00806495">
        <w:rPr>
          <w:rFonts w:ascii="Garamond" w:hAnsi="Garamond"/>
          <w:i/>
          <w:iCs/>
          <w:lang w:val="pt-PT"/>
        </w:rPr>
        <w:t xml:space="preserve"> </w:t>
      </w:r>
      <w:proofErr w:type="spellStart"/>
      <w:r w:rsidRPr="00806495">
        <w:rPr>
          <w:rFonts w:ascii="Garamond" w:hAnsi="Garamond"/>
          <w:i/>
          <w:iCs/>
          <w:lang w:val="pt-PT"/>
        </w:rPr>
        <w:t>equality</w:t>
      </w:r>
      <w:proofErr w:type="spellEnd"/>
      <w:r w:rsidRPr="00806495">
        <w:rPr>
          <w:rFonts w:ascii="Garamond" w:hAnsi="Garamond"/>
          <w:lang w:val="pt-PT"/>
        </w:rPr>
        <w:t xml:space="preserve">), capitalizando na complementaridade entre a </w:t>
      </w:r>
      <w:proofErr w:type="spellStart"/>
      <w:r w:rsidRPr="00806495">
        <w:rPr>
          <w:rFonts w:ascii="Garamond" w:hAnsi="Garamond"/>
          <w:lang w:val="pt-PT"/>
        </w:rPr>
        <w:t>transversalização</w:t>
      </w:r>
      <w:proofErr w:type="spellEnd"/>
      <w:r w:rsidRPr="00806495">
        <w:rPr>
          <w:rFonts w:ascii="Garamond" w:hAnsi="Garamond"/>
          <w:lang w:val="pt-PT"/>
        </w:rPr>
        <w:t xml:space="preserve"> de género e políticas ou medidas específicas de género, incluindo medidas positivas. As duas estratégias são necessárias e complementares para a construção da igualdade de género, uma vez que a </w:t>
      </w:r>
      <w:proofErr w:type="spellStart"/>
      <w:r w:rsidRPr="00806495">
        <w:rPr>
          <w:rFonts w:ascii="Garamond" w:hAnsi="Garamond"/>
          <w:lang w:val="pt-PT"/>
        </w:rPr>
        <w:t>transversalização</w:t>
      </w:r>
      <w:proofErr w:type="spellEnd"/>
      <w:r w:rsidRPr="00806495">
        <w:rPr>
          <w:rFonts w:ascii="Garamond" w:hAnsi="Garamond"/>
          <w:lang w:val="pt-PT"/>
        </w:rPr>
        <w:t xml:space="preserve"> é um processo mais longo, que exige mudanças institucionais e o desenvolvimento e uso consistente de ferramentas de planificação, implementação e seguimento e avaliação. </w:t>
      </w:r>
    </w:p>
    <w:p w14:paraId="6AFB2EDE" w14:textId="77777777" w:rsidR="00236223" w:rsidRPr="00806495" w:rsidRDefault="00236223" w:rsidP="00236223">
      <w:pPr>
        <w:spacing w:after="240"/>
        <w:jc w:val="both"/>
        <w:rPr>
          <w:rFonts w:ascii="Garamond" w:hAnsi="Garamond"/>
          <w:lang w:val="pt-PT"/>
        </w:rPr>
      </w:pPr>
      <w:r w:rsidRPr="00806495">
        <w:rPr>
          <w:rFonts w:ascii="Garamond" w:hAnsi="Garamond"/>
          <w:lang w:val="pt-PT"/>
        </w:rPr>
        <w:t xml:space="preserve">Os progressos de Cabo Verde na </w:t>
      </w:r>
      <w:proofErr w:type="spellStart"/>
      <w:r w:rsidRPr="00806495">
        <w:rPr>
          <w:rFonts w:ascii="Garamond" w:hAnsi="Garamond"/>
          <w:lang w:val="pt-PT"/>
        </w:rPr>
        <w:t>TG</w:t>
      </w:r>
      <w:proofErr w:type="spellEnd"/>
      <w:r w:rsidRPr="00806495">
        <w:rPr>
          <w:rFonts w:ascii="Garamond" w:hAnsi="Garamond"/>
          <w:lang w:val="pt-PT"/>
        </w:rPr>
        <w:t xml:space="preserve"> são enormes. No </w:t>
      </w:r>
      <w:proofErr w:type="spellStart"/>
      <w:r w:rsidRPr="00806495">
        <w:rPr>
          <w:rFonts w:ascii="Garamond" w:hAnsi="Garamond"/>
          <w:lang w:val="pt-PT"/>
        </w:rPr>
        <w:t>PEDS</w:t>
      </w:r>
      <w:proofErr w:type="spellEnd"/>
      <w:r w:rsidRPr="00806495">
        <w:rPr>
          <w:rFonts w:ascii="Garamond" w:hAnsi="Garamond"/>
          <w:lang w:val="pt-PT"/>
        </w:rPr>
        <w:t xml:space="preserve"> 10 dos 20 programas do </w:t>
      </w:r>
      <w:r w:rsidRPr="00806495">
        <w:rPr>
          <w:rFonts w:ascii="Garamond" w:hAnsi="Garamond"/>
          <w:i/>
          <w:iCs/>
          <w:lang w:val="pt-PT"/>
        </w:rPr>
        <w:t>Pilar Economia</w:t>
      </w:r>
      <w:r w:rsidRPr="00806495">
        <w:rPr>
          <w:rFonts w:ascii="Garamond" w:hAnsi="Garamond"/>
          <w:lang w:val="pt-PT"/>
        </w:rPr>
        <w:t xml:space="preserve"> estão alinhados ao </w:t>
      </w:r>
      <w:proofErr w:type="spellStart"/>
      <w:r w:rsidRPr="00806495">
        <w:rPr>
          <w:rFonts w:ascii="Garamond" w:hAnsi="Garamond"/>
          <w:lang w:val="pt-PT"/>
        </w:rPr>
        <w:t>ODS</w:t>
      </w:r>
      <w:proofErr w:type="spellEnd"/>
      <w:r w:rsidRPr="00806495">
        <w:rPr>
          <w:rFonts w:ascii="Garamond" w:hAnsi="Garamond"/>
          <w:lang w:val="pt-PT"/>
        </w:rPr>
        <w:t xml:space="preserve"> 5 e contam com indicadores de género em programas chave como o turismo, trabalho e emprego, água e saneamento; o que acontece com os 8 programas do </w:t>
      </w:r>
      <w:r w:rsidRPr="00806495">
        <w:rPr>
          <w:rFonts w:ascii="Garamond" w:hAnsi="Garamond"/>
          <w:i/>
          <w:iCs/>
          <w:lang w:val="pt-PT"/>
        </w:rPr>
        <w:t>Pilar Estado Social/Capital Humano</w:t>
      </w:r>
      <w:r w:rsidRPr="00806495">
        <w:rPr>
          <w:rFonts w:ascii="Garamond" w:hAnsi="Garamond"/>
          <w:lang w:val="pt-PT"/>
        </w:rPr>
        <w:t xml:space="preserve">, existindo indicadores de género nos programas da família, saúde, segurança social e educação, bem como um programa específico de género; e com 4 dos 6 programas do </w:t>
      </w:r>
      <w:r w:rsidRPr="00806495">
        <w:rPr>
          <w:rFonts w:ascii="Garamond" w:hAnsi="Garamond"/>
          <w:i/>
          <w:iCs/>
          <w:lang w:val="pt-PT"/>
        </w:rPr>
        <w:t>Pilar Soberania/Novo modelo de Estado</w:t>
      </w:r>
      <w:r w:rsidRPr="00806495">
        <w:rPr>
          <w:rFonts w:ascii="Garamond" w:hAnsi="Garamond"/>
          <w:lang w:val="pt-PT"/>
        </w:rPr>
        <w:t xml:space="preserve">, com indicadores de género nos programa da justiça e segurança, e em matéria de participação e liderança das mulheres. Globalmente 63% dos programas do </w:t>
      </w:r>
      <w:proofErr w:type="spellStart"/>
      <w:r w:rsidRPr="00806495">
        <w:rPr>
          <w:rFonts w:ascii="Garamond" w:hAnsi="Garamond"/>
          <w:lang w:val="pt-PT"/>
        </w:rPr>
        <w:t>PEDS</w:t>
      </w:r>
      <w:proofErr w:type="spellEnd"/>
      <w:r w:rsidRPr="00806495">
        <w:rPr>
          <w:rFonts w:ascii="Garamond" w:hAnsi="Garamond"/>
          <w:lang w:val="pt-PT"/>
        </w:rPr>
        <w:t xml:space="preserve"> estão alinhados ao </w:t>
      </w:r>
      <w:proofErr w:type="spellStart"/>
      <w:r w:rsidRPr="00806495">
        <w:rPr>
          <w:rFonts w:ascii="Garamond" w:hAnsi="Garamond"/>
          <w:lang w:val="pt-PT"/>
        </w:rPr>
        <w:t>ODS</w:t>
      </w:r>
      <w:proofErr w:type="spellEnd"/>
      <w:r w:rsidRPr="00806495">
        <w:rPr>
          <w:rFonts w:ascii="Garamond" w:hAnsi="Garamond"/>
          <w:lang w:val="pt-PT"/>
        </w:rPr>
        <w:t xml:space="preserve"> 5, para além de existir um programa específico de género. Todos os sectores vêm tomando medidas cruciais para a igualdade de género, conforme referido ao longo do presente documento. Tendo em conta o ponto de partida propício, em termos legal, político, sectorial e local, há necessidade de consolidar os ganhos e institucionalizar a </w:t>
      </w:r>
      <w:proofErr w:type="spellStart"/>
      <w:r w:rsidRPr="00806495">
        <w:rPr>
          <w:rFonts w:ascii="Garamond" w:hAnsi="Garamond"/>
          <w:lang w:val="pt-PT"/>
        </w:rPr>
        <w:t>TG</w:t>
      </w:r>
      <w:proofErr w:type="spellEnd"/>
      <w:r w:rsidRPr="00806495">
        <w:rPr>
          <w:rFonts w:ascii="Garamond" w:hAnsi="Garamond"/>
          <w:lang w:val="pt-PT"/>
        </w:rPr>
        <w:t xml:space="preserve"> nas entidades públicas, para que o uso das respectivas ferramentas seja automatizado, passando a fazer parte dos procedimentos rotineiros e da cultura institucional.</w:t>
      </w:r>
    </w:p>
    <w:p w14:paraId="4141E3B3" w14:textId="77777777" w:rsidR="00236223" w:rsidRPr="00806495" w:rsidRDefault="00236223" w:rsidP="00236223">
      <w:pPr>
        <w:spacing w:after="200"/>
        <w:jc w:val="both"/>
        <w:rPr>
          <w:rFonts w:ascii="Garamond" w:hAnsi="Garamond"/>
          <w:lang w:val="pt-PT"/>
        </w:rPr>
      </w:pPr>
      <w:r w:rsidRPr="00806495">
        <w:rPr>
          <w:rFonts w:ascii="Garamond" w:hAnsi="Garamond"/>
          <w:lang w:val="pt-PT"/>
        </w:rPr>
        <w:t xml:space="preserve">O </w:t>
      </w:r>
      <w:proofErr w:type="spellStart"/>
      <w:r w:rsidRPr="00806495">
        <w:rPr>
          <w:rFonts w:ascii="Garamond" w:hAnsi="Garamond"/>
          <w:lang w:val="pt-PT"/>
        </w:rPr>
        <w:t>PEDS</w:t>
      </w:r>
      <w:proofErr w:type="spellEnd"/>
      <w:r w:rsidRPr="00806495">
        <w:rPr>
          <w:rFonts w:ascii="Garamond" w:hAnsi="Garamond"/>
          <w:lang w:val="pt-PT"/>
        </w:rPr>
        <w:t xml:space="preserve"> destaca os seguintes desafios para uma </w:t>
      </w:r>
      <w:proofErr w:type="spellStart"/>
      <w:r w:rsidRPr="00806495">
        <w:rPr>
          <w:rFonts w:ascii="Garamond" w:hAnsi="Garamond"/>
          <w:lang w:val="pt-PT"/>
        </w:rPr>
        <w:t>efetiva</w:t>
      </w:r>
      <w:proofErr w:type="spellEnd"/>
      <w:r w:rsidRPr="00806495">
        <w:rPr>
          <w:rFonts w:ascii="Garamond" w:hAnsi="Garamond"/>
          <w:lang w:val="pt-PT"/>
        </w:rPr>
        <w:t xml:space="preserve"> </w:t>
      </w:r>
      <w:proofErr w:type="spellStart"/>
      <w:r w:rsidRPr="00806495">
        <w:rPr>
          <w:rFonts w:ascii="Garamond" w:hAnsi="Garamond"/>
          <w:lang w:val="pt-PT"/>
        </w:rPr>
        <w:t>transversalização</w:t>
      </w:r>
      <w:proofErr w:type="spellEnd"/>
      <w:r w:rsidRPr="00806495">
        <w:rPr>
          <w:rFonts w:ascii="Garamond" w:hAnsi="Garamond"/>
          <w:lang w:val="pt-PT"/>
        </w:rPr>
        <w:t xml:space="preserve"> do género:</w:t>
      </w:r>
    </w:p>
    <w:p w14:paraId="17C916FB" w14:textId="77777777" w:rsidR="00236223" w:rsidRPr="004E2B62" w:rsidRDefault="00236223" w:rsidP="00786DEC">
      <w:pPr>
        <w:pStyle w:val="PargrafodaLista"/>
        <w:numPr>
          <w:ilvl w:val="0"/>
          <w:numId w:val="45"/>
        </w:numPr>
        <w:shd w:val="clear" w:color="auto" w:fill="E2EFD9" w:themeFill="accent6" w:themeFillTint="33"/>
        <w:ind w:left="851" w:right="566"/>
        <w:jc w:val="both"/>
        <w:rPr>
          <w:rFonts w:ascii="Garamond" w:hAnsi="Garamond"/>
          <w:iCs/>
          <w:sz w:val="20"/>
          <w:szCs w:val="20"/>
          <w:lang w:val="pt-PT"/>
        </w:rPr>
      </w:pPr>
      <w:r w:rsidRPr="004E2B62">
        <w:rPr>
          <w:rFonts w:ascii="Garamond" w:hAnsi="Garamond"/>
          <w:iCs/>
          <w:sz w:val="20"/>
          <w:szCs w:val="20"/>
          <w:lang w:val="pt-PT"/>
        </w:rPr>
        <w:t xml:space="preserve">Insuficiente produção, utilização e divulgação de estatísticas desagregadas e indicadores específicos de género, sobretudo no domínio económico (salários/rendimento, turismo, agricultura, </w:t>
      </w:r>
      <w:proofErr w:type="spellStart"/>
      <w:r w:rsidRPr="004E2B62">
        <w:rPr>
          <w:rFonts w:ascii="Garamond" w:hAnsi="Garamond"/>
          <w:iCs/>
          <w:sz w:val="20"/>
          <w:szCs w:val="20"/>
          <w:lang w:val="pt-PT"/>
        </w:rPr>
        <w:t>setor</w:t>
      </w:r>
      <w:proofErr w:type="spellEnd"/>
      <w:r w:rsidRPr="004E2B62">
        <w:rPr>
          <w:rFonts w:ascii="Garamond" w:hAnsi="Garamond"/>
          <w:iCs/>
          <w:sz w:val="20"/>
          <w:szCs w:val="20"/>
          <w:lang w:val="pt-PT"/>
        </w:rPr>
        <w:t xml:space="preserve"> informal);</w:t>
      </w:r>
    </w:p>
    <w:p w14:paraId="18836391" w14:textId="77777777" w:rsidR="00236223" w:rsidRPr="004E2B62" w:rsidRDefault="00236223" w:rsidP="00786DEC">
      <w:pPr>
        <w:pStyle w:val="PargrafodaLista"/>
        <w:numPr>
          <w:ilvl w:val="0"/>
          <w:numId w:val="45"/>
        </w:numPr>
        <w:shd w:val="clear" w:color="auto" w:fill="E2EFD9" w:themeFill="accent6" w:themeFillTint="33"/>
        <w:ind w:left="851" w:right="566"/>
        <w:jc w:val="both"/>
        <w:rPr>
          <w:rFonts w:ascii="Garamond" w:hAnsi="Garamond"/>
          <w:iCs/>
          <w:sz w:val="20"/>
          <w:szCs w:val="20"/>
          <w:lang w:val="pt-PT"/>
        </w:rPr>
      </w:pPr>
      <w:r w:rsidRPr="004E2B62">
        <w:rPr>
          <w:rFonts w:ascii="Garamond" w:hAnsi="Garamond"/>
          <w:iCs/>
          <w:sz w:val="20"/>
          <w:szCs w:val="20"/>
          <w:lang w:val="pt-PT"/>
        </w:rPr>
        <w:t xml:space="preserve">Integração do género, sobretudo nas áreas sociais, à primeira vista mais propensas a uma análise de género, havendo necessidade de promover tal integração em todos os </w:t>
      </w:r>
      <w:proofErr w:type="spellStart"/>
      <w:r w:rsidRPr="004E2B62">
        <w:rPr>
          <w:rFonts w:ascii="Garamond" w:hAnsi="Garamond"/>
          <w:iCs/>
          <w:sz w:val="20"/>
          <w:szCs w:val="20"/>
          <w:lang w:val="pt-PT"/>
        </w:rPr>
        <w:t>setores</w:t>
      </w:r>
      <w:proofErr w:type="spellEnd"/>
      <w:r w:rsidRPr="004E2B62">
        <w:rPr>
          <w:rFonts w:ascii="Garamond" w:hAnsi="Garamond"/>
          <w:iCs/>
          <w:sz w:val="20"/>
          <w:szCs w:val="20"/>
          <w:lang w:val="pt-PT"/>
        </w:rPr>
        <w:t xml:space="preserve"> e temáticas, incluindo nas questões económicas, de competitividade, de finanças, etc.;</w:t>
      </w:r>
    </w:p>
    <w:p w14:paraId="038F76FD" w14:textId="77777777" w:rsidR="00236223" w:rsidRPr="004E2B62" w:rsidRDefault="00236223" w:rsidP="00786DEC">
      <w:pPr>
        <w:pStyle w:val="PargrafodaLista"/>
        <w:numPr>
          <w:ilvl w:val="0"/>
          <w:numId w:val="45"/>
        </w:numPr>
        <w:shd w:val="clear" w:color="auto" w:fill="E2EFD9" w:themeFill="accent6" w:themeFillTint="33"/>
        <w:ind w:left="851" w:right="566"/>
        <w:jc w:val="both"/>
        <w:rPr>
          <w:rFonts w:ascii="Garamond" w:hAnsi="Garamond"/>
          <w:iCs/>
          <w:sz w:val="20"/>
          <w:szCs w:val="20"/>
          <w:lang w:val="pt-PT"/>
        </w:rPr>
      </w:pPr>
      <w:r w:rsidRPr="004E2B62">
        <w:rPr>
          <w:rFonts w:ascii="Garamond" w:hAnsi="Garamond"/>
          <w:iCs/>
          <w:sz w:val="20"/>
          <w:szCs w:val="20"/>
          <w:lang w:val="pt-PT"/>
        </w:rPr>
        <w:t xml:space="preserve">Capacidades para assegurar a abordagem de género, ainda insuficientes a todos os níveis, </w:t>
      </w:r>
      <w:proofErr w:type="spellStart"/>
      <w:r w:rsidRPr="004E2B62">
        <w:rPr>
          <w:rFonts w:ascii="Garamond" w:hAnsi="Garamond"/>
          <w:iCs/>
          <w:sz w:val="20"/>
          <w:szCs w:val="20"/>
          <w:lang w:val="pt-PT"/>
        </w:rPr>
        <w:t>setorial</w:t>
      </w:r>
      <w:proofErr w:type="spellEnd"/>
      <w:r w:rsidRPr="004E2B62">
        <w:rPr>
          <w:rFonts w:ascii="Garamond" w:hAnsi="Garamond"/>
          <w:iCs/>
          <w:sz w:val="20"/>
          <w:szCs w:val="20"/>
          <w:lang w:val="pt-PT"/>
        </w:rPr>
        <w:t xml:space="preserve"> e municipal, sendo uma temática fundamental no contexto do processo de regionalização; </w:t>
      </w:r>
    </w:p>
    <w:p w14:paraId="31D47C10" w14:textId="77777777" w:rsidR="00236223" w:rsidRPr="004E2B62" w:rsidRDefault="00236223" w:rsidP="00786DEC">
      <w:pPr>
        <w:pStyle w:val="PargrafodaLista"/>
        <w:numPr>
          <w:ilvl w:val="0"/>
          <w:numId w:val="45"/>
        </w:numPr>
        <w:shd w:val="clear" w:color="auto" w:fill="E2EFD9" w:themeFill="accent6" w:themeFillTint="33"/>
        <w:ind w:left="851" w:right="566"/>
        <w:jc w:val="both"/>
        <w:rPr>
          <w:rFonts w:ascii="Garamond" w:hAnsi="Garamond"/>
          <w:iCs/>
          <w:sz w:val="20"/>
          <w:szCs w:val="20"/>
          <w:lang w:val="pt-PT"/>
        </w:rPr>
      </w:pPr>
      <w:r w:rsidRPr="004E2B62">
        <w:rPr>
          <w:rFonts w:ascii="Garamond" w:hAnsi="Garamond"/>
          <w:iCs/>
          <w:sz w:val="20"/>
          <w:szCs w:val="20"/>
          <w:lang w:val="pt-PT"/>
        </w:rPr>
        <w:t xml:space="preserve">O género ainda não é tido em conta, sistematicamente, nos esforços de mobilização de financiamento e parcerias, o que requer capacidades de formulação de </w:t>
      </w:r>
      <w:proofErr w:type="spellStart"/>
      <w:r w:rsidRPr="004E2B62">
        <w:rPr>
          <w:rFonts w:ascii="Garamond" w:hAnsi="Garamond"/>
          <w:iCs/>
          <w:sz w:val="20"/>
          <w:szCs w:val="20"/>
          <w:lang w:val="pt-PT"/>
        </w:rPr>
        <w:t>projetos</w:t>
      </w:r>
      <w:proofErr w:type="spellEnd"/>
      <w:r w:rsidRPr="004E2B62">
        <w:rPr>
          <w:rFonts w:ascii="Garamond" w:hAnsi="Garamond"/>
          <w:iCs/>
          <w:sz w:val="20"/>
          <w:szCs w:val="20"/>
          <w:lang w:val="pt-PT"/>
        </w:rPr>
        <w:t xml:space="preserve"> de investimento com essa abordagem.</w:t>
      </w:r>
    </w:p>
    <w:p w14:paraId="3FA83579" w14:textId="77777777" w:rsidR="00236223" w:rsidRPr="004E2B62" w:rsidRDefault="00236223" w:rsidP="00236223">
      <w:pPr>
        <w:shd w:val="clear" w:color="auto" w:fill="E2EFD9" w:themeFill="accent6" w:themeFillTint="33"/>
        <w:spacing w:after="240"/>
        <w:ind w:left="493" w:right="567"/>
        <w:jc w:val="right"/>
        <w:rPr>
          <w:rFonts w:ascii="Garamond" w:hAnsi="Garamond"/>
          <w:b/>
          <w:bCs/>
          <w:iCs/>
          <w:sz w:val="20"/>
          <w:szCs w:val="20"/>
          <w:lang w:val="pt-PT"/>
        </w:rPr>
      </w:pPr>
      <w:proofErr w:type="spellStart"/>
      <w:r w:rsidRPr="004E2B62">
        <w:rPr>
          <w:rFonts w:ascii="Garamond" w:hAnsi="Garamond"/>
          <w:b/>
          <w:bCs/>
          <w:iCs/>
          <w:sz w:val="20"/>
          <w:szCs w:val="20"/>
          <w:lang w:val="pt-PT"/>
        </w:rPr>
        <w:t>PEDS</w:t>
      </w:r>
      <w:proofErr w:type="spellEnd"/>
      <w:r w:rsidRPr="004E2B62">
        <w:rPr>
          <w:rFonts w:ascii="Garamond" w:hAnsi="Garamond"/>
          <w:b/>
          <w:bCs/>
          <w:iCs/>
          <w:sz w:val="20"/>
          <w:szCs w:val="20"/>
          <w:lang w:val="pt-PT"/>
        </w:rPr>
        <w:t xml:space="preserve"> (</w:t>
      </w:r>
      <w:r w:rsidRPr="004E2B62">
        <w:rPr>
          <w:rFonts w:ascii="Garamond" w:hAnsi="Garamond"/>
          <w:b/>
          <w:bCs/>
          <w:sz w:val="20"/>
          <w:szCs w:val="20"/>
          <w:lang w:val="pt-PT"/>
        </w:rPr>
        <w:t>2016-2021)</w:t>
      </w:r>
      <w:r w:rsidRPr="004E2B62">
        <w:rPr>
          <w:rFonts w:ascii="Garamond" w:hAnsi="Garamond"/>
          <w:b/>
          <w:bCs/>
          <w:iCs/>
          <w:sz w:val="20"/>
          <w:szCs w:val="20"/>
          <w:lang w:val="pt-PT"/>
        </w:rPr>
        <w:t xml:space="preserve"> p.130</w:t>
      </w:r>
    </w:p>
    <w:p w14:paraId="33183D9F" w14:textId="77777777" w:rsidR="00236223" w:rsidRPr="00806495" w:rsidRDefault="00236223" w:rsidP="00236223">
      <w:pPr>
        <w:jc w:val="both"/>
        <w:rPr>
          <w:rFonts w:ascii="Garamond" w:hAnsi="Garamond" w:cs="Times New Roman"/>
          <w:lang w:val="pt-PT"/>
        </w:rPr>
      </w:pPr>
      <w:r w:rsidRPr="00806495">
        <w:rPr>
          <w:rFonts w:ascii="Garamond" w:hAnsi="Garamond"/>
          <w:lang w:val="pt-PT"/>
        </w:rPr>
        <w:t xml:space="preserve">Os investimentos nas estatísticas de género e na </w:t>
      </w:r>
      <w:r w:rsidRPr="00806495">
        <w:rPr>
          <w:rFonts w:ascii="Garamond" w:hAnsi="Garamond" w:cs="Times New Roman"/>
          <w:lang w:val="pt-PT"/>
        </w:rPr>
        <w:t xml:space="preserve">produção de dados e análises sensíveis ao género têm permitido dar visibilidade aos problemas de género que existem em Cabo Verde, viabilizando a formulação de políticas e </w:t>
      </w:r>
      <w:proofErr w:type="spellStart"/>
      <w:r w:rsidRPr="00806495">
        <w:rPr>
          <w:rFonts w:ascii="Garamond" w:hAnsi="Garamond" w:cs="Times New Roman"/>
          <w:lang w:val="pt-PT"/>
        </w:rPr>
        <w:t>projetos</w:t>
      </w:r>
      <w:proofErr w:type="spellEnd"/>
      <w:r w:rsidRPr="00806495">
        <w:rPr>
          <w:rFonts w:ascii="Garamond" w:hAnsi="Garamond" w:cs="Times New Roman"/>
          <w:lang w:val="pt-PT"/>
        </w:rPr>
        <w:t xml:space="preserve"> que respondam aos desafios identificados. O INE tem tido um papel crucial para o desenvolvimento das estatísticas de género, para o estabelecimento e manutenção do Observatório de Género, e para o seguimento sensível ao género dos </w:t>
      </w:r>
      <w:proofErr w:type="spellStart"/>
      <w:r w:rsidRPr="00806495">
        <w:rPr>
          <w:rFonts w:ascii="Garamond" w:hAnsi="Garamond" w:cs="Times New Roman"/>
          <w:lang w:val="pt-PT"/>
        </w:rPr>
        <w:t>ODS</w:t>
      </w:r>
      <w:proofErr w:type="spellEnd"/>
      <w:r w:rsidRPr="00806495">
        <w:rPr>
          <w:rFonts w:ascii="Garamond" w:hAnsi="Garamond" w:cs="Times New Roman"/>
          <w:lang w:val="pt-PT"/>
        </w:rPr>
        <w:t>. Para aprofundar e consolidar as estatísticas de género, foram já assinaladas nos Eixos anteriores várias prioridades na produção e análise de dados, que são aqui retomadas. Ao mesmo tempo é pertinente trabalhar na definição de uma agenda estatística de género, que permita definir prioridades de forma mais sistemática e institucionalizada.</w:t>
      </w:r>
    </w:p>
    <w:p w14:paraId="4400CE5C" w14:textId="56C058E1" w:rsidR="00236223" w:rsidRDefault="00236223" w:rsidP="00236223">
      <w:pPr>
        <w:pStyle w:val="PargrafodaLista"/>
        <w:numPr>
          <w:ilvl w:val="0"/>
          <w:numId w:val="12"/>
        </w:numPr>
        <w:spacing w:after="240"/>
        <w:jc w:val="both"/>
        <w:rPr>
          <w:rFonts w:ascii="Garamond" w:hAnsi="Garamond" w:cs="Times New Roman"/>
          <w:lang w:val="pt-PT"/>
        </w:rPr>
      </w:pPr>
      <w:r w:rsidRPr="00806495">
        <w:rPr>
          <w:rFonts w:ascii="Garamond" w:hAnsi="Garamond" w:cs="Times New Roman"/>
          <w:lang w:val="pt-PT"/>
        </w:rPr>
        <w:t xml:space="preserve">Assim deverá ser realizada uma análise de género ao Sistema Estatístico Nacional (SEN), com vista a estabelecer prioridades para o avanço das estatísticas de género no país, sua divulgação e utilização. A agenda estatística de género deverá incluir as necessidades de reforço das capacidades dos vários </w:t>
      </w:r>
      <w:proofErr w:type="spellStart"/>
      <w:r w:rsidRPr="00806495">
        <w:rPr>
          <w:rFonts w:ascii="Garamond" w:hAnsi="Garamond" w:cs="Times New Roman"/>
          <w:lang w:val="pt-PT"/>
        </w:rPr>
        <w:t>atores</w:t>
      </w:r>
      <w:proofErr w:type="spellEnd"/>
      <w:r w:rsidRPr="00806495">
        <w:rPr>
          <w:rFonts w:ascii="Garamond" w:hAnsi="Garamond" w:cs="Times New Roman"/>
          <w:lang w:val="pt-PT"/>
        </w:rPr>
        <w:t xml:space="preserve">, incluindo em termos de literacia em estatísticas de género.  </w:t>
      </w:r>
    </w:p>
    <w:p w14:paraId="6DF971D7" w14:textId="112B4717" w:rsidR="00236223" w:rsidRDefault="00236223" w:rsidP="00236223">
      <w:pPr>
        <w:pStyle w:val="PargrafodaLista"/>
        <w:numPr>
          <w:ilvl w:val="0"/>
          <w:numId w:val="12"/>
        </w:numPr>
        <w:spacing w:after="240"/>
        <w:jc w:val="both"/>
        <w:rPr>
          <w:rFonts w:ascii="Garamond" w:hAnsi="Garamond" w:cs="Times New Roman"/>
          <w:lang w:val="pt-PT"/>
        </w:rPr>
      </w:pPr>
      <w:r w:rsidRPr="00806495">
        <w:rPr>
          <w:rFonts w:ascii="Garamond" w:hAnsi="Garamond" w:cs="Times New Roman"/>
          <w:lang w:val="pt-PT"/>
        </w:rPr>
        <w:t>Neste contexto deverão ser implementadas as recomendações para a consolidação do Observatório de Género, e dar continuidade a publicações específicas de género na perspectiva do fácil acesso e uso dos dados por diferentes utilizadores.</w:t>
      </w:r>
    </w:p>
    <w:p w14:paraId="0B2F51EF" w14:textId="17CEAA77" w:rsidR="006B3186" w:rsidRPr="006B3186" w:rsidRDefault="006B3186" w:rsidP="006B3186">
      <w:pPr>
        <w:pStyle w:val="PargrafodaLista"/>
        <w:numPr>
          <w:ilvl w:val="0"/>
          <w:numId w:val="12"/>
        </w:numPr>
        <w:spacing w:after="240"/>
        <w:jc w:val="both"/>
        <w:rPr>
          <w:rFonts w:ascii="Garamond" w:hAnsi="Garamond" w:cs="Times New Roman"/>
          <w:lang w:val="pt-PT"/>
        </w:rPr>
      </w:pPr>
      <w:r>
        <w:rPr>
          <w:rFonts w:ascii="Garamond" w:hAnsi="Garamond" w:cs="Times New Roman"/>
          <w:lang w:val="pt-PT"/>
        </w:rPr>
        <w:t xml:space="preserve">O observatório de Género está organizado em indicadores de autonomia económica, autonomia na tomada de decisão e autonomia física: as transformações nas 3 dimensões são fundamentais para a igualdade de género. Será importante aprofundar a análise </w:t>
      </w:r>
      <w:proofErr w:type="spellStart"/>
      <w:r w:rsidRPr="006B3186">
        <w:rPr>
          <w:rFonts w:ascii="Garamond" w:hAnsi="Garamond" w:cs="Times New Roman"/>
          <w:lang w:val="pt-PT"/>
        </w:rPr>
        <w:t>interrelacional</w:t>
      </w:r>
      <w:proofErr w:type="spellEnd"/>
      <w:r>
        <w:rPr>
          <w:rFonts w:ascii="Garamond" w:hAnsi="Garamond" w:cs="Times New Roman"/>
          <w:lang w:val="pt-PT"/>
        </w:rPr>
        <w:t xml:space="preserve"> das autonomias, por forma a melhor compreender e visibilizar como diferentes aspectos das autonomias potenciam a igualdade de género, ou </w:t>
      </w:r>
      <w:proofErr w:type="spellStart"/>
      <w:r>
        <w:rPr>
          <w:rFonts w:ascii="Garamond" w:hAnsi="Garamond" w:cs="Times New Roman"/>
          <w:lang w:val="pt-PT"/>
        </w:rPr>
        <w:t>pelo</w:t>
      </w:r>
      <w:proofErr w:type="spellEnd"/>
      <w:r>
        <w:rPr>
          <w:rFonts w:ascii="Garamond" w:hAnsi="Garamond" w:cs="Times New Roman"/>
          <w:lang w:val="pt-PT"/>
        </w:rPr>
        <w:t xml:space="preserve"> contrário alimentam as desigualdades</w:t>
      </w:r>
      <w:r w:rsidRPr="006B3186">
        <w:rPr>
          <w:rFonts w:ascii="Garamond" w:hAnsi="Garamond" w:cs="Times New Roman"/>
          <w:lang w:val="pt-PT"/>
        </w:rPr>
        <w:t>.</w:t>
      </w:r>
    </w:p>
    <w:p w14:paraId="15913DD1" w14:textId="63AB8D09" w:rsidR="00236223" w:rsidRPr="00806495" w:rsidRDefault="00236223" w:rsidP="00236223">
      <w:pPr>
        <w:pStyle w:val="PargrafodaLista"/>
        <w:numPr>
          <w:ilvl w:val="0"/>
          <w:numId w:val="12"/>
        </w:numPr>
        <w:spacing w:after="240"/>
        <w:jc w:val="both"/>
        <w:rPr>
          <w:rFonts w:ascii="Garamond" w:hAnsi="Garamond" w:cs="Times New Roman"/>
          <w:lang w:val="pt-PT"/>
        </w:rPr>
      </w:pPr>
      <w:r w:rsidRPr="00806495">
        <w:rPr>
          <w:rFonts w:ascii="Garamond" w:hAnsi="Garamond" w:cs="Times New Roman"/>
          <w:lang w:val="pt-PT"/>
        </w:rPr>
        <w:t xml:space="preserve">Vários inquéritos estão previstos para o horizonte temporal do </w:t>
      </w:r>
      <w:proofErr w:type="spellStart"/>
      <w:r w:rsidRPr="00806495">
        <w:rPr>
          <w:rFonts w:ascii="Garamond" w:hAnsi="Garamond" w:cs="Times New Roman"/>
          <w:lang w:val="pt-PT"/>
        </w:rPr>
        <w:t>PNIG</w:t>
      </w:r>
      <w:proofErr w:type="spellEnd"/>
      <w:r w:rsidRPr="00806495">
        <w:rPr>
          <w:rFonts w:ascii="Garamond" w:hAnsi="Garamond" w:cs="Times New Roman"/>
          <w:lang w:val="pt-PT"/>
        </w:rPr>
        <w:t xml:space="preserve">, entre os quais o </w:t>
      </w:r>
      <w:proofErr w:type="spellStart"/>
      <w:r w:rsidR="00FE1548">
        <w:rPr>
          <w:rFonts w:ascii="Garamond" w:hAnsi="Garamond" w:cs="Times New Roman"/>
          <w:lang w:val="pt-PT"/>
        </w:rPr>
        <w:t>RGPH</w:t>
      </w:r>
      <w:proofErr w:type="spellEnd"/>
      <w:r w:rsidRPr="00806495">
        <w:rPr>
          <w:rFonts w:ascii="Garamond" w:hAnsi="Garamond" w:cs="Times New Roman"/>
          <w:lang w:val="pt-PT"/>
        </w:rPr>
        <w:t xml:space="preserve"> 2020, vários IMC, o Inquérito às Doenças Não Transmissíveis (</w:t>
      </w:r>
      <w:proofErr w:type="spellStart"/>
      <w:r w:rsidRPr="00806495">
        <w:rPr>
          <w:rFonts w:ascii="Garamond" w:hAnsi="Garamond" w:cs="Times New Roman"/>
          <w:lang w:val="pt-PT"/>
        </w:rPr>
        <w:t>INDT</w:t>
      </w:r>
      <w:proofErr w:type="spellEnd"/>
      <w:r w:rsidRPr="00806495">
        <w:rPr>
          <w:rFonts w:ascii="Garamond" w:hAnsi="Garamond" w:cs="Times New Roman"/>
          <w:lang w:val="pt-PT"/>
        </w:rPr>
        <w:t xml:space="preserve">), Inquérito Anual às Empresas (IAE), entre outos (ex. possivelmente inquérito ao </w:t>
      </w:r>
      <w:proofErr w:type="spellStart"/>
      <w:r w:rsidRPr="00806495">
        <w:rPr>
          <w:rFonts w:ascii="Garamond" w:hAnsi="Garamond" w:cs="Times New Roman"/>
          <w:lang w:val="pt-PT"/>
        </w:rPr>
        <w:t>setor</w:t>
      </w:r>
      <w:proofErr w:type="spellEnd"/>
      <w:r w:rsidRPr="00806495">
        <w:rPr>
          <w:rFonts w:ascii="Garamond" w:hAnsi="Garamond" w:cs="Times New Roman"/>
          <w:lang w:val="pt-PT"/>
        </w:rPr>
        <w:t xml:space="preserve"> informal). A </w:t>
      </w:r>
      <w:proofErr w:type="spellStart"/>
      <w:r w:rsidRPr="00806495">
        <w:rPr>
          <w:rFonts w:ascii="Garamond" w:hAnsi="Garamond" w:cs="Times New Roman"/>
          <w:lang w:val="pt-PT"/>
        </w:rPr>
        <w:t>transversalização</w:t>
      </w:r>
      <w:proofErr w:type="spellEnd"/>
      <w:r w:rsidRPr="00806495">
        <w:rPr>
          <w:rFonts w:ascii="Garamond" w:hAnsi="Garamond" w:cs="Times New Roman"/>
          <w:lang w:val="pt-PT"/>
        </w:rPr>
        <w:t xml:space="preserve"> do género deve ser assegurada de raiz e nas várias etapas dos inquéritos (</w:t>
      </w:r>
      <w:proofErr w:type="spellStart"/>
      <w:r w:rsidRPr="00806495">
        <w:rPr>
          <w:rFonts w:ascii="Garamond" w:hAnsi="Garamond" w:cs="Times New Roman"/>
          <w:lang w:val="pt-PT"/>
        </w:rPr>
        <w:t>conceção</w:t>
      </w:r>
      <w:proofErr w:type="spellEnd"/>
      <w:r w:rsidRPr="00806495">
        <w:rPr>
          <w:rFonts w:ascii="Garamond" w:hAnsi="Garamond" w:cs="Times New Roman"/>
          <w:lang w:val="pt-PT"/>
        </w:rPr>
        <w:t xml:space="preserve">, recolha, formação das equipas, tratamento de dados, publicações, divulgação dos dados, entre outros) garantindo a adequada desagregação de indicadores chave para a igualdade de género, bem como a inclusão de indicadores específicos de género pertinentes de acordo com o inquérito em questão.       </w:t>
      </w:r>
    </w:p>
    <w:p w14:paraId="7FFD4660" w14:textId="77777777" w:rsidR="00236223" w:rsidRPr="00806495" w:rsidRDefault="00236223" w:rsidP="00236223">
      <w:pPr>
        <w:pStyle w:val="PargrafodaLista"/>
        <w:numPr>
          <w:ilvl w:val="0"/>
          <w:numId w:val="12"/>
        </w:numPr>
        <w:spacing w:after="240"/>
        <w:jc w:val="both"/>
        <w:rPr>
          <w:rFonts w:ascii="Garamond" w:hAnsi="Garamond"/>
          <w:lang w:val="pt-PT"/>
        </w:rPr>
      </w:pPr>
      <w:r w:rsidRPr="00806495">
        <w:rPr>
          <w:rFonts w:ascii="Garamond" w:hAnsi="Garamond" w:cs="Times New Roman"/>
          <w:lang w:val="pt-PT"/>
        </w:rPr>
        <w:t xml:space="preserve">Conforme já assinalado, será importante ter em conta o género nas </w:t>
      </w:r>
      <w:r w:rsidRPr="00806495">
        <w:rPr>
          <w:rFonts w:ascii="Garamond" w:hAnsi="Garamond"/>
          <w:lang w:val="pt-PT"/>
        </w:rPr>
        <w:t xml:space="preserve">estatísticas relativas às empresas (dados desagregados por sexo datam de 2012), bem como na recolha e tratamento de dados sobre crédito, em parceria com o </w:t>
      </w:r>
      <w:proofErr w:type="spellStart"/>
      <w:r w:rsidRPr="00806495">
        <w:rPr>
          <w:rFonts w:ascii="Garamond" w:hAnsi="Garamond"/>
          <w:lang w:val="pt-PT"/>
        </w:rPr>
        <w:t>BCV</w:t>
      </w:r>
      <w:proofErr w:type="spellEnd"/>
      <w:r w:rsidRPr="00806495">
        <w:rPr>
          <w:rFonts w:ascii="Garamond" w:hAnsi="Garamond"/>
          <w:lang w:val="pt-PT"/>
        </w:rPr>
        <w:t>.</w:t>
      </w:r>
    </w:p>
    <w:p w14:paraId="3281CDB5" w14:textId="77777777" w:rsidR="00236223" w:rsidRPr="00F50054" w:rsidRDefault="00236223" w:rsidP="00236223">
      <w:pPr>
        <w:pStyle w:val="PargrafodaLista"/>
        <w:numPr>
          <w:ilvl w:val="0"/>
          <w:numId w:val="9"/>
        </w:numPr>
        <w:spacing w:after="240"/>
        <w:jc w:val="both"/>
        <w:rPr>
          <w:rFonts w:ascii="Garamond" w:hAnsi="Garamond"/>
          <w:lang w:val="pt-PT"/>
        </w:rPr>
      </w:pPr>
      <w:r w:rsidRPr="00806495">
        <w:rPr>
          <w:rFonts w:ascii="Garamond" w:hAnsi="Garamond" w:cs="Arial"/>
          <w:lang w:val="pt-BR"/>
        </w:rPr>
        <w:t xml:space="preserve">Devem ser introduzidas questões sobre a conciliação </w:t>
      </w:r>
      <w:r w:rsidRPr="00806495">
        <w:rPr>
          <w:rFonts w:ascii="Garamond" w:hAnsi="Garamond"/>
          <w:lang w:val="pt-PT"/>
        </w:rPr>
        <w:t>da vida familiar e laboral no Inquérito ao Emprego (módulo ou seção do questionário Emprego do IMC)</w:t>
      </w:r>
      <w:r>
        <w:rPr>
          <w:rFonts w:ascii="Garamond" w:hAnsi="Garamond"/>
          <w:lang w:val="pt-PT"/>
        </w:rPr>
        <w:t>. Ainda</w:t>
      </w:r>
      <w:r w:rsidRPr="00806495">
        <w:rPr>
          <w:rFonts w:ascii="Garamond" w:hAnsi="Garamond"/>
          <w:lang w:val="pt-PT"/>
        </w:rPr>
        <w:t xml:space="preserve">, </w:t>
      </w:r>
      <w:r>
        <w:rPr>
          <w:rFonts w:ascii="Garamond" w:hAnsi="Garamond"/>
          <w:lang w:val="pt-PT"/>
        </w:rPr>
        <w:t xml:space="preserve">deverá </w:t>
      </w:r>
      <w:r w:rsidRPr="00806495">
        <w:rPr>
          <w:rFonts w:ascii="Garamond" w:hAnsi="Garamond"/>
          <w:lang w:val="pt-PT"/>
        </w:rPr>
        <w:t>se perspectiva</w:t>
      </w:r>
      <w:r>
        <w:rPr>
          <w:rFonts w:ascii="Garamond" w:hAnsi="Garamond"/>
          <w:lang w:val="pt-PT"/>
        </w:rPr>
        <w:t>r</w:t>
      </w:r>
      <w:r w:rsidRPr="00806495">
        <w:rPr>
          <w:rFonts w:ascii="Garamond" w:hAnsi="Garamond"/>
          <w:lang w:val="pt-PT"/>
        </w:rPr>
        <w:t xml:space="preserve"> </w:t>
      </w:r>
      <w:r w:rsidRPr="00806495">
        <w:rPr>
          <w:rFonts w:ascii="Garamond" w:hAnsi="Garamond" w:cs="Arial"/>
          <w:lang w:val="pt-BR"/>
        </w:rPr>
        <w:t>a realização do 2º Inquérito sobre o Uso do Tempo</w:t>
      </w:r>
      <w:r>
        <w:rPr>
          <w:rFonts w:ascii="Garamond" w:hAnsi="Garamond" w:cs="Arial"/>
          <w:lang w:val="pt-BR"/>
        </w:rPr>
        <w:t xml:space="preserve"> (a realizar alinhado à avaliação da implementação do Plano Nacional de Cuidados, para a montagem do Sistema Nacional de Cuidados)</w:t>
      </w:r>
      <w:r w:rsidRPr="00806495">
        <w:rPr>
          <w:rFonts w:ascii="Garamond" w:hAnsi="Garamond" w:cs="Arial"/>
          <w:lang w:val="pt-BR"/>
        </w:rPr>
        <w:t>.</w:t>
      </w:r>
      <w:r>
        <w:rPr>
          <w:rFonts w:ascii="Garamond" w:hAnsi="Garamond" w:cs="Arial"/>
          <w:lang w:val="pt-BR"/>
        </w:rPr>
        <w:t xml:space="preserve"> </w:t>
      </w:r>
    </w:p>
    <w:p w14:paraId="38BD63E8" w14:textId="77777777" w:rsidR="00236223" w:rsidRPr="00806495" w:rsidRDefault="00236223" w:rsidP="00236223">
      <w:pPr>
        <w:pStyle w:val="PargrafodaLista"/>
        <w:numPr>
          <w:ilvl w:val="0"/>
          <w:numId w:val="9"/>
        </w:numPr>
        <w:spacing w:after="240"/>
        <w:jc w:val="both"/>
        <w:rPr>
          <w:rFonts w:ascii="Garamond" w:hAnsi="Garamond"/>
          <w:lang w:val="pt-PT"/>
        </w:rPr>
      </w:pPr>
      <w:r w:rsidRPr="00806495">
        <w:rPr>
          <w:rFonts w:ascii="Garamond" w:hAnsi="Garamond"/>
          <w:lang w:val="pt-PT"/>
        </w:rPr>
        <w:t>As capacidades do INE para introduzir a dimensão salarial e a sua análise nos inquéritos ao emprego deverão ser reforçadas.</w:t>
      </w:r>
    </w:p>
    <w:p w14:paraId="54AE9C3D" w14:textId="2737389A" w:rsidR="00236223" w:rsidRDefault="00236223" w:rsidP="00786DEC">
      <w:pPr>
        <w:pStyle w:val="PargrafodaLista"/>
        <w:numPr>
          <w:ilvl w:val="0"/>
          <w:numId w:val="35"/>
        </w:numPr>
        <w:spacing w:after="240"/>
        <w:jc w:val="both"/>
        <w:rPr>
          <w:rFonts w:ascii="Garamond" w:hAnsi="Garamond"/>
          <w:lang w:val="pt-PT"/>
        </w:rPr>
      </w:pPr>
      <w:r w:rsidRPr="00806495">
        <w:rPr>
          <w:rFonts w:ascii="Garamond" w:hAnsi="Garamond" w:cs="Times New Roman"/>
          <w:lang w:val="pt-PT"/>
        </w:rPr>
        <w:t xml:space="preserve">Será necessário elaborar e divulgar análises complementares de dados já recolhidos, nomeadamente </w:t>
      </w:r>
      <w:r w:rsidRPr="00806495">
        <w:rPr>
          <w:rFonts w:ascii="Garamond" w:hAnsi="Garamond"/>
          <w:lang w:val="pt-PT"/>
        </w:rPr>
        <w:t xml:space="preserve">dos dados do </w:t>
      </w:r>
      <w:proofErr w:type="spellStart"/>
      <w:r w:rsidRPr="00806495">
        <w:rPr>
          <w:rFonts w:ascii="Garamond" w:hAnsi="Garamond"/>
          <w:lang w:val="pt-PT"/>
        </w:rPr>
        <w:t>IDSR</w:t>
      </w:r>
      <w:proofErr w:type="spellEnd"/>
      <w:r w:rsidRPr="00806495">
        <w:rPr>
          <w:rFonts w:ascii="Garamond" w:hAnsi="Garamond"/>
          <w:lang w:val="pt-PT"/>
        </w:rPr>
        <w:t xml:space="preserve"> III (2018) - indicadores relativos à tomada de decisão no espaço privado/familiar, </w:t>
      </w:r>
      <w:proofErr w:type="spellStart"/>
      <w:r w:rsidRPr="00806495">
        <w:rPr>
          <w:rFonts w:ascii="Garamond" w:hAnsi="Garamond"/>
          <w:lang w:val="pt-PT"/>
        </w:rPr>
        <w:t>VBG</w:t>
      </w:r>
      <w:proofErr w:type="spellEnd"/>
      <w:r w:rsidRPr="00806495">
        <w:rPr>
          <w:rFonts w:ascii="Garamond" w:hAnsi="Garamond"/>
          <w:lang w:val="pt-PT"/>
        </w:rPr>
        <w:t xml:space="preserve">, </w:t>
      </w:r>
      <w:proofErr w:type="spellStart"/>
      <w:r w:rsidRPr="00806495">
        <w:rPr>
          <w:rFonts w:ascii="Garamond" w:hAnsi="Garamond"/>
          <w:lang w:val="pt-PT"/>
        </w:rPr>
        <w:t>SSR</w:t>
      </w:r>
      <w:proofErr w:type="spellEnd"/>
      <w:r w:rsidRPr="00806495">
        <w:rPr>
          <w:rFonts w:ascii="Garamond" w:hAnsi="Garamond"/>
          <w:lang w:val="pt-PT"/>
        </w:rPr>
        <w:t xml:space="preserve">, etc.; o </w:t>
      </w:r>
      <w:proofErr w:type="spellStart"/>
      <w:r w:rsidR="00FE1548">
        <w:rPr>
          <w:rFonts w:ascii="Garamond" w:hAnsi="Garamond"/>
          <w:lang w:val="pt-PT"/>
        </w:rPr>
        <w:t>RGPH</w:t>
      </w:r>
      <w:proofErr w:type="spellEnd"/>
      <w:r w:rsidRPr="00806495">
        <w:rPr>
          <w:rFonts w:ascii="Garamond" w:hAnsi="Garamond"/>
          <w:lang w:val="pt-PT"/>
        </w:rPr>
        <w:t xml:space="preserve"> 2020; entre outros.</w:t>
      </w:r>
    </w:p>
    <w:p w14:paraId="49ACABA6" w14:textId="77777777" w:rsidR="00236223" w:rsidRDefault="00236223" w:rsidP="00236223">
      <w:pPr>
        <w:jc w:val="both"/>
        <w:rPr>
          <w:rFonts w:ascii="Garamond" w:hAnsi="Garamond"/>
          <w:lang w:val="pt-PT"/>
        </w:rPr>
      </w:pPr>
      <w:r>
        <w:rPr>
          <w:rFonts w:ascii="Garamond" w:hAnsi="Garamond"/>
          <w:lang w:val="pt-PT"/>
        </w:rPr>
        <w:t xml:space="preserve">Para poder </w:t>
      </w:r>
      <w:proofErr w:type="spellStart"/>
      <w:r w:rsidRPr="00C84163">
        <w:rPr>
          <w:rFonts w:ascii="Garamond" w:hAnsi="Garamond"/>
          <w:lang w:val="pt-PT"/>
        </w:rPr>
        <w:t>transversaliza</w:t>
      </w:r>
      <w:r>
        <w:rPr>
          <w:rFonts w:ascii="Garamond" w:hAnsi="Garamond"/>
          <w:lang w:val="pt-PT"/>
        </w:rPr>
        <w:t>r</w:t>
      </w:r>
      <w:proofErr w:type="spellEnd"/>
      <w:r>
        <w:rPr>
          <w:rFonts w:ascii="Garamond" w:hAnsi="Garamond"/>
          <w:lang w:val="pt-PT"/>
        </w:rPr>
        <w:t xml:space="preserve"> </w:t>
      </w:r>
      <w:r w:rsidRPr="00C84163">
        <w:rPr>
          <w:rFonts w:ascii="Garamond" w:hAnsi="Garamond"/>
          <w:lang w:val="pt-PT"/>
        </w:rPr>
        <w:t>a igualdade de género</w:t>
      </w:r>
      <w:r>
        <w:rPr>
          <w:rFonts w:ascii="Garamond" w:hAnsi="Garamond"/>
          <w:lang w:val="pt-PT"/>
        </w:rPr>
        <w:t xml:space="preserve"> no </w:t>
      </w:r>
      <w:r w:rsidRPr="00C84163">
        <w:rPr>
          <w:rFonts w:ascii="Garamond" w:hAnsi="Garamond"/>
          <w:lang w:val="pt-PT"/>
        </w:rPr>
        <w:t xml:space="preserve">contexto do processo de regionalização, </w:t>
      </w:r>
      <w:r>
        <w:rPr>
          <w:rFonts w:ascii="Garamond" w:hAnsi="Garamond"/>
          <w:lang w:val="pt-PT"/>
        </w:rPr>
        <w:t xml:space="preserve">e em </w:t>
      </w:r>
      <w:r w:rsidRPr="00551EE3">
        <w:rPr>
          <w:rFonts w:ascii="Garamond" w:hAnsi="Garamond"/>
          <w:lang w:val="pt-PT"/>
        </w:rPr>
        <w:t xml:space="preserve">Programas como o de valorização das ilhas, </w:t>
      </w:r>
      <w:r>
        <w:rPr>
          <w:rFonts w:ascii="Garamond" w:hAnsi="Garamond"/>
          <w:lang w:val="pt-PT"/>
        </w:rPr>
        <w:t>de</w:t>
      </w:r>
      <w:r w:rsidRPr="00551EE3">
        <w:rPr>
          <w:rFonts w:ascii="Garamond" w:hAnsi="Garamond"/>
          <w:lang w:val="pt-PT"/>
        </w:rPr>
        <w:t xml:space="preserve"> crescimento económico</w:t>
      </w:r>
      <w:r>
        <w:rPr>
          <w:rFonts w:ascii="Garamond" w:hAnsi="Garamond"/>
          <w:lang w:val="pt-PT"/>
        </w:rPr>
        <w:t xml:space="preserve"> local</w:t>
      </w:r>
      <w:r w:rsidRPr="00551EE3">
        <w:rPr>
          <w:rFonts w:ascii="Garamond" w:hAnsi="Garamond"/>
          <w:lang w:val="pt-PT"/>
        </w:rPr>
        <w:t>, entre outros</w:t>
      </w:r>
      <w:r>
        <w:rPr>
          <w:rFonts w:ascii="Garamond" w:hAnsi="Garamond"/>
          <w:lang w:val="pt-PT"/>
        </w:rPr>
        <w:t xml:space="preserve"> há necessidade de p</w:t>
      </w:r>
      <w:r w:rsidRPr="00551EE3">
        <w:rPr>
          <w:rFonts w:ascii="Garamond" w:hAnsi="Garamond"/>
          <w:lang w:val="pt-PT"/>
        </w:rPr>
        <w:t xml:space="preserve">rodução de indicadores </w:t>
      </w:r>
      <w:r>
        <w:rPr>
          <w:rFonts w:ascii="Garamond" w:hAnsi="Garamond"/>
          <w:lang w:val="pt-PT"/>
        </w:rPr>
        <w:t xml:space="preserve">chave </w:t>
      </w:r>
      <w:r w:rsidRPr="00551EE3">
        <w:rPr>
          <w:rFonts w:ascii="Garamond" w:hAnsi="Garamond"/>
          <w:lang w:val="pt-PT"/>
        </w:rPr>
        <w:t>a nível</w:t>
      </w:r>
      <w:r>
        <w:rPr>
          <w:rFonts w:ascii="Garamond" w:hAnsi="Garamond"/>
          <w:lang w:val="pt-PT"/>
        </w:rPr>
        <w:t xml:space="preserve"> subnacional, para alimentar análises de género adequadas às especificidades locais (por ilha, domínio de estudo ou município, de acordo com os inquéritos específicos). Assim:</w:t>
      </w:r>
    </w:p>
    <w:p w14:paraId="0041D0D5" w14:textId="77777777" w:rsidR="00236223" w:rsidRDefault="00236223" w:rsidP="00786DEC">
      <w:pPr>
        <w:pStyle w:val="PargrafodaLista"/>
        <w:numPr>
          <w:ilvl w:val="0"/>
          <w:numId w:val="35"/>
        </w:numPr>
        <w:spacing w:after="240"/>
        <w:jc w:val="both"/>
        <w:rPr>
          <w:rFonts w:ascii="Garamond" w:hAnsi="Garamond"/>
          <w:lang w:val="pt-PT"/>
        </w:rPr>
      </w:pPr>
      <w:bookmarkStart w:id="106" w:name="_Hlk31811294"/>
      <w:r>
        <w:rPr>
          <w:rFonts w:ascii="Garamond" w:hAnsi="Garamond"/>
          <w:lang w:val="pt-PT"/>
        </w:rPr>
        <w:t>Deverá se realizar um levantamento dos indicadores que podem ser calculados a nível subnacional (municipal, domínio ou ilha), quer estejam já calculados ou não, e identificar lacunas e prioridades, nomeadamente na perspectiva da publicação de análises de género a nível subnacional.</w:t>
      </w:r>
    </w:p>
    <w:p w14:paraId="77F52077" w14:textId="77777777" w:rsidR="00236223" w:rsidRPr="006132F1" w:rsidRDefault="00236223" w:rsidP="00786DEC">
      <w:pPr>
        <w:pStyle w:val="PargrafodaLista"/>
        <w:numPr>
          <w:ilvl w:val="0"/>
          <w:numId w:val="35"/>
        </w:numPr>
        <w:spacing w:after="240"/>
        <w:jc w:val="both"/>
        <w:rPr>
          <w:rFonts w:ascii="Garamond" w:hAnsi="Garamond"/>
          <w:lang w:val="pt-PT"/>
        </w:rPr>
      </w:pPr>
      <w:r>
        <w:rPr>
          <w:rFonts w:ascii="Garamond" w:hAnsi="Garamond"/>
          <w:lang w:val="pt-PT"/>
        </w:rPr>
        <w:t xml:space="preserve">Neste âmbito, os dados sobre </w:t>
      </w:r>
      <w:r w:rsidRPr="006132F1">
        <w:rPr>
          <w:rFonts w:ascii="Garamond" w:hAnsi="Garamond"/>
          <w:lang w:val="pt-PT"/>
        </w:rPr>
        <w:t xml:space="preserve">uso do tempo </w:t>
      </w:r>
      <w:r>
        <w:rPr>
          <w:rFonts w:ascii="Garamond" w:hAnsi="Garamond"/>
          <w:lang w:val="pt-PT"/>
        </w:rPr>
        <w:t xml:space="preserve">são fundamentais, tendo em </w:t>
      </w:r>
      <w:r w:rsidRPr="006132F1">
        <w:rPr>
          <w:rFonts w:ascii="Garamond" w:hAnsi="Garamond"/>
          <w:lang w:val="pt-PT"/>
        </w:rPr>
        <w:t>conta o impacto no uso do tempo das especificidades da vi</w:t>
      </w:r>
      <w:r>
        <w:rPr>
          <w:rFonts w:ascii="Garamond" w:hAnsi="Garamond"/>
          <w:lang w:val="pt-PT"/>
        </w:rPr>
        <w:t>d</w:t>
      </w:r>
      <w:r w:rsidRPr="006132F1">
        <w:rPr>
          <w:rFonts w:ascii="Garamond" w:hAnsi="Garamond"/>
          <w:lang w:val="pt-PT"/>
        </w:rPr>
        <w:t>a no mundo rural</w:t>
      </w:r>
      <w:r>
        <w:rPr>
          <w:rFonts w:ascii="Garamond" w:hAnsi="Garamond"/>
          <w:lang w:val="pt-PT"/>
        </w:rPr>
        <w:t xml:space="preserve"> e urbano</w:t>
      </w:r>
      <w:r w:rsidRPr="006132F1">
        <w:rPr>
          <w:rFonts w:ascii="Garamond" w:hAnsi="Garamond"/>
          <w:lang w:val="pt-PT"/>
        </w:rPr>
        <w:t xml:space="preserve">, </w:t>
      </w:r>
      <w:r>
        <w:rPr>
          <w:rFonts w:ascii="Garamond" w:hAnsi="Garamond"/>
          <w:lang w:val="pt-PT"/>
        </w:rPr>
        <w:t xml:space="preserve">e </w:t>
      </w:r>
      <w:r w:rsidRPr="006132F1">
        <w:rPr>
          <w:rFonts w:ascii="Garamond" w:hAnsi="Garamond"/>
          <w:lang w:val="pt-PT"/>
        </w:rPr>
        <w:t>de acordo com o perfil socioeconómico das ilhas ou municípios, etc.</w:t>
      </w:r>
      <w:r>
        <w:rPr>
          <w:rFonts w:ascii="Garamond" w:hAnsi="Garamond"/>
          <w:lang w:val="pt-PT"/>
        </w:rPr>
        <w:t xml:space="preserve"> Assim, o próximo </w:t>
      </w:r>
      <w:proofErr w:type="spellStart"/>
      <w:r>
        <w:rPr>
          <w:rFonts w:ascii="Garamond" w:hAnsi="Garamond"/>
          <w:lang w:val="pt-PT"/>
        </w:rPr>
        <w:t>IUT</w:t>
      </w:r>
      <w:proofErr w:type="spellEnd"/>
      <w:r>
        <w:rPr>
          <w:rFonts w:ascii="Garamond" w:hAnsi="Garamond"/>
          <w:lang w:val="pt-PT"/>
        </w:rPr>
        <w:t xml:space="preserve"> deverá ser planeado para permitir um nível de desagregação de acordo com as necessidades de planificação, ou, em alternativa, deve ser estudada a possibilidade de realizar estudos de cariz mais qualitativos (ex. diários</w:t>
      </w:r>
      <w:r w:rsidRPr="006132F1">
        <w:rPr>
          <w:rFonts w:ascii="Garamond" w:hAnsi="Garamond"/>
          <w:lang w:val="pt-PT"/>
        </w:rPr>
        <w:t xml:space="preserve"> </w:t>
      </w:r>
      <w:r>
        <w:rPr>
          <w:rFonts w:ascii="Garamond" w:hAnsi="Garamond"/>
          <w:lang w:val="pt-PT"/>
        </w:rPr>
        <w:t>de uso do tempo) para suprir as necessidades de informação.</w:t>
      </w:r>
      <w:bookmarkEnd w:id="106"/>
      <w:r w:rsidRPr="006132F1">
        <w:rPr>
          <w:rFonts w:ascii="Garamond" w:hAnsi="Garamond"/>
          <w:lang w:val="pt-PT"/>
        </w:rPr>
        <w:t xml:space="preserve">   </w:t>
      </w:r>
    </w:p>
    <w:p w14:paraId="11EB7211" w14:textId="77777777" w:rsidR="00236223" w:rsidRPr="00806495" w:rsidRDefault="00236223" w:rsidP="00236223">
      <w:pPr>
        <w:jc w:val="both"/>
        <w:rPr>
          <w:rFonts w:ascii="Garamond" w:hAnsi="Garamond"/>
        </w:rPr>
      </w:pPr>
      <w:r w:rsidRPr="00806495">
        <w:rPr>
          <w:rFonts w:ascii="Garamond" w:hAnsi="Garamond"/>
          <w:lang w:val="pt-PT"/>
        </w:rPr>
        <w:t xml:space="preserve">Relativamente às capacidades sectoriais, como já referido, foi estabelecida a </w:t>
      </w:r>
      <w:r w:rsidRPr="00806495">
        <w:rPr>
          <w:rFonts w:ascii="Garamond" w:hAnsi="Garamond" w:cstheme="minorHAnsi"/>
          <w:lang w:val="pt-PT"/>
        </w:rPr>
        <w:t xml:space="preserve">Comissão Interministerial para a </w:t>
      </w:r>
      <w:proofErr w:type="spellStart"/>
      <w:r w:rsidRPr="00806495">
        <w:rPr>
          <w:rFonts w:ascii="Garamond" w:hAnsi="Garamond" w:cstheme="minorHAnsi"/>
          <w:lang w:val="pt-PT"/>
        </w:rPr>
        <w:t>Transversalização</w:t>
      </w:r>
      <w:proofErr w:type="spellEnd"/>
      <w:r w:rsidRPr="00806495">
        <w:rPr>
          <w:rFonts w:ascii="Garamond" w:hAnsi="Garamond" w:cstheme="minorHAnsi"/>
          <w:lang w:val="pt-PT"/>
        </w:rPr>
        <w:t xml:space="preserve"> da Abordagem de Género - </w:t>
      </w:r>
      <w:r w:rsidRPr="00806495">
        <w:rPr>
          <w:rFonts w:ascii="Garamond" w:hAnsi="Garamond" w:cstheme="minorHAnsi"/>
          <w:b/>
          <w:bCs/>
          <w:lang w:val="pt-PT"/>
        </w:rPr>
        <w:t>Comissão de Género</w:t>
      </w:r>
      <w:r w:rsidRPr="00806495">
        <w:rPr>
          <w:rFonts w:ascii="Garamond" w:hAnsi="Garamond" w:cstheme="minorHAnsi"/>
          <w:lang w:val="pt-PT"/>
        </w:rPr>
        <w:t xml:space="preserve">, que se </w:t>
      </w:r>
      <w:r w:rsidRPr="00806495">
        <w:rPr>
          <w:rFonts w:ascii="Garamond" w:hAnsi="Garamond"/>
          <w:lang w:val="pt-PT"/>
        </w:rPr>
        <w:t xml:space="preserve">afigura como uma enorme mais valia para a </w:t>
      </w:r>
      <w:proofErr w:type="spellStart"/>
      <w:r>
        <w:rPr>
          <w:rFonts w:ascii="Garamond" w:hAnsi="Garamond"/>
          <w:lang w:val="pt-PT"/>
        </w:rPr>
        <w:t>TG</w:t>
      </w:r>
      <w:proofErr w:type="spellEnd"/>
      <w:r w:rsidRPr="00806495">
        <w:rPr>
          <w:rFonts w:ascii="Garamond" w:hAnsi="Garamond"/>
          <w:lang w:val="pt-PT"/>
        </w:rPr>
        <w:t xml:space="preserve"> nos </w:t>
      </w:r>
      <w:proofErr w:type="spellStart"/>
      <w:r w:rsidRPr="00806495">
        <w:rPr>
          <w:rFonts w:ascii="Garamond" w:hAnsi="Garamond"/>
          <w:lang w:val="pt-PT"/>
        </w:rPr>
        <w:t>setores</w:t>
      </w:r>
      <w:proofErr w:type="spellEnd"/>
      <w:r w:rsidRPr="00806495">
        <w:rPr>
          <w:rFonts w:ascii="Garamond" w:hAnsi="Garamond"/>
          <w:lang w:val="pt-PT"/>
        </w:rPr>
        <w:t xml:space="preserve">. Da mesma forma, o estabelecimento de </w:t>
      </w:r>
      <w:r w:rsidRPr="00806495">
        <w:rPr>
          <w:rFonts w:ascii="Garamond" w:hAnsi="Garamond" w:cs="Times New Roman"/>
          <w:lang w:val="pt-PT"/>
        </w:rPr>
        <w:t>um Marcador de género para o Orçamento do Estado (OE), é um instrumento que permite d</w:t>
      </w:r>
      <w:r w:rsidRPr="00806495">
        <w:rPr>
          <w:rFonts w:ascii="Garamond" w:hAnsi="Garamond"/>
          <w:lang w:val="pt-PT"/>
        </w:rPr>
        <w:t xml:space="preserve">ar visibilidade aos investimentos feitos nas prioridades de género e seguir os progressos na </w:t>
      </w:r>
      <w:proofErr w:type="spellStart"/>
      <w:r w:rsidRPr="00806495">
        <w:rPr>
          <w:rFonts w:ascii="Garamond" w:hAnsi="Garamond"/>
          <w:lang w:val="pt-PT"/>
        </w:rPr>
        <w:t>TG</w:t>
      </w:r>
      <w:proofErr w:type="spellEnd"/>
      <w:r w:rsidRPr="00806495">
        <w:rPr>
          <w:rFonts w:ascii="Garamond" w:hAnsi="Garamond"/>
          <w:lang w:val="pt-PT"/>
        </w:rPr>
        <w:t xml:space="preserve"> nos </w:t>
      </w:r>
      <w:proofErr w:type="spellStart"/>
      <w:r w:rsidRPr="00806495">
        <w:rPr>
          <w:rFonts w:ascii="Garamond" w:hAnsi="Garamond"/>
          <w:lang w:val="pt-PT"/>
        </w:rPr>
        <w:t>setores</w:t>
      </w:r>
      <w:proofErr w:type="spellEnd"/>
      <w:r w:rsidRPr="00806495">
        <w:rPr>
          <w:rFonts w:ascii="Garamond" w:hAnsi="Garamond"/>
          <w:lang w:val="pt-PT"/>
        </w:rPr>
        <w:t xml:space="preserve">. O Marcador Orçamental é registado </w:t>
      </w:r>
      <w:proofErr w:type="spellStart"/>
      <w:r w:rsidRPr="00806495">
        <w:rPr>
          <w:rFonts w:ascii="Garamond" w:hAnsi="Garamond"/>
          <w:lang w:val="pt-PT"/>
        </w:rPr>
        <w:t>pelas</w:t>
      </w:r>
      <w:proofErr w:type="spellEnd"/>
      <w:r w:rsidRPr="00806495">
        <w:rPr>
          <w:rFonts w:ascii="Garamond" w:hAnsi="Garamond"/>
          <w:lang w:val="pt-PT"/>
        </w:rPr>
        <w:t xml:space="preserve"> </w:t>
      </w:r>
      <w:proofErr w:type="spellStart"/>
      <w:r w:rsidRPr="00806495">
        <w:rPr>
          <w:rFonts w:ascii="Garamond" w:hAnsi="Garamond"/>
          <w:lang w:val="pt-PT"/>
        </w:rPr>
        <w:t>DGPOG</w:t>
      </w:r>
      <w:proofErr w:type="spellEnd"/>
      <w:r w:rsidRPr="00806495">
        <w:rPr>
          <w:rFonts w:ascii="Garamond" w:hAnsi="Garamond"/>
          <w:lang w:val="pt-PT"/>
        </w:rPr>
        <w:t xml:space="preserve"> dos diferentes </w:t>
      </w:r>
      <w:proofErr w:type="spellStart"/>
      <w:r w:rsidRPr="00806495">
        <w:rPr>
          <w:rFonts w:ascii="Garamond" w:hAnsi="Garamond"/>
          <w:lang w:val="pt-PT"/>
        </w:rPr>
        <w:t>setores</w:t>
      </w:r>
      <w:proofErr w:type="spellEnd"/>
      <w:r w:rsidRPr="00806495">
        <w:rPr>
          <w:rFonts w:ascii="Garamond" w:hAnsi="Garamond"/>
          <w:lang w:val="pt-PT"/>
        </w:rPr>
        <w:t xml:space="preserve">, </w:t>
      </w:r>
      <w:proofErr w:type="spellStart"/>
      <w:r w:rsidRPr="00806495">
        <w:rPr>
          <w:rFonts w:ascii="Garamond" w:hAnsi="Garamond"/>
          <w:lang w:val="pt-PT"/>
        </w:rPr>
        <w:t>diretamente</w:t>
      </w:r>
      <w:proofErr w:type="spellEnd"/>
      <w:r w:rsidRPr="00806495">
        <w:rPr>
          <w:rFonts w:ascii="Garamond" w:hAnsi="Garamond"/>
          <w:lang w:val="pt-PT"/>
        </w:rPr>
        <w:t xml:space="preserve"> no </w:t>
      </w:r>
      <w:proofErr w:type="spellStart"/>
      <w:r w:rsidRPr="00806495">
        <w:rPr>
          <w:rFonts w:ascii="Garamond" w:hAnsi="Garamond"/>
          <w:lang w:val="pt-PT"/>
        </w:rPr>
        <w:t>SIGOF</w:t>
      </w:r>
      <w:proofErr w:type="spellEnd"/>
      <w:r w:rsidRPr="00806495">
        <w:rPr>
          <w:rFonts w:ascii="Garamond" w:hAnsi="Garamond"/>
          <w:lang w:val="pt-PT"/>
        </w:rPr>
        <w:t xml:space="preserve"> (Sistema Integrado de Gestão Orçamental e Financeira), sendo a classificação atribuída aos </w:t>
      </w:r>
      <w:proofErr w:type="spellStart"/>
      <w:r w:rsidRPr="00806495">
        <w:rPr>
          <w:rFonts w:ascii="Garamond" w:hAnsi="Garamond"/>
          <w:lang w:val="pt-PT"/>
        </w:rPr>
        <w:t>projetos</w:t>
      </w:r>
      <w:proofErr w:type="spellEnd"/>
      <w:r w:rsidRPr="00806495">
        <w:rPr>
          <w:rFonts w:ascii="Garamond" w:hAnsi="Garamond"/>
          <w:lang w:val="pt-PT"/>
        </w:rPr>
        <w:t xml:space="preserve">/unidades orçamentais do OE, organizados de acordo com a estrutura programática definida no </w:t>
      </w:r>
      <w:proofErr w:type="spellStart"/>
      <w:r w:rsidRPr="00806495">
        <w:rPr>
          <w:rFonts w:ascii="Garamond" w:hAnsi="Garamond"/>
          <w:lang w:val="pt-PT"/>
        </w:rPr>
        <w:t>PEDS</w:t>
      </w:r>
      <w:proofErr w:type="spellEnd"/>
      <w:r w:rsidRPr="00806495">
        <w:rPr>
          <w:rFonts w:ascii="Garamond" w:hAnsi="Garamond"/>
          <w:lang w:val="pt-PT"/>
        </w:rPr>
        <w:t>.</w:t>
      </w:r>
      <w:r w:rsidRPr="00806495">
        <w:rPr>
          <w:rStyle w:val="Refdenotaderodap"/>
          <w:rFonts w:ascii="Garamond" w:hAnsi="Garamond"/>
        </w:rPr>
        <w:footnoteReference w:id="128"/>
      </w:r>
      <w:r w:rsidRPr="00806495">
        <w:rPr>
          <w:rFonts w:ascii="Garamond" w:hAnsi="Garamond"/>
          <w:lang w:val="pt-PT"/>
        </w:rPr>
        <w:t xml:space="preserve"> De forma mais global, o sistema de seguimento do </w:t>
      </w:r>
      <w:proofErr w:type="spellStart"/>
      <w:r w:rsidRPr="00806495">
        <w:rPr>
          <w:rFonts w:ascii="Garamond" w:hAnsi="Garamond"/>
          <w:lang w:val="pt-PT"/>
        </w:rPr>
        <w:t>PEDS</w:t>
      </w:r>
      <w:proofErr w:type="spellEnd"/>
      <w:r w:rsidRPr="00806495">
        <w:rPr>
          <w:rFonts w:ascii="Garamond" w:hAnsi="Garamond"/>
          <w:lang w:val="pt-PT"/>
        </w:rPr>
        <w:t xml:space="preserve"> está sendo revisto no sentido de permitir uma planificação, seguimento e avaliação baseada em resultados: o quadro de resultados dos programas do </w:t>
      </w:r>
      <w:proofErr w:type="spellStart"/>
      <w:r w:rsidRPr="00806495">
        <w:rPr>
          <w:rFonts w:ascii="Garamond" w:hAnsi="Garamond"/>
          <w:lang w:val="pt-PT"/>
        </w:rPr>
        <w:t>PEDS</w:t>
      </w:r>
      <w:proofErr w:type="spellEnd"/>
      <w:r w:rsidRPr="00806495">
        <w:rPr>
          <w:rFonts w:ascii="Garamond" w:hAnsi="Garamond"/>
          <w:lang w:val="pt-PT"/>
        </w:rPr>
        <w:t xml:space="preserve"> foram melhorados nessa perspectiva e estão sendo elaboradas directrizes de seguimento e avaliação, bem como instrumentos e indicadores de seguimento, incluindo para seguir a qualidade das intervenções, e facilitar a elaboração regular de relatórios. De referir que o </w:t>
      </w:r>
      <w:proofErr w:type="spellStart"/>
      <w:r w:rsidRPr="00806495">
        <w:rPr>
          <w:rFonts w:ascii="Garamond" w:hAnsi="Garamond"/>
          <w:lang w:val="pt-PT"/>
        </w:rPr>
        <w:t>PEDS</w:t>
      </w:r>
      <w:proofErr w:type="spellEnd"/>
      <w:r w:rsidRPr="00806495">
        <w:rPr>
          <w:rFonts w:ascii="Garamond" w:hAnsi="Garamond"/>
          <w:lang w:val="pt-PT"/>
        </w:rPr>
        <w:t xml:space="preserve"> apresenta um forte alinhamento aos </w:t>
      </w:r>
      <w:proofErr w:type="spellStart"/>
      <w:r w:rsidRPr="00806495">
        <w:rPr>
          <w:rFonts w:ascii="Garamond" w:hAnsi="Garamond"/>
          <w:lang w:val="pt-PT"/>
        </w:rPr>
        <w:t>ODS</w:t>
      </w:r>
      <w:proofErr w:type="spellEnd"/>
      <w:r w:rsidRPr="00806495">
        <w:rPr>
          <w:rFonts w:ascii="Garamond" w:hAnsi="Garamond"/>
          <w:lang w:val="pt-PT"/>
        </w:rPr>
        <w:t xml:space="preserve">, em particular ao </w:t>
      </w:r>
      <w:proofErr w:type="spellStart"/>
      <w:r w:rsidRPr="00806495">
        <w:rPr>
          <w:rFonts w:ascii="Garamond" w:hAnsi="Garamond"/>
          <w:lang w:val="pt-PT"/>
        </w:rPr>
        <w:t>ODS</w:t>
      </w:r>
      <w:proofErr w:type="spellEnd"/>
      <w:r w:rsidRPr="00806495">
        <w:rPr>
          <w:rFonts w:ascii="Garamond" w:hAnsi="Garamond"/>
          <w:lang w:val="pt-PT"/>
        </w:rPr>
        <w:t xml:space="preserve"> 5, sendo a </w:t>
      </w:r>
      <w:proofErr w:type="spellStart"/>
      <w:r w:rsidRPr="00806495">
        <w:rPr>
          <w:rFonts w:ascii="Garamond" w:hAnsi="Garamond"/>
          <w:lang w:val="pt-PT"/>
        </w:rPr>
        <w:t>Direção</w:t>
      </w:r>
      <w:proofErr w:type="spellEnd"/>
      <w:r w:rsidRPr="00806495">
        <w:rPr>
          <w:rFonts w:ascii="Garamond" w:hAnsi="Garamond"/>
          <w:lang w:val="pt-PT"/>
        </w:rPr>
        <w:t xml:space="preserve"> Nacional do Planeamento (</w:t>
      </w:r>
      <w:proofErr w:type="spellStart"/>
      <w:r w:rsidRPr="00806495">
        <w:rPr>
          <w:rFonts w:ascii="Garamond" w:hAnsi="Garamond"/>
          <w:lang w:val="pt-PT"/>
        </w:rPr>
        <w:t>DNP</w:t>
      </w:r>
      <w:proofErr w:type="spellEnd"/>
      <w:r w:rsidRPr="00806495">
        <w:rPr>
          <w:rFonts w:ascii="Garamond" w:hAnsi="Garamond"/>
          <w:lang w:val="pt-PT"/>
        </w:rPr>
        <w:t xml:space="preserve">) responsável tanto </w:t>
      </w:r>
      <w:proofErr w:type="spellStart"/>
      <w:r w:rsidRPr="00806495">
        <w:rPr>
          <w:rFonts w:ascii="Garamond" w:hAnsi="Garamond"/>
          <w:lang w:val="pt-PT"/>
        </w:rPr>
        <w:t>pelo</w:t>
      </w:r>
      <w:proofErr w:type="spellEnd"/>
      <w:r w:rsidRPr="00806495">
        <w:rPr>
          <w:rFonts w:ascii="Garamond" w:hAnsi="Garamond"/>
          <w:lang w:val="pt-PT"/>
        </w:rPr>
        <w:t xml:space="preserve"> seguimento da implementação do </w:t>
      </w:r>
      <w:proofErr w:type="spellStart"/>
      <w:r w:rsidRPr="00806495">
        <w:rPr>
          <w:rFonts w:ascii="Garamond" w:hAnsi="Garamond"/>
          <w:lang w:val="pt-PT"/>
        </w:rPr>
        <w:t>PEDS</w:t>
      </w:r>
      <w:proofErr w:type="spellEnd"/>
      <w:r w:rsidRPr="00806495">
        <w:rPr>
          <w:rFonts w:ascii="Garamond" w:hAnsi="Garamond"/>
          <w:lang w:val="pt-PT"/>
        </w:rPr>
        <w:t xml:space="preserve">, como dos progressos na realização dos </w:t>
      </w:r>
      <w:proofErr w:type="spellStart"/>
      <w:r w:rsidRPr="00806495">
        <w:rPr>
          <w:rFonts w:ascii="Garamond" w:hAnsi="Garamond"/>
          <w:lang w:val="pt-PT"/>
        </w:rPr>
        <w:t>ODS</w:t>
      </w:r>
      <w:proofErr w:type="spellEnd"/>
      <w:r w:rsidRPr="00806495">
        <w:rPr>
          <w:rFonts w:ascii="Garamond" w:hAnsi="Garamond"/>
          <w:lang w:val="pt-PT"/>
        </w:rPr>
        <w:t xml:space="preserve">. </w:t>
      </w:r>
      <w:r w:rsidRPr="00806495">
        <w:rPr>
          <w:rFonts w:ascii="Garamond" w:hAnsi="Garamond"/>
        </w:rPr>
        <w:t xml:space="preserve">Neste </w:t>
      </w:r>
      <w:proofErr w:type="spellStart"/>
      <w:r w:rsidRPr="00806495">
        <w:rPr>
          <w:rFonts w:ascii="Garamond" w:hAnsi="Garamond"/>
        </w:rPr>
        <w:t>contexto</w:t>
      </w:r>
      <w:proofErr w:type="spellEnd"/>
      <w:r w:rsidRPr="00806495">
        <w:rPr>
          <w:rFonts w:ascii="Garamond" w:hAnsi="Garamond"/>
        </w:rPr>
        <w:t>:</w:t>
      </w:r>
    </w:p>
    <w:p w14:paraId="1083A935" w14:textId="77777777" w:rsidR="00236223" w:rsidRPr="00806495" w:rsidRDefault="00236223" w:rsidP="00786DEC">
      <w:pPr>
        <w:pStyle w:val="PargrafodaLista"/>
        <w:numPr>
          <w:ilvl w:val="0"/>
          <w:numId w:val="35"/>
        </w:numPr>
        <w:jc w:val="both"/>
        <w:rPr>
          <w:rFonts w:ascii="Times New Roman" w:hAnsi="Times New Roman"/>
          <w:lang w:val="pt-PT"/>
        </w:rPr>
      </w:pPr>
      <w:r w:rsidRPr="00806495">
        <w:rPr>
          <w:rFonts w:ascii="Garamond" w:hAnsi="Garamond"/>
          <w:lang w:val="pt-PT"/>
        </w:rPr>
        <w:t>Considerando que a Comissão de Género se encontra no início das suas funções e que os seus membros têm experiências, conhecimentos e competências diferenciadas em matéria de igualdade de</w:t>
      </w:r>
      <w:r w:rsidRPr="00806495">
        <w:rPr>
          <w:rFonts w:ascii="Times New Roman" w:hAnsi="Times New Roman"/>
          <w:lang w:val="pt-PT"/>
        </w:rPr>
        <w:t xml:space="preserve"> </w:t>
      </w:r>
      <w:r w:rsidRPr="00806495">
        <w:rPr>
          <w:rFonts w:ascii="Garamond" w:hAnsi="Garamond"/>
          <w:lang w:val="pt-PT"/>
        </w:rPr>
        <w:t xml:space="preserve">género e </w:t>
      </w:r>
      <w:proofErr w:type="spellStart"/>
      <w:r w:rsidRPr="00806495">
        <w:rPr>
          <w:rFonts w:ascii="Garamond" w:hAnsi="Garamond"/>
          <w:lang w:val="pt-PT"/>
        </w:rPr>
        <w:t>TG</w:t>
      </w:r>
      <w:proofErr w:type="spellEnd"/>
      <w:r w:rsidRPr="00806495">
        <w:rPr>
          <w:rFonts w:ascii="Garamond" w:hAnsi="Garamond"/>
          <w:lang w:val="pt-PT"/>
        </w:rPr>
        <w:t xml:space="preserve">, é fundamental o reforço das suas capacidades para o cabal cumprimento das suas atribuições. Em particular, para um melhor conhecimento dos métodos e instrumentos para a </w:t>
      </w:r>
      <w:proofErr w:type="spellStart"/>
      <w:r w:rsidRPr="00806495">
        <w:rPr>
          <w:rFonts w:ascii="Garamond" w:hAnsi="Garamond"/>
          <w:lang w:val="pt-PT"/>
        </w:rPr>
        <w:t>TG</w:t>
      </w:r>
      <w:proofErr w:type="spellEnd"/>
      <w:r w:rsidRPr="00806495">
        <w:rPr>
          <w:rFonts w:ascii="Garamond" w:hAnsi="Garamond"/>
          <w:lang w:val="pt-PT"/>
        </w:rPr>
        <w:t xml:space="preserve">, e da situação e prioridades de género dos </w:t>
      </w:r>
      <w:proofErr w:type="spellStart"/>
      <w:r w:rsidRPr="00806495">
        <w:rPr>
          <w:rFonts w:ascii="Garamond" w:hAnsi="Garamond"/>
          <w:lang w:val="pt-PT"/>
        </w:rPr>
        <w:t>respetivos</w:t>
      </w:r>
      <w:proofErr w:type="spellEnd"/>
      <w:r w:rsidRPr="00806495">
        <w:rPr>
          <w:rFonts w:ascii="Garamond" w:hAnsi="Garamond"/>
          <w:lang w:val="pt-PT"/>
        </w:rPr>
        <w:t xml:space="preserve"> sectores. </w:t>
      </w:r>
    </w:p>
    <w:p w14:paraId="25FEFE1E" w14:textId="77777777" w:rsidR="00236223" w:rsidRPr="00806495" w:rsidRDefault="00236223" w:rsidP="00786DEC">
      <w:pPr>
        <w:pStyle w:val="PargrafodaLista"/>
        <w:numPr>
          <w:ilvl w:val="0"/>
          <w:numId w:val="35"/>
        </w:numPr>
        <w:jc w:val="both"/>
        <w:rPr>
          <w:rFonts w:ascii="Times New Roman" w:hAnsi="Times New Roman"/>
          <w:lang w:val="pt-PT"/>
        </w:rPr>
      </w:pPr>
      <w:r w:rsidRPr="00806495">
        <w:rPr>
          <w:rFonts w:ascii="Garamond" w:hAnsi="Garamond"/>
          <w:lang w:val="pt-PT"/>
        </w:rPr>
        <w:t>A Comissão de Género precisará por outro lado de definir processos e instrumentos de trabalho para o seguimento da política de género no país (</w:t>
      </w:r>
      <w:proofErr w:type="spellStart"/>
      <w:r w:rsidRPr="00806495">
        <w:rPr>
          <w:rFonts w:ascii="Garamond" w:hAnsi="Garamond"/>
          <w:lang w:val="pt-PT"/>
        </w:rPr>
        <w:t>PEDS</w:t>
      </w:r>
      <w:proofErr w:type="spellEnd"/>
      <w:r w:rsidRPr="00806495">
        <w:rPr>
          <w:rFonts w:ascii="Garamond" w:hAnsi="Garamond"/>
          <w:lang w:val="pt-PT"/>
        </w:rPr>
        <w:t xml:space="preserve">, planos estratégicos e programas de cada sector) e para a elaboração anual de um relatório sobre a situação da </w:t>
      </w:r>
      <w:proofErr w:type="spellStart"/>
      <w:r w:rsidRPr="00806495">
        <w:rPr>
          <w:rFonts w:ascii="Garamond" w:hAnsi="Garamond"/>
          <w:lang w:val="pt-PT"/>
        </w:rPr>
        <w:t>TG</w:t>
      </w:r>
      <w:proofErr w:type="spellEnd"/>
      <w:r w:rsidRPr="00806495">
        <w:rPr>
          <w:rFonts w:ascii="Garamond" w:hAnsi="Garamond"/>
          <w:lang w:val="pt-PT"/>
        </w:rPr>
        <w:t xml:space="preserve">. Os instrumentos de apoio à Comissão de Género deverão ser desenvolvidos e realizadas reuniões </w:t>
      </w:r>
      <w:proofErr w:type="spellStart"/>
      <w:r w:rsidRPr="00806495">
        <w:rPr>
          <w:rFonts w:ascii="Garamond" w:hAnsi="Garamond"/>
          <w:lang w:val="pt-PT"/>
        </w:rPr>
        <w:t>setoriais</w:t>
      </w:r>
      <w:proofErr w:type="spellEnd"/>
      <w:r w:rsidRPr="00806495">
        <w:rPr>
          <w:rFonts w:ascii="Garamond" w:hAnsi="Garamond"/>
          <w:lang w:val="pt-PT"/>
        </w:rPr>
        <w:t xml:space="preserve"> de lançamento da implementação do </w:t>
      </w:r>
      <w:proofErr w:type="spellStart"/>
      <w:r w:rsidRPr="00806495">
        <w:rPr>
          <w:rFonts w:ascii="Garamond" w:hAnsi="Garamond"/>
          <w:lang w:val="pt-PT"/>
        </w:rPr>
        <w:t>PNIG</w:t>
      </w:r>
      <w:proofErr w:type="spellEnd"/>
      <w:r w:rsidRPr="00806495">
        <w:rPr>
          <w:rFonts w:ascii="Garamond" w:hAnsi="Garamond"/>
          <w:lang w:val="pt-PT"/>
        </w:rPr>
        <w:t xml:space="preserve">, para assegurar a apropriação dos vários departamentos das medidas do </w:t>
      </w:r>
      <w:proofErr w:type="spellStart"/>
      <w:r w:rsidRPr="00806495">
        <w:rPr>
          <w:rFonts w:ascii="Garamond" w:hAnsi="Garamond"/>
          <w:lang w:val="pt-PT"/>
        </w:rPr>
        <w:t>PNIG</w:t>
      </w:r>
      <w:proofErr w:type="spellEnd"/>
      <w:r w:rsidRPr="00806495">
        <w:rPr>
          <w:rFonts w:ascii="Garamond" w:hAnsi="Garamond"/>
          <w:lang w:val="pt-PT"/>
        </w:rPr>
        <w:t xml:space="preserve"> que estão sob a responsabilidade do seu </w:t>
      </w:r>
      <w:proofErr w:type="spellStart"/>
      <w:r w:rsidRPr="00806495">
        <w:rPr>
          <w:rFonts w:ascii="Garamond" w:hAnsi="Garamond"/>
          <w:lang w:val="pt-PT"/>
        </w:rPr>
        <w:t>setor</w:t>
      </w:r>
      <w:proofErr w:type="spellEnd"/>
      <w:r w:rsidRPr="00806495">
        <w:rPr>
          <w:rFonts w:ascii="Garamond" w:hAnsi="Garamond"/>
          <w:lang w:val="pt-PT"/>
        </w:rPr>
        <w:t xml:space="preserve">, bem como das recomendações da </w:t>
      </w:r>
      <w:proofErr w:type="spellStart"/>
      <w:r w:rsidRPr="00806495">
        <w:rPr>
          <w:rFonts w:ascii="Garamond" w:hAnsi="Garamond"/>
          <w:lang w:val="pt-PT"/>
        </w:rPr>
        <w:t>CEDAW</w:t>
      </w:r>
      <w:proofErr w:type="spellEnd"/>
      <w:r w:rsidRPr="00806495">
        <w:rPr>
          <w:rFonts w:ascii="Garamond" w:hAnsi="Garamond"/>
          <w:lang w:val="pt-PT"/>
        </w:rPr>
        <w:t xml:space="preserve"> para a implementação das quais deverá contribuir, sessões que deverão incidir sobre a planificação das </w:t>
      </w:r>
      <w:proofErr w:type="spellStart"/>
      <w:r w:rsidRPr="00806495">
        <w:rPr>
          <w:rFonts w:ascii="Garamond" w:hAnsi="Garamond"/>
          <w:lang w:val="pt-PT"/>
        </w:rPr>
        <w:t>ações</w:t>
      </w:r>
      <w:proofErr w:type="spellEnd"/>
      <w:r w:rsidRPr="00806495">
        <w:rPr>
          <w:rFonts w:ascii="Garamond" w:hAnsi="Garamond"/>
          <w:lang w:val="pt-PT"/>
        </w:rPr>
        <w:t xml:space="preserve"> e, periodicamente, de revisão dos progressos.  </w:t>
      </w:r>
    </w:p>
    <w:p w14:paraId="426790A7" w14:textId="77777777" w:rsidR="00236223" w:rsidRPr="007140B9" w:rsidRDefault="00236223" w:rsidP="00786DEC">
      <w:pPr>
        <w:pStyle w:val="PargrafodaLista"/>
        <w:numPr>
          <w:ilvl w:val="0"/>
          <w:numId w:val="35"/>
        </w:numPr>
        <w:jc w:val="both"/>
        <w:rPr>
          <w:rFonts w:ascii="Times New Roman" w:hAnsi="Times New Roman"/>
          <w:lang w:val="pt-PT"/>
        </w:rPr>
      </w:pPr>
      <w:r w:rsidRPr="007140B9">
        <w:rPr>
          <w:rFonts w:ascii="Garamond" w:hAnsi="Garamond"/>
          <w:lang w:val="pt-PT"/>
        </w:rPr>
        <w:t xml:space="preserve">O lançamento do </w:t>
      </w:r>
      <w:proofErr w:type="spellStart"/>
      <w:r w:rsidRPr="007140B9">
        <w:rPr>
          <w:rFonts w:ascii="Garamond" w:hAnsi="Garamond"/>
          <w:lang w:val="pt-PT"/>
        </w:rPr>
        <w:t>PNIG</w:t>
      </w:r>
      <w:proofErr w:type="spellEnd"/>
      <w:r w:rsidRPr="007140B9">
        <w:rPr>
          <w:rFonts w:ascii="Garamond" w:hAnsi="Garamond"/>
          <w:lang w:val="pt-PT"/>
        </w:rPr>
        <w:t xml:space="preserve">, enquanto política de </w:t>
      </w:r>
      <w:proofErr w:type="spellStart"/>
      <w:r w:rsidRPr="007140B9">
        <w:rPr>
          <w:rFonts w:ascii="Garamond" w:hAnsi="Garamond"/>
          <w:lang w:val="pt-PT"/>
        </w:rPr>
        <w:t>TG</w:t>
      </w:r>
      <w:proofErr w:type="spellEnd"/>
      <w:r w:rsidRPr="007140B9">
        <w:rPr>
          <w:rFonts w:ascii="Garamond" w:hAnsi="Garamond"/>
          <w:lang w:val="pt-PT"/>
        </w:rPr>
        <w:t>, deve tamb</w:t>
      </w:r>
      <w:r>
        <w:rPr>
          <w:rFonts w:ascii="Garamond" w:hAnsi="Garamond"/>
          <w:lang w:val="pt-PT"/>
        </w:rPr>
        <w:t>é</w:t>
      </w:r>
      <w:r w:rsidRPr="007140B9">
        <w:rPr>
          <w:rFonts w:ascii="Garamond" w:hAnsi="Garamond"/>
          <w:lang w:val="pt-PT"/>
        </w:rPr>
        <w:t xml:space="preserve">m ser perspectivado junto de todos os gestores de programas do </w:t>
      </w:r>
      <w:proofErr w:type="spellStart"/>
      <w:r w:rsidRPr="007140B9">
        <w:rPr>
          <w:rFonts w:ascii="Garamond" w:hAnsi="Garamond"/>
          <w:lang w:val="pt-PT"/>
        </w:rPr>
        <w:t>PEDS</w:t>
      </w:r>
      <w:proofErr w:type="spellEnd"/>
      <w:r w:rsidRPr="007140B9">
        <w:rPr>
          <w:rFonts w:ascii="Garamond" w:hAnsi="Garamond"/>
          <w:lang w:val="pt-PT"/>
        </w:rPr>
        <w:t xml:space="preserve">, </w:t>
      </w:r>
      <w:r>
        <w:rPr>
          <w:rFonts w:ascii="Garamond" w:hAnsi="Garamond"/>
          <w:lang w:val="pt-PT"/>
        </w:rPr>
        <w:t xml:space="preserve">sendo feito um trabalho prático de integração das prioridades traçadas no </w:t>
      </w:r>
      <w:proofErr w:type="spellStart"/>
      <w:r>
        <w:rPr>
          <w:rFonts w:ascii="Garamond" w:hAnsi="Garamond"/>
          <w:lang w:val="pt-PT"/>
        </w:rPr>
        <w:t>PNIG</w:t>
      </w:r>
      <w:proofErr w:type="spellEnd"/>
      <w:r>
        <w:rPr>
          <w:rFonts w:ascii="Garamond" w:hAnsi="Garamond"/>
          <w:lang w:val="pt-PT"/>
        </w:rPr>
        <w:t xml:space="preserve"> nos Programas do </w:t>
      </w:r>
      <w:proofErr w:type="spellStart"/>
      <w:r>
        <w:rPr>
          <w:rFonts w:ascii="Garamond" w:hAnsi="Garamond"/>
          <w:lang w:val="pt-PT"/>
        </w:rPr>
        <w:t>PEDS</w:t>
      </w:r>
      <w:proofErr w:type="spellEnd"/>
      <w:r>
        <w:rPr>
          <w:rFonts w:ascii="Garamond" w:hAnsi="Garamond"/>
          <w:lang w:val="pt-PT"/>
        </w:rPr>
        <w:t>, em conjunto com os membros sectoriais da CG, para posterior acompanhamento com os sectores responsáveis.</w:t>
      </w:r>
    </w:p>
    <w:p w14:paraId="1A2522A6" w14:textId="77777777" w:rsidR="00236223" w:rsidRPr="007140B9" w:rsidRDefault="00236223" w:rsidP="00786DEC">
      <w:pPr>
        <w:pStyle w:val="PargrafodaLista"/>
        <w:numPr>
          <w:ilvl w:val="0"/>
          <w:numId w:val="35"/>
        </w:numPr>
        <w:jc w:val="both"/>
        <w:rPr>
          <w:rFonts w:ascii="Times New Roman" w:hAnsi="Times New Roman"/>
          <w:lang w:val="pt-PT"/>
        </w:rPr>
      </w:pPr>
      <w:r w:rsidRPr="00806495">
        <w:rPr>
          <w:rFonts w:ascii="Garamond" w:hAnsi="Garamond"/>
          <w:lang w:val="pt-PT"/>
        </w:rPr>
        <w:t xml:space="preserve">Deverá se trabalhar com a </w:t>
      </w:r>
      <w:proofErr w:type="spellStart"/>
      <w:r w:rsidRPr="00806495">
        <w:rPr>
          <w:rFonts w:ascii="Garamond" w:hAnsi="Garamond"/>
          <w:lang w:val="pt-PT"/>
        </w:rPr>
        <w:t>DNP</w:t>
      </w:r>
      <w:proofErr w:type="spellEnd"/>
      <w:r w:rsidRPr="00806495">
        <w:rPr>
          <w:rFonts w:ascii="Garamond" w:hAnsi="Garamond"/>
          <w:lang w:val="pt-PT"/>
        </w:rPr>
        <w:t xml:space="preserve"> para a </w:t>
      </w:r>
      <w:proofErr w:type="spellStart"/>
      <w:r w:rsidRPr="00806495">
        <w:rPr>
          <w:rFonts w:ascii="Garamond" w:hAnsi="Garamond"/>
          <w:lang w:val="pt-PT"/>
        </w:rPr>
        <w:t>TG</w:t>
      </w:r>
      <w:proofErr w:type="spellEnd"/>
      <w:r w:rsidRPr="00806495">
        <w:rPr>
          <w:rFonts w:ascii="Garamond" w:hAnsi="Garamond"/>
          <w:lang w:val="pt-PT"/>
        </w:rPr>
        <w:t xml:space="preserve"> no seguimento do </w:t>
      </w:r>
      <w:proofErr w:type="spellStart"/>
      <w:r w:rsidRPr="00806495">
        <w:rPr>
          <w:rFonts w:ascii="Garamond" w:hAnsi="Garamond"/>
          <w:lang w:val="pt-PT"/>
        </w:rPr>
        <w:t>PEDS</w:t>
      </w:r>
      <w:proofErr w:type="spellEnd"/>
      <w:r w:rsidRPr="00806495">
        <w:rPr>
          <w:rFonts w:ascii="Garamond" w:hAnsi="Garamond"/>
          <w:lang w:val="pt-PT"/>
        </w:rPr>
        <w:t xml:space="preserve"> e dos </w:t>
      </w:r>
      <w:proofErr w:type="spellStart"/>
      <w:r w:rsidRPr="00806495">
        <w:rPr>
          <w:rFonts w:ascii="Garamond" w:hAnsi="Garamond"/>
          <w:lang w:val="pt-PT"/>
        </w:rPr>
        <w:t>ODS</w:t>
      </w:r>
      <w:proofErr w:type="spellEnd"/>
      <w:r w:rsidRPr="00806495">
        <w:rPr>
          <w:rFonts w:ascii="Garamond" w:hAnsi="Garamond"/>
          <w:lang w:val="pt-PT"/>
        </w:rPr>
        <w:t xml:space="preserve">, tendo em conta a revisão em curso do sistema de seguimento e reportagem, bem como na avaliação dos compromissos de género do </w:t>
      </w:r>
      <w:proofErr w:type="spellStart"/>
      <w:r w:rsidRPr="00806495">
        <w:rPr>
          <w:rFonts w:ascii="Garamond" w:hAnsi="Garamond"/>
          <w:lang w:val="pt-PT"/>
        </w:rPr>
        <w:t>PEDS</w:t>
      </w:r>
      <w:proofErr w:type="spellEnd"/>
      <w:r w:rsidRPr="00806495">
        <w:rPr>
          <w:rFonts w:ascii="Garamond" w:hAnsi="Garamond"/>
          <w:lang w:val="pt-PT"/>
        </w:rPr>
        <w:t xml:space="preserve">, com vista a alimentar o próximo ciclo de planificação macro do desenvolvimento do país. De referir que uma das recomendações do Comité </w:t>
      </w:r>
      <w:proofErr w:type="spellStart"/>
      <w:r w:rsidRPr="00806495">
        <w:rPr>
          <w:rFonts w:ascii="Garamond" w:hAnsi="Garamond"/>
          <w:lang w:val="pt-PT"/>
        </w:rPr>
        <w:t>CEDAW</w:t>
      </w:r>
      <w:proofErr w:type="spellEnd"/>
      <w:r w:rsidRPr="00806495">
        <w:rPr>
          <w:rFonts w:ascii="Garamond" w:hAnsi="Garamond"/>
          <w:lang w:val="pt-PT"/>
        </w:rPr>
        <w:t xml:space="preserve"> é para a </w:t>
      </w:r>
      <w:proofErr w:type="spellStart"/>
      <w:r w:rsidRPr="00806495">
        <w:rPr>
          <w:rFonts w:ascii="Garamond" w:hAnsi="Garamond"/>
          <w:lang w:val="pt-PT"/>
        </w:rPr>
        <w:t>TG</w:t>
      </w:r>
      <w:proofErr w:type="spellEnd"/>
      <w:r w:rsidRPr="00806495">
        <w:rPr>
          <w:rFonts w:ascii="Garamond" w:hAnsi="Garamond"/>
          <w:lang w:val="pt-PT"/>
        </w:rPr>
        <w:t xml:space="preserve"> em todo o processo da implementação da Agenda 2030 para o desenvolvimento sustentável e os 17 </w:t>
      </w:r>
      <w:proofErr w:type="spellStart"/>
      <w:r w:rsidRPr="00806495">
        <w:rPr>
          <w:rFonts w:ascii="Garamond" w:hAnsi="Garamond"/>
          <w:lang w:val="pt-PT"/>
        </w:rPr>
        <w:t>ODS</w:t>
      </w:r>
      <w:proofErr w:type="spellEnd"/>
      <w:r>
        <w:rPr>
          <w:rFonts w:ascii="Garamond" w:hAnsi="Garamond"/>
          <w:lang w:val="pt-PT"/>
        </w:rPr>
        <w:t xml:space="preserve">. </w:t>
      </w:r>
      <w:r w:rsidRPr="007140B9">
        <w:rPr>
          <w:rFonts w:ascii="Garamond" w:hAnsi="Garamond"/>
          <w:lang w:val="pt-PT"/>
        </w:rPr>
        <w:t xml:space="preserve"> </w:t>
      </w:r>
    </w:p>
    <w:p w14:paraId="1DAEF4D3" w14:textId="77777777" w:rsidR="00236223" w:rsidRPr="00806495" w:rsidRDefault="00236223" w:rsidP="00786DEC">
      <w:pPr>
        <w:pStyle w:val="PargrafodaLista"/>
        <w:numPr>
          <w:ilvl w:val="0"/>
          <w:numId w:val="35"/>
        </w:numPr>
        <w:jc w:val="both"/>
        <w:rPr>
          <w:rFonts w:ascii="Garamond" w:hAnsi="Garamond"/>
          <w:lang w:val="pt-PT"/>
        </w:rPr>
      </w:pPr>
      <w:r w:rsidRPr="00806495">
        <w:rPr>
          <w:rFonts w:ascii="Garamond" w:hAnsi="Garamond"/>
          <w:lang w:val="pt-PT"/>
        </w:rPr>
        <w:t xml:space="preserve">O Marcador de Género é conhecido </w:t>
      </w:r>
      <w:proofErr w:type="spellStart"/>
      <w:r w:rsidRPr="00806495">
        <w:rPr>
          <w:rFonts w:ascii="Garamond" w:hAnsi="Garamond"/>
          <w:lang w:val="pt-PT"/>
        </w:rPr>
        <w:t>pela</w:t>
      </w:r>
      <w:proofErr w:type="spellEnd"/>
      <w:r w:rsidRPr="00806495">
        <w:rPr>
          <w:rFonts w:ascii="Garamond" w:hAnsi="Garamond"/>
          <w:lang w:val="pt-PT"/>
        </w:rPr>
        <w:t xml:space="preserve"> maioria dos </w:t>
      </w:r>
      <w:proofErr w:type="spellStart"/>
      <w:r w:rsidRPr="00806495">
        <w:rPr>
          <w:rFonts w:ascii="Garamond" w:hAnsi="Garamond"/>
          <w:lang w:val="pt-PT"/>
        </w:rPr>
        <w:t>setores</w:t>
      </w:r>
      <w:proofErr w:type="spellEnd"/>
      <w:r w:rsidRPr="00806495">
        <w:rPr>
          <w:rFonts w:ascii="Garamond" w:hAnsi="Garamond"/>
          <w:lang w:val="pt-PT"/>
        </w:rPr>
        <w:t xml:space="preserve"> entrevistados, contudo ficou clara a necessidade de maior consistência na atribuição da classificação, o que depende de um melhor entendimento do que é uma intervenção promotora da igualdade de género ou uma componente de género, sendo o seu alinhamento à política de género sem dúvida um dos critério; bem como a necessidade de um seguimento pós-classificação, para que o Marcador seja efectivamente um instrumento de melhoria da </w:t>
      </w:r>
      <w:proofErr w:type="spellStart"/>
      <w:r w:rsidRPr="00806495">
        <w:rPr>
          <w:rFonts w:ascii="Garamond" w:hAnsi="Garamond"/>
          <w:lang w:val="pt-PT"/>
        </w:rPr>
        <w:t>TG</w:t>
      </w:r>
      <w:proofErr w:type="spellEnd"/>
      <w:r w:rsidRPr="00806495">
        <w:rPr>
          <w:rFonts w:ascii="Garamond" w:hAnsi="Garamond"/>
          <w:lang w:val="pt-PT"/>
        </w:rPr>
        <w:t xml:space="preserve"> e seguimento das tendências. Assim será necessário o reforço das capacidades dos técnicos dos diferentes sectores (formação, instrumentos, mecanismos de seguimento)</w:t>
      </w:r>
      <w:r>
        <w:rPr>
          <w:rFonts w:ascii="Garamond" w:hAnsi="Garamond"/>
          <w:lang w:val="pt-PT"/>
        </w:rPr>
        <w:t xml:space="preserve">, além dos das </w:t>
      </w:r>
      <w:proofErr w:type="spellStart"/>
      <w:r>
        <w:rPr>
          <w:rFonts w:ascii="Garamond" w:hAnsi="Garamond"/>
          <w:lang w:val="pt-PT"/>
        </w:rPr>
        <w:t>DGPOGs</w:t>
      </w:r>
      <w:proofErr w:type="spellEnd"/>
      <w:r>
        <w:rPr>
          <w:rFonts w:ascii="Garamond" w:hAnsi="Garamond"/>
          <w:lang w:val="pt-PT"/>
        </w:rPr>
        <w:t>,</w:t>
      </w:r>
      <w:r w:rsidRPr="00806495">
        <w:rPr>
          <w:rFonts w:ascii="Garamond" w:hAnsi="Garamond"/>
          <w:lang w:val="pt-PT"/>
        </w:rPr>
        <w:t xml:space="preserve"> para que os </w:t>
      </w:r>
      <w:proofErr w:type="spellStart"/>
      <w:r w:rsidRPr="00806495">
        <w:rPr>
          <w:rFonts w:ascii="Garamond" w:hAnsi="Garamond"/>
          <w:lang w:val="pt-PT"/>
        </w:rPr>
        <w:t>setores</w:t>
      </w:r>
      <w:proofErr w:type="spellEnd"/>
      <w:r w:rsidRPr="00806495">
        <w:rPr>
          <w:rFonts w:ascii="Garamond" w:hAnsi="Garamond"/>
          <w:lang w:val="pt-PT"/>
        </w:rPr>
        <w:t xml:space="preserve"> possam melhor quantificar, seguir e analisar os investimentos que dedicam à igualdade de género. </w:t>
      </w:r>
    </w:p>
    <w:p w14:paraId="5BF3172C" w14:textId="77777777" w:rsidR="00236223" w:rsidRPr="00806495" w:rsidRDefault="00236223" w:rsidP="00786DEC">
      <w:pPr>
        <w:pStyle w:val="PargrafodaLista"/>
        <w:numPr>
          <w:ilvl w:val="0"/>
          <w:numId w:val="35"/>
        </w:numPr>
        <w:jc w:val="both"/>
        <w:rPr>
          <w:rFonts w:ascii="Garamond" w:hAnsi="Garamond"/>
          <w:lang w:val="pt-PT"/>
        </w:rPr>
      </w:pPr>
      <w:r w:rsidRPr="00806495">
        <w:rPr>
          <w:rFonts w:ascii="Garamond" w:hAnsi="Garamond"/>
          <w:lang w:val="pt-PT"/>
        </w:rPr>
        <w:t xml:space="preserve">Ao mesmo tempo, melhorar os mecanismos e instrumentos que permitem o seguimento dos investimentos de género no OE, dar continuidade à elaboração de relatórios de Proposta de Orçamento do Estado que contenham uma seção sobre Orçamento Sensível ao Género, enquanto se advoga </w:t>
      </w:r>
      <w:proofErr w:type="spellStart"/>
      <w:r w:rsidRPr="00806495">
        <w:rPr>
          <w:rFonts w:ascii="Garamond" w:hAnsi="Garamond"/>
          <w:lang w:val="pt-PT"/>
        </w:rPr>
        <w:t>pela</w:t>
      </w:r>
      <w:proofErr w:type="spellEnd"/>
      <w:r w:rsidRPr="00806495">
        <w:rPr>
          <w:rFonts w:ascii="Garamond" w:hAnsi="Garamond"/>
          <w:lang w:val="pt-PT"/>
        </w:rPr>
        <w:t xml:space="preserve"> aprovação de directrizes a respeito na Lei de Base do Orçamento.</w:t>
      </w:r>
    </w:p>
    <w:p w14:paraId="17CCC8A1" w14:textId="77777777" w:rsidR="00236223" w:rsidRPr="003B2950" w:rsidRDefault="00236223" w:rsidP="00786DEC">
      <w:pPr>
        <w:pStyle w:val="PargrafodaLista"/>
        <w:numPr>
          <w:ilvl w:val="0"/>
          <w:numId w:val="35"/>
        </w:numPr>
        <w:spacing w:after="240"/>
        <w:ind w:left="714" w:hanging="357"/>
        <w:contextualSpacing w:val="0"/>
        <w:jc w:val="both"/>
        <w:rPr>
          <w:rFonts w:ascii="Garamond" w:hAnsi="Garamond"/>
          <w:lang w:val="pt-PT"/>
        </w:rPr>
      </w:pPr>
      <w:r w:rsidRPr="00806495">
        <w:rPr>
          <w:rFonts w:ascii="Garamond" w:hAnsi="Garamond"/>
          <w:lang w:val="pt-PT"/>
        </w:rPr>
        <w:t xml:space="preserve">A fiscalização da implementação dos compromissos de género do OE é outra vertente, que deve envolver todos os </w:t>
      </w:r>
      <w:proofErr w:type="spellStart"/>
      <w:r w:rsidRPr="00806495">
        <w:rPr>
          <w:rFonts w:ascii="Garamond" w:hAnsi="Garamond"/>
          <w:lang w:val="pt-PT"/>
        </w:rPr>
        <w:t>atores</w:t>
      </w:r>
      <w:proofErr w:type="spellEnd"/>
      <w:r w:rsidRPr="00806495">
        <w:rPr>
          <w:rFonts w:ascii="Garamond" w:hAnsi="Garamond"/>
          <w:lang w:val="pt-PT"/>
        </w:rPr>
        <w:t xml:space="preserve"> que trabalham neste domínio, em particular as </w:t>
      </w:r>
      <w:proofErr w:type="spellStart"/>
      <w:r w:rsidRPr="00806495">
        <w:rPr>
          <w:rFonts w:ascii="Garamond" w:hAnsi="Garamond"/>
          <w:lang w:val="pt-PT"/>
        </w:rPr>
        <w:t>OSC</w:t>
      </w:r>
      <w:proofErr w:type="spellEnd"/>
      <w:r w:rsidRPr="00806495">
        <w:rPr>
          <w:rFonts w:ascii="Garamond" w:hAnsi="Garamond"/>
          <w:lang w:val="pt-PT"/>
        </w:rPr>
        <w:t xml:space="preserve">. O que implica literacia na análise dos OE, o conhecimento do ciclo orçamental e identificação de oportunidades para participação. </w:t>
      </w:r>
    </w:p>
    <w:p w14:paraId="26399391" w14:textId="77777777" w:rsidR="00236223" w:rsidRPr="00806495" w:rsidRDefault="00236223" w:rsidP="00236223">
      <w:pPr>
        <w:jc w:val="both"/>
        <w:rPr>
          <w:rFonts w:ascii="Garamond" w:hAnsi="Garamond"/>
          <w:lang w:val="pt-PT"/>
        </w:rPr>
      </w:pPr>
      <w:r w:rsidRPr="00806495">
        <w:rPr>
          <w:rFonts w:ascii="Garamond" w:hAnsi="Garamond"/>
          <w:lang w:val="pt-PT"/>
        </w:rPr>
        <w:t xml:space="preserve">Relativamente às capacidades municipais, o Programa plataformas para a localização dos </w:t>
      </w:r>
      <w:proofErr w:type="spellStart"/>
      <w:r w:rsidRPr="00806495">
        <w:rPr>
          <w:rFonts w:ascii="Garamond" w:hAnsi="Garamond"/>
          <w:lang w:val="pt-PT"/>
        </w:rPr>
        <w:t>ODS</w:t>
      </w:r>
      <w:proofErr w:type="spellEnd"/>
      <w:r w:rsidRPr="00806495">
        <w:rPr>
          <w:rFonts w:ascii="Garamond" w:hAnsi="Garamond"/>
          <w:lang w:val="pt-PT"/>
        </w:rPr>
        <w:t xml:space="preserve"> (plataformas de </w:t>
      </w:r>
      <w:proofErr w:type="spellStart"/>
      <w:r w:rsidRPr="00806495">
        <w:rPr>
          <w:rFonts w:ascii="Garamond" w:hAnsi="Garamond"/>
          <w:lang w:val="pt-PT"/>
        </w:rPr>
        <w:t>atores</w:t>
      </w:r>
      <w:proofErr w:type="spellEnd"/>
      <w:r w:rsidRPr="00806495">
        <w:rPr>
          <w:rFonts w:ascii="Garamond" w:hAnsi="Garamond"/>
          <w:lang w:val="pt-PT"/>
        </w:rPr>
        <w:t xml:space="preserve"> locais) vem reforçando as capacidades de planificação estratégica, integrando uma abordagem transversal de género. Os Planos Estratégicos Municipais para o Desenvolvimento Sustentável (</w:t>
      </w:r>
      <w:proofErr w:type="spellStart"/>
      <w:r w:rsidRPr="00806495">
        <w:rPr>
          <w:rFonts w:ascii="Garamond" w:hAnsi="Garamond"/>
          <w:lang w:val="pt-PT"/>
        </w:rPr>
        <w:t>PEMDS</w:t>
      </w:r>
      <w:proofErr w:type="spellEnd"/>
      <w:r w:rsidRPr="00806495">
        <w:rPr>
          <w:rFonts w:ascii="Garamond" w:hAnsi="Garamond"/>
          <w:lang w:val="pt-PT"/>
        </w:rPr>
        <w:t xml:space="preserve">) são elaborados com base num diagnóstico participativo, que inclui um diagnóstico de género; as matrizes dos </w:t>
      </w:r>
      <w:proofErr w:type="spellStart"/>
      <w:r w:rsidRPr="00806495">
        <w:rPr>
          <w:rFonts w:ascii="Garamond" w:hAnsi="Garamond"/>
          <w:lang w:val="pt-PT"/>
        </w:rPr>
        <w:t>PEMDS</w:t>
      </w:r>
      <w:proofErr w:type="spellEnd"/>
      <w:r w:rsidRPr="00806495">
        <w:rPr>
          <w:rFonts w:ascii="Garamond" w:hAnsi="Garamond"/>
          <w:lang w:val="pt-PT"/>
        </w:rPr>
        <w:t xml:space="preserve"> incorporam os 5 pilares para o desenvolvimento sustentável, a saber: (a) Desenvolvimento Económico Local e Emprego; (b) Serviços sociais; (c) Gestão ambiental e de risco; (d) Governança e Descentralização; (e) Promoção da Igualdade de Género. Para cada pilar são desenvolvidos programas </w:t>
      </w:r>
      <w:proofErr w:type="spellStart"/>
      <w:r w:rsidRPr="00806495">
        <w:rPr>
          <w:rFonts w:ascii="Garamond" w:hAnsi="Garamond"/>
          <w:lang w:val="pt-PT"/>
        </w:rPr>
        <w:t>suscetíveis</w:t>
      </w:r>
      <w:proofErr w:type="spellEnd"/>
      <w:r w:rsidRPr="00806495">
        <w:rPr>
          <w:rFonts w:ascii="Garamond" w:hAnsi="Garamond"/>
          <w:lang w:val="pt-PT"/>
        </w:rPr>
        <w:t xml:space="preserve"> de dar resposta aos desafios identificados, que são operacionalizados em </w:t>
      </w:r>
      <w:proofErr w:type="spellStart"/>
      <w:r w:rsidRPr="00806495">
        <w:rPr>
          <w:rFonts w:ascii="Garamond" w:hAnsi="Garamond"/>
          <w:lang w:val="pt-PT"/>
        </w:rPr>
        <w:t>projetos</w:t>
      </w:r>
      <w:proofErr w:type="spellEnd"/>
      <w:r w:rsidRPr="00806495">
        <w:rPr>
          <w:rFonts w:ascii="Garamond" w:hAnsi="Garamond"/>
          <w:lang w:val="pt-PT"/>
        </w:rPr>
        <w:t xml:space="preserve">. Existe uma recomendação no sentido de </w:t>
      </w:r>
      <w:proofErr w:type="spellStart"/>
      <w:r w:rsidRPr="00806495">
        <w:rPr>
          <w:rFonts w:ascii="Garamond" w:hAnsi="Garamond"/>
          <w:lang w:val="pt-PT"/>
        </w:rPr>
        <w:t>pelo</w:t>
      </w:r>
      <w:proofErr w:type="spellEnd"/>
      <w:r w:rsidRPr="00806495">
        <w:rPr>
          <w:rFonts w:ascii="Garamond" w:hAnsi="Garamond"/>
          <w:lang w:val="pt-PT"/>
        </w:rPr>
        <w:t xml:space="preserve"> menos um </w:t>
      </w:r>
      <w:proofErr w:type="spellStart"/>
      <w:r w:rsidRPr="00806495">
        <w:rPr>
          <w:rFonts w:ascii="Garamond" w:hAnsi="Garamond"/>
          <w:lang w:val="pt-PT"/>
        </w:rPr>
        <w:t>projeto</w:t>
      </w:r>
      <w:proofErr w:type="spellEnd"/>
      <w:r w:rsidRPr="00806495">
        <w:rPr>
          <w:rFonts w:ascii="Garamond" w:hAnsi="Garamond"/>
          <w:lang w:val="pt-PT"/>
        </w:rPr>
        <w:t xml:space="preserve"> em cada um dos 4 primeiros pilares, seja de promoção da igualdade de género. Para cada programa são assinalados os </w:t>
      </w:r>
      <w:proofErr w:type="spellStart"/>
      <w:r w:rsidRPr="00806495">
        <w:rPr>
          <w:rFonts w:ascii="Garamond" w:hAnsi="Garamond"/>
          <w:lang w:val="pt-PT"/>
        </w:rPr>
        <w:t>ODS</w:t>
      </w:r>
      <w:proofErr w:type="spellEnd"/>
      <w:r w:rsidRPr="00806495">
        <w:rPr>
          <w:rFonts w:ascii="Garamond" w:hAnsi="Garamond"/>
          <w:lang w:val="pt-PT"/>
        </w:rPr>
        <w:t xml:space="preserve"> para os quais contribuem, bem como os programas correspondentes do </w:t>
      </w:r>
      <w:proofErr w:type="spellStart"/>
      <w:r w:rsidRPr="00806495">
        <w:rPr>
          <w:rFonts w:ascii="Garamond" w:hAnsi="Garamond"/>
          <w:lang w:val="pt-PT"/>
        </w:rPr>
        <w:t>PEDS</w:t>
      </w:r>
      <w:proofErr w:type="spellEnd"/>
      <w:r w:rsidRPr="00806495">
        <w:rPr>
          <w:rFonts w:ascii="Garamond" w:hAnsi="Garamond"/>
          <w:lang w:val="pt-PT"/>
        </w:rPr>
        <w:t xml:space="preserve">, no sentido de facilitar o diálogo e articulação com o nível nacional e </w:t>
      </w:r>
      <w:proofErr w:type="spellStart"/>
      <w:r w:rsidRPr="00806495">
        <w:rPr>
          <w:rFonts w:ascii="Garamond" w:hAnsi="Garamond"/>
          <w:lang w:val="pt-PT"/>
        </w:rPr>
        <w:t>setores</w:t>
      </w:r>
      <w:proofErr w:type="spellEnd"/>
      <w:r w:rsidRPr="00806495">
        <w:rPr>
          <w:rFonts w:ascii="Garamond" w:hAnsi="Garamond"/>
          <w:lang w:val="pt-PT"/>
        </w:rPr>
        <w:t xml:space="preserve"> relevantes para a implementação. O Guia Prático para a Localização dos </w:t>
      </w:r>
      <w:proofErr w:type="spellStart"/>
      <w:r w:rsidRPr="00806495">
        <w:rPr>
          <w:rFonts w:ascii="Garamond" w:hAnsi="Garamond"/>
          <w:lang w:val="pt-PT"/>
        </w:rPr>
        <w:t>ODS</w:t>
      </w:r>
      <w:proofErr w:type="spellEnd"/>
      <w:r w:rsidRPr="00806495">
        <w:rPr>
          <w:rFonts w:ascii="Garamond" w:hAnsi="Garamond"/>
          <w:lang w:val="pt-PT"/>
        </w:rPr>
        <w:t xml:space="preserve"> e Planificação Estratégica Municipal contem uma seção específica sobre a </w:t>
      </w:r>
      <w:proofErr w:type="spellStart"/>
      <w:r w:rsidRPr="00806495">
        <w:rPr>
          <w:rFonts w:ascii="Garamond" w:hAnsi="Garamond"/>
          <w:lang w:val="pt-PT"/>
        </w:rPr>
        <w:t>TG</w:t>
      </w:r>
      <w:proofErr w:type="spellEnd"/>
      <w:r w:rsidRPr="00806495">
        <w:rPr>
          <w:rFonts w:ascii="Garamond" w:hAnsi="Garamond"/>
          <w:lang w:val="pt-PT"/>
        </w:rPr>
        <w:t xml:space="preserve">. Existem 9 </w:t>
      </w:r>
      <w:proofErr w:type="spellStart"/>
      <w:r w:rsidRPr="00806495">
        <w:rPr>
          <w:rFonts w:ascii="Garamond" w:hAnsi="Garamond"/>
          <w:lang w:val="pt-PT"/>
        </w:rPr>
        <w:t>PEMDS</w:t>
      </w:r>
      <w:proofErr w:type="spellEnd"/>
      <w:r w:rsidRPr="00806495">
        <w:rPr>
          <w:rFonts w:ascii="Garamond" w:hAnsi="Garamond"/>
          <w:lang w:val="pt-PT"/>
        </w:rPr>
        <w:t xml:space="preserve">, estando em desenvolvimento os dos demais municípios do país. </w:t>
      </w:r>
    </w:p>
    <w:p w14:paraId="09DEFBAB" w14:textId="77777777" w:rsidR="00236223" w:rsidRPr="00806495" w:rsidRDefault="00236223" w:rsidP="00786DEC">
      <w:pPr>
        <w:pStyle w:val="PargrafodaLista"/>
        <w:numPr>
          <w:ilvl w:val="0"/>
          <w:numId w:val="47"/>
        </w:numPr>
        <w:jc w:val="both"/>
        <w:rPr>
          <w:rFonts w:ascii="Garamond" w:hAnsi="Garamond"/>
          <w:lang w:val="pt-PT"/>
        </w:rPr>
      </w:pPr>
      <w:r w:rsidRPr="00806495">
        <w:rPr>
          <w:rFonts w:ascii="Garamond" w:hAnsi="Garamond"/>
          <w:lang w:val="pt-PT"/>
        </w:rPr>
        <w:t xml:space="preserve">Assim, os </w:t>
      </w:r>
      <w:proofErr w:type="spellStart"/>
      <w:r w:rsidRPr="00806495">
        <w:rPr>
          <w:rFonts w:ascii="Garamond" w:hAnsi="Garamond"/>
          <w:lang w:val="pt-PT"/>
        </w:rPr>
        <w:t>PEMDS</w:t>
      </w:r>
      <w:proofErr w:type="spellEnd"/>
      <w:r w:rsidRPr="00806495">
        <w:rPr>
          <w:rFonts w:ascii="Garamond" w:hAnsi="Garamond"/>
          <w:lang w:val="pt-PT"/>
        </w:rPr>
        <w:t xml:space="preserve"> podem contribuir para dar visibilidade às especificidades de género dos vários municípios do país e às condições diferenciadas de vida de mulheres e homens, tendo em conta as realidades locais, </w:t>
      </w:r>
      <w:proofErr w:type="spellStart"/>
      <w:r w:rsidRPr="00806495">
        <w:rPr>
          <w:rFonts w:ascii="Garamond" w:hAnsi="Garamond"/>
          <w:lang w:val="pt-PT"/>
        </w:rPr>
        <w:t>pelo</w:t>
      </w:r>
      <w:proofErr w:type="spellEnd"/>
      <w:r w:rsidRPr="00806495">
        <w:rPr>
          <w:rFonts w:ascii="Garamond" w:hAnsi="Garamond"/>
          <w:lang w:val="pt-PT"/>
        </w:rPr>
        <w:t xml:space="preserve"> que deve ser compilada uma publicação que reúna os diagnósticos e prioridades de género dos </w:t>
      </w:r>
      <w:proofErr w:type="spellStart"/>
      <w:r w:rsidRPr="00806495">
        <w:rPr>
          <w:rFonts w:ascii="Garamond" w:hAnsi="Garamond"/>
          <w:lang w:val="pt-PT"/>
        </w:rPr>
        <w:t>PEMDS</w:t>
      </w:r>
      <w:proofErr w:type="spellEnd"/>
      <w:r w:rsidRPr="00806495">
        <w:rPr>
          <w:rFonts w:ascii="Garamond" w:hAnsi="Garamond"/>
          <w:lang w:val="pt-PT"/>
        </w:rPr>
        <w:t>.</w:t>
      </w:r>
    </w:p>
    <w:p w14:paraId="4A69885E" w14:textId="77777777" w:rsidR="00236223" w:rsidRPr="00806495" w:rsidRDefault="00236223" w:rsidP="00786DEC">
      <w:pPr>
        <w:pStyle w:val="PargrafodaLista"/>
        <w:numPr>
          <w:ilvl w:val="0"/>
          <w:numId w:val="47"/>
        </w:numPr>
        <w:jc w:val="both"/>
        <w:rPr>
          <w:rFonts w:ascii="Garamond" w:hAnsi="Garamond"/>
          <w:lang w:val="pt-PT"/>
        </w:rPr>
      </w:pPr>
      <w:r w:rsidRPr="00806495">
        <w:rPr>
          <w:rFonts w:ascii="Garamond" w:hAnsi="Garamond"/>
          <w:lang w:val="pt-PT"/>
        </w:rPr>
        <w:t xml:space="preserve">De acordo com as prioridades locais de género, devem ser identificadas as necessidades de reforço das capacidades dos </w:t>
      </w:r>
      <w:proofErr w:type="spellStart"/>
      <w:r w:rsidRPr="00806495">
        <w:rPr>
          <w:rFonts w:ascii="Garamond" w:hAnsi="Garamond"/>
          <w:lang w:val="pt-PT"/>
        </w:rPr>
        <w:t>atores</w:t>
      </w:r>
      <w:proofErr w:type="spellEnd"/>
      <w:r w:rsidRPr="00806495">
        <w:rPr>
          <w:rFonts w:ascii="Garamond" w:hAnsi="Garamond"/>
          <w:lang w:val="pt-PT"/>
        </w:rPr>
        <w:t xml:space="preserve"> locais, incluindo para a implementação de </w:t>
      </w:r>
      <w:proofErr w:type="spellStart"/>
      <w:r w:rsidRPr="00806495">
        <w:rPr>
          <w:rFonts w:ascii="Garamond" w:hAnsi="Garamond"/>
          <w:lang w:val="pt-PT"/>
        </w:rPr>
        <w:t>projetos</w:t>
      </w:r>
      <w:proofErr w:type="spellEnd"/>
      <w:r w:rsidRPr="00806495">
        <w:rPr>
          <w:rFonts w:ascii="Garamond" w:hAnsi="Garamond"/>
          <w:lang w:val="pt-PT"/>
        </w:rPr>
        <w:t xml:space="preserve"> que dão resposta às questões de género priorizadas.</w:t>
      </w:r>
    </w:p>
    <w:p w14:paraId="4DA14F4C" w14:textId="77777777" w:rsidR="00236223" w:rsidRPr="00806495" w:rsidRDefault="00236223" w:rsidP="00786DEC">
      <w:pPr>
        <w:pStyle w:val="PargrafodaLista"/>
        <w:numPr>
          <w:ilvl w:val="0"/>
          <w:numId w:val="47"/>
        </w:numPr>
        <w:jc w:val="both"/>
        <w:rPr>
          <w:rFonts w:ascii="Garamond" w:hAnsi="Garamond"/>
          <w:lang w:val="pt-PT"/>
        </w:rPr>
      </w:pPr>
      <w:r w:rsidRPr="00806495">
        <w:rPr>
          <w:rFonts w:ascii="Garamond" w:hAnsi="Garamond"/>
          <w:lang w:val="pt-PT"/>
        </w:rPr>
        <w:t xml:space="preserve">O estabelecimento das parcerias necessárias para a implementação de projectos prioritários para a igualdade de género a nível local deve ser apoiado, bem como a mobilização de financiamento quando necessário, em conjunto com os </w:t>
      </w:r>
      <w:proofErr w:type="spellStart"/>
      <w:r w:rsidRPr="00806495">
        <w:rPr>
          <w:rFonts w:ascii="Garamond" w:hAnsi="Garamond"/>
          <w:lang w:val="pt-PT"/>
        </w:rPr>
        <w:t>atores</w:t>
      </w:r>
      <w:proofErr w:type="spellEnd"/>
      <w:r w:rsidRPr="00806495">
        <w:rPr>
          <w:rFonts w:ascii="Garamond" w:hAnsi="Garamond"/>
          <w:lang w:val="pt-PT"/>
        </w:rPr>
        <w:t xml:space="preserve"> locais, incluindo da sociedade civil.</w:t>
      </w:r>
    </w:p>
    <w:p w14:paraId="406BE596" w14:textId="77777777" w:rsidR="00236223" w:rsidRPr="00806495" w:rsidRDefault="00236223" w:rsidP="00786DEC">
      <w:pPr>
        <w:pStyle w:val="PargrafodaLista"/>
        <w:numPr>
          <w:ilvl w:val="0"/>
          <w:numId w:val="47"/>
        </w:numPr>
        <w:spacing w:after="240"/>
        <w:ind w:left="714" w:hanging="357"/>
        <w:contextualSpacing w:val="0"/>
        <w:jc w:val="both"/>
        <w:rPr>
          <w:rFonts w:ascii="Garamond" w:hAnsi="Garamond"/>
          <w:lang w:val="pt-PT"/>
        </w:rPr>
      </w:pPr>
      <w:r w:rsidRPr="00806495">
        <w:rPr>
          <w:rFonts w:ascii="Garamond" w:hAnsi="Garamond"/>
          <w:lang w:val="pt-PT"/>
        </w:rPr>
        <w:t>Devem ainda ser publicados os recursos metodológicos de género desenvolvidos e utilizados no âmbito do Programa Plataformas locais e divulgadas boas práticas.</w:t>
      </w:r>
    </w:p>
    <w:p w14:paraId="06537035" w14:textId="77777777" w:rsidR="00236223" w:rsidRPr="00806495" w:rsidRDefault="00236223" w:rsidP="00236223">
      <w:pPr>
        <w:jc w:val="both"/>
        <w:rPr>
          <w:rFonts w:ascii="Garamond" w:hAnsi="Garamond" w:cs="Times New Roman"/>
          <w:lang w:val="pt-PT"/>
        </w:rPr>
      </w:pPr>
      <w:r w:rsidRPr="00806495">
        <w:rPr>
          <w:rFonts w:ascii="Garamond" w:hAnsi="Garamond" w:cs="Times New Roman"/>
          <w:lang w:val="pt-PT"/>
        </w:rPr>
        <w:t xml:space="preserve">O </w:t>
      </w:r>
      <w:proofErr w:type="spellStart"/>
      <w:r w:rsidRPr="00806495">
        <w:rPr>
          <w:rFonts w:ascii="Garamond" w:hAnsi="Garamond" w:cs="Times New Roman"/>
          <w:lang w:val="pt-PT"/>
        </w:rPr>
        <w:t>ICIEG</w:t>
      </w:r>
      <w:proofErr w:type="spellEnd"/>
      <w:r w:rsidRPr="00806495">
        <w:rPr>
          <w:rFonts w:ascii="Garamond" w:hAnsi="Garamond" w:cs="Times New Roman"/>
          <w:lang w:val="pt-PT"/>
        </w:rPr>
        <w:t xml:space="preserve"> tem importantes responsabilidades para a efectiva </w:t>
      </w:r>
      <w:proofErr w:type="spellStart"/>
      <w:r w:rsidRPr="00806495">
        <w:rPr>
          <w:rFonts w:ascii="Garamond" w:hAnsi="Garamond" w:cs="Times New Roman"/>
          <w:lang w:val="pt-PT"/>
        </w:rPr>
        <w:t>TG</w:t>
      </w:r>
      <w:proofErr w:type="spellEnd"/>
      <w:r w:rsidRPr="00806495">
        <w:rPr>
          <w:rFonts w:ascii="Garamond" w:hAnsi="Garamond" w:cs="Times New Roman"/>
          <w:lang w:val="pt-PT"/>
        </w:rPr>
        <w:t xml:space="preserve">, em termos de coordenação, capacitação dos vários </w:t>
      </w:r>
      <w:proofErr w:type="spellStart"/>
      <w:r w:rsidRPr="00806495">
        <w:rPr>
          <w:rFonts w:ascii="Garamond" w:hAnsi="Garamond" w:cs="Times New Roman"/>
          <w:lang w:val="pt-PT"/>
        </w:rPr>
        <w:t>atores</w:t>
      </w:r>
      <w:proofErr w:type="spellEnd"/>
      <w:r w:rsidRPr="00806495">
        <w:rPr>
          <w:rFonts w:ascii="Garamond" w:hAnsi="Garamond" w:cs="Times New Roman"/>
          <w:lang w:val="pt-PT"/>
        </w:rPr>
        <w:t xml:space="preserve"> e apoio técnico, num contexto em que as demandas por competências especializadas para a </w:t>
      </w:r>
      <w:proofErr w:type="spellStart"/>
      <w:r w:rsidRPr="00806495">
        <w:rPr>
          <w:rFonts w:ascii="Garamond" w:hAnsi="Garamond" w:cs="Times New Roman"/>
          <w:lang w:val="pt-PT"/>
        </w:rPr>
        <w:t>TG</w:t>
      </w:r>
      <w:proofErr w:type="spellEnd"/>
      <w:r w:rsidRPr="00806495">
        <w:rPr>
          <w:rFonts w:ascii="Garamond" w:hAnsi="Garamond" w:cs="Times New Roman"/>
          <w:lang w:val="pt-PT"/>
        </w:rPr>
        <w:t xml:space="preserve"> em diferentes áreas temáticas vem aumentando. </w:t>
      </w:r>
    </w:p>
    <w:p w14:paraId="4A044405" w14:textId="77777777" w:rsidR="00236223" w:rsidRPr="00806495" w:rsidRDefault="00236223" w:rsidP="00786DEC">
      <w:pPr>
        <w:pStyle w:val="PargrafodaLista"/>
        <w:numPr>
          <w:ilvl w:val="0"/>
          <w:numId w:val="46"/>
        </w:numPr>
        <w:spacing w:after="240"/>
        <w:ind w:left="714" w:hanging="357"/>
        <w:jc w:val="both"/>
        <w:rPr>
          <w:rFonts w:ascii="Garamond" w:hAnsi="Garamond"/>
          <w:lang w:val="pt-PT"/>
        </w:rPr>
      </w:pPr>
      <w:r w:rsidRPr="00806495">
        <w:rPr>
          <w:rFonts w:ascii="Garamond" w:hAnsi="Garamond"/>
          <w:lang w:val="pt-PT"/>
        </w:rPr>
        <w:t xml:space="preserve">Será assim fundamental trabalhar para a disponibilidade a nível nacional de competências especializadas de género para apoiar a </w:t>
      </w:r>
      <w:proofErr w:type="spellStart"/>
      <w:r w:rsidRPr="00806495">
        <w:rPr>
          <w:rFonts w:ascii="Garamond" w:hAnsi="Garamond"/>
          <w:lang w:val="pt-PT"/>
        </w:rPr>
        <w:t>TG</w:t>
      </w:r>
      <w:proofErr w:type="spellEnd"/>
      <w:r w:rsidRPr="00806495">
        <w:rPr>
          <w:rFonts w:ascii="Garamond" w:hAnsi="Garamond"/>
          <w:lang w:val="pt-PT"/>
        </w:rPr>
        <w:t xml:space="preserve"> (ex. facilitadores de auditorias de género, análise de género, </w:t>
      </w:r>
      <w:proofErr w:type="spellStart"/>
      <w:r w:rsidRPr="00806495">
        <w:rPr>
          <w:rFonts w:ascii="Garamond" w:hAnsi="Garamond"/>
          <w:lang w:val="pt-PT"/>
        </w:rPr>
        <w:t>S&amp;A</w:t>
      </w:r>
      <w:proofErr w:type="spellEnd"/>
      <w:r w:rsidRPr="00806495">
        <w:rPr>
          <w:rFonts w:ascii="Garamond" w:hAnsi="Garamond"/>
          <w:lang w:val="pt-PT"/>
        </w:rPr>
        <w:t xml:space="preserve"> sensível ao género, orçamentação sensível a género, entre outras)  </w:t>
      </w:r>
    </w:p>
    <w:p w14:paraId="20B25873" w14:textId="77777777" w:rsidR="00236223" w:rsidRPr="00806495" w:rsidRDefault="00236223" w:rsidP="00786DEC">
      <w:pPr>
        <w:pStyle w:val="PargrafodaLista"/>
        <w:numPr>
          <w:ilvl w:val="0"/>
          <w:numId w:val="46"/>
        </w:numPr>
        <w:spacing w:after="240"/>
        <w:ind w:left="714" w:hanging="357"/>
        <w:contextualSpacing w:val="0"/>
        <w:jc w:val="both"/>
        <w:rPr>
          <w:rFonts w:ascii="Garamond" w:hAnsi="Garamond"/>
          <w:lang w:val="pt-PT"/>
        </w:rPr>
      </w:pPr>
      <w:r w:rsidRPr="00806495">
        <w:rPr>
          <w:rFonts w:ascii="Garamond" w:hAnsi="Garamond"/>
          <w:lang w:val="pt-PT"/>
        </w:rPr>
        <w:t xml:space="preserve">Também a </w:t>
      </w:r>
      <w:proofErr w:type="spellStart"/>
      <w:r w:rsidRPr="00806495">
        <w:rPr>
          <w:rFonts w:ascii="Garamond" w:hAnsi="Garamond"/>
          <w:lang w:val="pt-PT"/>
        </w:rPr>
        <w:t>DNAP</w:t>
      </w:r>
      <w:proofErr w:type="spellEnd"/>
      <w:r w:rsidRPr="00806495">
        <w:rPr>
          <w:rFonts w:ascii="Garamond" w:hAnsi="Garamond"/>
          <w:lang w:val="pt-PT"/>
        </w:rPr>
        <w:t xml:space="preserve"> poderá ter um papel chave no reforço das capacidades da Administração Pública, central e local, para a </w:t>
      </w:r>
      <w:proofErr w:type="spellStart"/>
      <w:r w:rsidRPr="00806495">
        <w:rPr>
          <w:rFonts w:ascii="Garamond" w:hAnsi="Garamond"/>
          <w:lang w:val="pt-PT"/>
        </w:rPr>
        <w:t>TG</w:t>
      </w:r>
      <w:proofErr w:type="spellEnd"/>
      <w:r w:rsidRPr="00806495">
        <w:rPr>
          <w:rFonts w:ascii="Garamond" w:hAnsi="Garamond"/>
          <w:lang w:val="pt-PT"/>
        </w:rPr>
        <w:t xml:space="preserve">, na medida em que disponibilizar módulos de formação (presencial e on-line) sobre temáticas-chave da igualdade de género, </w:t>
      </w:r>
      <w:proofErr w:type="gramStart"/>
      <w:r w:rsidRPr="00806495">
        <w:rPr>
          <w:rFonts w:ascii="Garamond" w:hAnsi="Garamond"/>
          <w:lang w:val="pt-PT"/>
        </w:rPr>
        <w:t>ao mesmo tempo que</w:t>
      </w:r>
      <w:proofErr w:type="gramEnd"/>
      <w:r w:rsidRPr="00806495">
        <w:rPr>
          <w:rFonts w:ascii="Garamond" w:hAnsi="Garamond"/>
          <w:lang w:val="pt-PT"/>
        </w:rPr>
        <w:t xml:space="preserve"> se estabelecem requisitos de formação em género para o ingresso e progresso na AP. O </w:t>
      </w:r>
      <w:proofErr w:type="spellStart"/>
      <w:r w:rsidRPr="00806495">
        <w:rPr>
          <w:rFonts w:ascii="Garamond" w:hAnsi="Garamond"/>
          <w:lang w:val="pt-PT"/>
        </w:rPr>
        <w:t>projeto</w:t>
      </w:r>
      <w:proofErr w:type="spellEnd"/>
      <w:r w:rsidRPr="00806495">
        <w:rPr>
          <w:rFonts w:ascii="Garamond" w:hAnsi="Garamond"/>
          <w:lang w:val="pt-PT"/>
        </w:rPr>
        <w:t xml:space="preserve"> para o futuro Instituto de Administração Pública deverá integrar o género de raiz. </w:t>
      </w:r>
    </w:p>
    <w:p w14:paraId="74F7E514" w14:textId="77777777" w:rsidR="00236223" w:rsidRPr="00806495" w:rsidRDefault="00236223" w:rsidP="00236223">
      <w:pPr>
        <w:jc w:val="both"/>
        <w:rPr>
          <w:rFonts w:ascii="Garamond" w:hAnsi="Garamond"/>
          <w:iCs/>
          <w:lang w:val="pt-PT"/>
        </w:rPr>
      </w:pPr>
      <w:r w:rsidRPr="00806495">
        <w:rPr>
          <w:rFonts w:ascii="Garamond" w:hAnsi="Garamond"/>
          <w:iCs/>
          <w:lang w:val="pt-PT"/>
        </w:rPr>
        <w:t xml:space="preserve">Tendo em conta a necessidade de promover a </w:t>
      </w:r>
      <w:proofErr w:type="spellStart"/>
      <w:r w:rsidRPr="00806495">
        <w:rPr>
          <w:rFonts w:ascii="Garamond" w:hAnsi="Garamond"/>
          <w:iCs/>
          <w:lang w:val="pt-PT"/>
        </w:rPr>
        <w:t>TG</w:t>
      </w:r>
      <w:proofErr w:type="spellEnd"/>
      <w:r w:rsidRPr="00806495">
        <w:rPr>
          <w:rFonts w:ascii="Garamond" w:hAnsi="Garamond"/>
          <w:iCs/>
          <w:lang w:val="pt-PT"/>
        </w:rPr>
        <w:t xml:space="preserve"> em todos as áreas, no </w:t>
      </w:r>
      <w:r w:rsidRPr="00806495">
        <w:rPr>
          <w:rFonts w:ascii="Garamond" w:hAnsi="Garamond"/>
          <w:i/>
          <w:lang w:val="pt-PT"/>
        </w:rPr>
        <w:t>Eixo 1 - Empoderamento económico e igualdade no trabalho</w:t>
      </w:r>
      <w:r w:rsidRPr="00806495">
        <w:rPr>
          <w:rFonts w:ascii="Garamond" w:hAnsi="Garamond"/>
          <w:iCs/>
          <w:lang w:val="pt-PT"/>
        </w:rPr>
        <w:t xml:space="preserve"> foram referenciadas </w:t>
      </w:r>
      <w:r>
        <w:rPr>
          <w:rFonts w:ascii="Garamond" w:hAnsi="Garamond"/>
          <w:iCs/>
          <w:lang w:val="pt-PT"/>
        </w:rPr>
        <w:t>5</w:t>
      </w:r>
      <w:r w:rsidRPr="00806495">
        <w:rPr>
          <w:rFonts w:ascii="Garamond" w:hAnsi="Garamond"/>
          <w:iCs/>
          <w:lang w:val="pt-PT"/>
        </w:rPr>
        <w:t xml:space="preserve"> medidas de </w:t>
      </w:r>
      <w:proofErr w:type="spellStart"/>
      <w:r w:rsidRPr="00806495">
        <w:rPr>
          <w:rFonts w:ascii="Garamond" w:hAnsi="Garamond"/>
          <w:iCs/>
          <w:lang w:val="pt-PT"/>
        </w:rPr>
        <w:t>TG</w:t>
      </w:r>
      <w:proofErr w:type="spellEnd"/>
      <w:r w:rsidRPr="00806495">
        <w:rPr>
          <w:rFonts w:ascii="Garamond" w:hAnsi="Garamond"/>
          <w:iCs/>
          <w:lang w:val="pt-PT"/>
        </w:rPr>
        <w:t>, nomeadamente:</w:t>
      </w:r>
    </w:p>
    <w:p w14:paraId="651C1E09" w14:textId="77777777" w:rsidR="00236223" w:rsidRDefault="00236223" w:rsidP="00786DEC">
      <w:pPr>
        <w:pStyle w:val="PargrafodaLista"/>
        <w:numPr>
          <w:ilvl w:val="0"/>
          <w:numId w:val="49"/>
        </w:numPr>
        <w:spacing w:after="240" w:line="259" w:lineRule="auto"/>
        <w:ind w:left="720"/>
        <w:jc w:val="both"/>
        <w:rPr>
          <w:rFonts w:ascii="Garamond" w:eastAsia="Times New Roman" w:hAnsi="Garamond" w:cs="Tahoma"/>
          <w:bCs/>
          <w:lang w:val="pt-PT" w:eastAsia="pt-PT"/>
        </w:rPr>
      </w:pPr>
      <w:r>
        <w:rPr>
          <w:rFonts w:ascii="Garamond" w:eastAsia="Times New Roman" w:hAnsi="Garamond" w:cs="Tahoma"/>
          <w:bCs/>
          <w:lang w:val="pt-PT" w:eastAsia="pt-PT"/>
        </w:rPr>
        <w:t xml:space="preserve">No </w:t>
      </w:r>
      <w:proofErr w:type="spellStart"/>
      <w:r>
        <w:rPr>
          <w:rFonts w:ascii="Garamond" w:eastAsia="Times New Roman" w:hAnsi="Garamond" w:cs="Tahoma"/>
          <w:bCs/>
          <w:lang w:val="pt-PT" w:eastAsia="pt-PT"/>
        </w:rPr>
        <w:t>setor</w:t>
      </w:r>
      <w:proofErr w:type="spellEnd"/>
      <w:r>
        <w:rPr>
          <w:rFonts w:ascii="Garamond" w:eastAsia="Times New Roman" w:hAnsi="Garamond" w:cs="Tahoma"/>
          <w:bCs/>
          <w:lang w:val="pt-PT" w:eastAsia="pt-PT"/>
        </w:rPr>
        <w:t xml:space="preserve"> do turismo, que já dispõe de um Plano de </w:t>
      </w:r>
      <w:proofErr w:type="spellStart"/>
      <w:r>
        <w:rPr>
          <w:rFonts w:ascii="Garamond" w:eastAsia="Times New Roman" w:hAnsi="Garamond" w:cs="Tahoma"/>
          <w:bCs/>
          <w:lang w:val="pt-PT" w:eastAsia="pt-PT"/>
        </w:rPr>
        <w:t>Transversalização</w:t>
      </w:r>
      <w:proofErr w:type="spellEnd"/>
      <w:r>
        <w:rPr>
          <w:rFonts w:ascii="Garamond" w:eastAsia="Times New Roman" w:hAnsi="Garamond" w:cs="Tahoma"/>
          <w:bCs/>
          <w:lang w:val="pt-PT" w:eastAsia="pt-PT"/>
        </w:rPr>
        <w:t xml:space="preserve"> de Género</w:t>
      </w:r>
      <w:r w:rsidRPr="001C50C8">
        <w:rPr>
          <w:rFonts w:ascii="Garamond" w:hAnsi="Garamond"/>
          <w:lang w:val="pt-PT"/>
        </w:rPr>
        <w:t>.</w:t>
      </w:r>
      <w:r>
        <w:rPr>
          <w:rFonts w:ascii="Garamond" w:eastAsia="Times New Roman" w:hAnsi="Garamond" w:cs="Tahoma"/>
          <w:bCs/>
          <w:lang w:val="pt-PT" w:eastAsia="pt-PT"/>
        </w:rPr>
        <w:t xml:space="preserve"> </w:t>
      </w:r>
    </w:p>
    <w:p w14:paraId="02B91D29" w14:textId="77777777" w:rsidR="00236223" w:rsidRPr="00806495" w:rsidRDefault="00236223" w:rsidP="00786DEC">
      <w:pPr>
        <w:pStyle w:val="PargrafodaLista"/>
        <w:numPr>
          <w:ilvl w:val="0"/>
          <w:numId w:val="49"/>
        </w:numPr>
        <w:ind w:left="720"/>
        <w:jc w:val="both"/>
        <w:rPr>
          <w:rFonts w:ascii="Garamond" w:hAnsi="Garamond"/>
          <w:lang w:val="pt-PT"/>
        </w:rPr>
      </w:pPr>
      <w:r w:rsidRPr="00806495">
        <w:rPr>
          <w:rFonts w:ascii="Garamond" w:eastAsia="Times New Roman" w:hAnsi="Garamond" w:cs="Tahoma"/>
          <w:bCs/>
          <w:lang w:val="pt-PT" w:eastAsia="pt-PT"/>
        </w:rPr>
        <w:t xml:space="preserve">No </w:t>
      </w:r>
      <w:proofErr w:type="spellStart"/>
      <w:r w:rsidRPr="00806495">
        <w:rPr>
          <w:rFonts w:ascii="Garamond" w:eastAsia="Times New Roman" w:hAnsi="Garamond" w:cs="Tahoma"/>
          <w:bCs/>
          <w:lang w:val="pt-PT" w:eastAsia="pt-PT"/>
        </w:rPr>
        <w:t>setor</w:t>
      </w:r>
      <w:proofErr w:type="spellEnd"/>
      <w:r w:rsidRPr="00806495">
        <w:rPr>
          <w:rFonts w:ascii="Garamond" w:eastAsia="Times New Roman" w:hAnsi="Garamond" w:cs="Tahoma"/>
          <w:bCs/>
          <w:lang w:val="pt-PT" w:eastAsia="pt-PT"/>
        </w:rPr>
        <w:t xml:space="preserve"> da energia, que se encontra a desenvolver um Plano de </w:t>
      </w:r>
      <w:proofErr w:type="spellStart"/>
      <w:r w:rsidRPr="00806495">
        <w:rPr>
          <w:rFonts w:ascii="Garamond" w:eastAsia="Times New Roman" w:hAnsi="Garamond" w:cs="Tahoma"/>
          <w:bCs/>
          <w:lang w:val="pt-PT" w:eastAsia="pt-PT"/>
        </w:rPr>
        <w:t>Ação</w:t>
      </w:r>
      <w:proofErr w:type="spellEnd"/>
      <w:r w:rsidRPr="00806495">
        <w:rPr>
          <w:rFonts w:ascii="Garamond" w:eastAsia="Times New Roman" w:hAnsi="Garamond" w:cs="Tahoma"/>
          <w:bCs/>
          <w:lang w:val="pt-PT" w:eastAsia="pt-PT"/>
        </w:rPr>
        <w:t xml:space="preserve"> em matéria de Género e Energia</w:t>
      </w:r>
    </w:p>
    <w:p w14:paraId="12A051DD" w14:textId="77777777" w:rsidR="00236223" w:rsidRPr="00806495" w:rsidRDefault="00236223" w:rsidP="00786DEC">
      <w:pPr>
        <w:pStyle w:val="PargrafodaLista"/>
        <w:numPr>
          <w:ilvl w:val="0"/>
          <w:numId w:val="49"/>
        </w:numPr>
        <w:ind w:left="720"/>
        <w:jc w:val="both"/>
        <w:rPr>
          <w:rFonts w:ascii="Garamond" w:hAnsi="Garamond"/>
          <w:lang w:val="pt-PT"/>
        </w:rPr>
      </w:pPr>
      <w:r w:rsidRPr="00806495">
        <w:rPr>
          <w:rFonts w:ascii="Garamond" w:eastAsia="Times New Roman" w:hAnsi="Garamond" w:cs="Tahoma"/>
          <w:bCs/>
          <w:lang w:val="pt-PT" w:eastAsia="pt-PT"/>
        </w:rPr>
        <w:t xml:space="preserve">No </w:t>
      </w:r>
      <w:proofErr w:type="spellStart"/>
      <w:r w:rsidRPr="00806495">
        <w:rPr>
          <w:rFonts w:ascii="Garamond" w:eastAsia="Times New Roman" w:hAnsi="Garamond" w:cs="Tahoma"/>
          <w:bCs/>
          <w:lang w:val="pt-PT" w:eastAsia="pt-PT"/>
        </w:rPr>
        <w:t>setor</w:t>
      </w:r>
      <w:proofErr w:type="spellEnd"/>
      <w:r w:rsidRPr="00806495">
        <w:rPr>
          <w:rFonts w:ascii="Garamond" w:eastAsia="Times New Roman" w:hAnsi="Garamond" w:cs="Tahoma"/>
          <w:bCs/>
          <w:lang w:val="pt-PT" w:eastAsia="pt-PT"/>
        </w:rPr>
        <w:t xml:space="preserve"> marítimo, com o acompanhamento da implementação dos compromissos de género do país no contexto da Carta Africana dos Transportes Marítimos.</w:t>
      </w:r>
    </w:p>
    <w:p w14:paraId="2B7145F5" w14:textId="77777777" w:rsidR="00236223" w:rsidRDefault="00236223" w:rsidP="00786DEC">
      <w:pPr>
        <w:pStyle w:val="PargrafodaLista"/>
        <w:numPr>
          <w:ilvl w:val="0"/>
          <w:numId w:val="48"/>
        </w:numPr>
        <w:spacing w:after="240"/>
        <w:jc w:val="both"/>
        <w:rPr>
          <w:rFonts w:ascii="Garamond" w:hAnsi="Garamond" w:cs="Arial"/>
          <w:lang w:val="pt-BR"/>
        </w:rPr>
      </w:pPr>
      <w:bookmarkStart w:id="107" w:name="_Hlk31812643"/>
      <w:r w:rsidRPr="00416559">
        <w:rPr>
          <w:rFonts w:ascii="Garamond" w:hAnsi="Garamond" w:cs="Arial"/>
          <w:lang w:val="pt-BR"/>
        </w:rPr>
        <w:t xml:space="preserve">No setor da agricultura, para o reforço de capacidades a todos os níveis do MAA para a implementação dos compromissos e objetivos de género  dos seus principais programas, e monitorização e avaliação dos resultados e impactos de género. Deverá ser delineado um programa de formação abragente, assente num diagnóstico das necessidades (obtido através de uma auditoria de género ou outra metodologia de diagnóstico das necessidades). De referir que se encontra em curso um </w:t>
      </w:r>
      <w:r>
        <w:rPr>
          <w:rFonts w:ascii="Garamond" w:hAnsi="Garamond" w:cs="Arial"/>
          <w:lang w:val="pt-BR"/>
        </w:rPr>
        <w:t>P</w:t>
      </w:r>
      <w:r w:rsidRPr="00416559">
        <w:rPr>
          <w:rFonts w:ascii="Garamond" w:hAnsi="Garamond" w:cs="Arial"/>
          <w:lang w:val="pt-BR"/>
        </w:rPr>
        <w:t xml:space="preserve">rojeto </w:t>
      </w:r>
      <w:r>
        <w:rPr>
          <w:rFonts w:ascii="Garamond" w:hAnsi="Garamond" w:cs="Arial"/>
          <w:lang w:val="pt-BR"/>
        </w:rPr>
        <w:t>de re</w:t>
      </w:r>
      <w:r w:rsidRPr="00416559">
        <w:rPr>
          <w:rFonts w:ascii="Garamond" w:hAnsi="Garamond" w:cs="Arial"/>
          <w:lang w:val="pt-BR"/>
        </w:rPr>
        <w:t>forço do Sistema de Seguimento e Avaliação do MAA</w:t>
      </w:r>
      <w:r>
        <w:rPr>
          <w:rFonts w:ascii="Garamond" w:hAnsi="Garamond" w:cs="Arial"/>
          <w:lang w:val="pt-BR"/>
        </w:rPr>
        <w:t>, sendo estratégico que o quadro harmonizado para a produção de dados no setor integre o género.</w:t>
      </w:r>
      <w:r w:rsidRPr="00416559">
        <w:rPr>
          <w:rFonts w:ascii="Garamond" w:hAnsi="Garamond" w:cs="Arial"/>
          <w:lang w:val="pt-BR"/>
        </w:rPr>
        <w:t xml:space="preserve"> </w:t>
      </w:r>
    </w:p>
    <w:p w14:paraId="33959B1A" w14:textId="77777777" w:rsidR="00236223" w:rsidRPr="00E9595C" w:rsidRDefault="00236223" w:rsidP="00786DEC">
      <w:pPr>
        <w:pStyle w:val="PargrafodaLista"/>
        <w:numPr>
          <w:ilvl w:val="0"/>
          <w:numId w:val="48"/>
        </w:numPr>
        <w:spacing w:after="240"/>
        <w:jc w:val="both"/>
        <w:rPr>
          <w:rFonts w:ascii="Garamond" w:hAnsi="Garamond" w:cs="Arial"/>
          <w:lang w:val="pt-BR"/>
        </w:rPr>
      </w:pPr>
      <w:bookmarkStart w:id="108" w:name="_Hlk31813216"/>
      <w:r w:rsidRPr="00E9595C">
        <w:rPr>
          <w:rFonts w:ascii="Garamond" w:hAnsi="Garamond" w:cs="Arial"/>
          <w:lang w:val="pt-BR"/>
        </w:rPr>
        <w:t>A titularidade da terra/propriedades, fundamental tanto para a agricultura como para o desenvolvimento económico, pelo que deverá se c</w:t>
      </w:r>
      <w:proofErr w:type="spellStart"/>
      <w:r w:rsidRPr="00E9595C">
        <w:rPr>
          <w:rFonts w:ascii="Garamond" w:hAnsi="Garamond"/>
          <w:lang w:val="pt-PT"/>
        </w:rPr>
        <w:t>ontinuar</w:t>
      </w:r>
      <w:proofErr w:type="spellEnd"/>
      <w:r w:rsidRPr="00E9595C">
        <w:rPr>
          <w:rFonts w:ascii="Garamond" w:hAnsi="Garamond"/>
          <w:lang w:val="pt-PT"/>
        </w:rPr>
        <w:t xml:space="preserve"> a integrar a abordagem e género nas Operações de Cadastro Predial, à medida que forem realizadas no país, reforçando as capacidades das equipas para o fazer, e garantir </w:t>
      </w:r>
      <w:r w:rsidRPr="00E9595C">
        <w:rPr>
          <w:rFonts w:ascii="Garamond" w:hAnsi="Garamond" w:cs="Arial"/>
          <w:lang w:val="pt-BR"/>
        </w:rPr>
        <w:t xml:space="preserve">a implementação das recomendações existentes para </w:t>
      </w:r>
      <w:r>
        <w:rPr>
          <w:rFonts w:ascii="Garamond" w:hAnsi="Garamond" w:cs="Arial"/>
          <w:lang w:val="pt-BR"/>
        </w:rPr>
        <w:t>melhorar ainda</w:t>
      </w:r>
      <w:r w:rsidRPr="00E9595C">
        <w:rPr>
          <w:rFonts w:ascii="Garamond" w:hAnsi="Garamond" w:cs="Arial"/>
          <w:lang w:val="pt-BR"/>
        </w:rPr>
        <w:t xml:space="preserve"> </w:t>
      </w:r>
      <w:r>
        <w:rPr>
          <w:rFonts w:ascii="Garamond" w:hAnsi="Garamond" w:cs="Arial"/>
          <w:lang w:val="pt-BR"/>
        </w:rPr>
        <w:t xml:space="preserve">o </w:t>
      </w:r>
      <w:r w:rsidRPr="00E9595C">
        <w:rPr>
          <w:rFonts w:ascii="Garamond" w:hAnsi="Garamond" w:cs="Arial"/>
          <w:lang w:val="pt-BR"/>
        </w:rPr>
        <w:t xml:space="preserve">tratatemento das questões sociais e de género na clarificação e formalização de direitos à terra/propriedade.   </w:t>
      </w:r>
    </w:p>
    <w:bookmarkEnd w:id="107"/>
    <w:bookmarkEnd w:id="108"/>
    <w:p w14:paraId="0D6BF8C9" w14:textId="77777777" w:rsidR="00236223" w:rsidRPr="00416559" w:rsidRDefault="00236223" w:rsidP="00786DEC">
      <w:pPr>
        <w:pStyle w:val="PargrafodaLista"/>
        <w:numPr>
          <w:ilvl w:val="0"/>
          <w:numId w:val="48"/>
        </w:numPr>
        <w:spacing w:after="240"/>
        <w:ind w:left="714" w:hanging="357"/>
        <w:jc w:val="both"/>
        <w:rPr>
          <w:rFonts w:ascii="Garamond" w:hAnsi="Garamond"/>
          <w:lang w:val="pt-PT"/>
        </w:rPr>
      </w:pPr>
      <w:r w:rsidRPr="00416559">
        <w:rPr>
          <w:rFonts w:ascii="Garamond" w:hAnsi="Garamond" w:cs="Arial"/>
          <w:lang w:val="pt-BR"/>
        </w:rPr>
        <w:t xml:space="preserve"> </w:t>
      </w:r>
      <w:r w:rsidRPr="00416559">
        <w:rPr>
          <w:rFonts w:ascii="Garamond" w:hAnsi="Garamond"/>
          <w:lang w:val="pt-PT"/>
        </w:rPr>
        <w:t xml:space="preserve">O </w:t>
      </w:r>
      <w:proofErr w:type="spellStart"/>
      <w:r w:rsidRPr="00416559">
        <w:rPr>
          <w:rFonts w:ascii="Garamond" w:hAnsi="Garamond"/>
          <w:lang w:val="pt-PT"/>
        </w:rPr>
        <w:t>setor</w:t>
      </w:r>
      <w:proofErr w:type="spellEnd"/>
      <w:r w:rsidRPr="00416559">
        <w:rPr>
          <w:rFonts w:ascii="Garamond" w:hAnsi="Garamond"/>
          <w:lang w:val="pt-PT"/>
        </w:rPr>
        <w:t xml:space="preserve"> da água e do saneamento </w:t>
      </w:r>
      <w:proofErr w:type="spellStart"/>
      <w:r w:rsidRPr="00416559">
        <w:rPr>
          <w:rFonts w:ascii="Garamond" w:hAnsi="Garamond"/>
          <w:lang w:val="pt-PT"/>
        </w:rPr>
        <w:t>transversalizou</w:t>
      </w:r>
      <w:proofErr w:type="spellEnd"/>
      <w:r w:rsidRPr="00416559">
        <w:rPr>
          <w:rFonts w:ascii="Garamond" w:hAnsi="Garamond"/>
          <w:lang w:val="pt-PT"/>
        </w:rPr>
        <w:t xml:space="preserve"> de forma abrangente as questões sociais e de género, no seu quadro legal, político e institucional e dispõe de uma Estratégia Social e de Género para o Sector da Água e Saneamento (</w:t>
      </w:r>
      <w:proofErr w:type="spellStart"/>
      <w:r w:rsidRPr="00416559">
        <w:rPr>
          <w:rFonts w:ascii="Garamond" w:hAnsi="Garamond"/>
          <w:lang w:val="pt-PT"/>
        </w:rPr>
        <w:t>ESGAS</w:t>
      </w:r>
      <w:proofErr w:type="spellEnd"/>
      <w:r w:rsidRPr="00416559">
        <w:rPr>
          <w:rFonts w:ascii="Garamond" w:hAnsi="Garamond"/>
          <w:lang w:val="pt-PT"/>
        </w:rPr>
        <w:t xml:space="preserve"> 2015-2020). Contudo o Gabinete da ANAS responsável </w:t>
      </w:r>
      <w:proofErr w:type="spellStart"/>
      <w:r w:rsidRPr="00416559">
        <w:rPr>
          <w:rFonts w:ascii="Garamond" w:hAnsi="Garamond"/>
          <w:lang w:val="pt-PT"/>
        </w:rPr>
        <w:t>pela</w:t>
      </w:r>
      <w:proofErr w:type="spellEnd"/>
      <w:r w:rsidRPr="00416559">
        <w:rPr>
          <w:rFonts w:ascii="Garamond" w:hAnsi="Garamond"/>
          <w:lang w:val="pt-PT"/>
        </w:rPr>
        <w:t xml:space="preserve"> </w:t>
      </w:r>
      <w:proofErr w:type="spellStart"/>
      <w:r w:rsidRPr="00416559">
        <w:rPr>
          <w:rFonts w:ascii="Garamond" w:hAnsi="Garamond"/>
          <w:lang w:val="pt-PT"/>
        </w:rPr>
        <w:t>TG</w:t>
      </w:r>
      <w:proofErr w:type="spellEnd"/>
      <w:r w:rsidRPr="00416559">
        <w:rPr>
          <w:rFonts w:ascii="Garamond" w:hAnsi="Garamond"/>
          <w:lang w:val="pt-PT"/>
        </w:rPr>
        <w:t xml:space="preserve"> no </w:t>
      </w:r>
      <w:proofErr w:type="spellStart"/>
      <w:r w:rsidRPr="00416559">
        <w:rPr>
          <w:rFonts w:ascii="Garamond" w:hAnsi="Garamond"/>
          <w:lang w:val="pt-PT"/>
        </w:rPr>
        <w:t>setor</w:t>
      </w:r>
      <w:proofErr w:type="spellEnd"/>
      <w:r w:rsidRPr="00416559">
        <w:rPr>
          <w:rFonts w:ascii="Garamond" w:hAnsi="Garamond"/>
          <w:lang w:val="pt-PT"/>
        </w:rPr>
        <w:t xml:space="preserve"> não se encontra em funcionamento, </w:t>
      </w:r>
      <w:bookmarkStart w:id="109" w:name="_Hlk14269732"/>
      <w:r w:rsidRPr="00416559">
        <w:rPr>
          <w:rFonts w:ascii="Garamond" w:hAnsi="Garamond"/>
          <w:lang w:val="pt-PT"/>
        </w:rPr>
        <w:t xml:space="preserve">correndo-se o risco de perder os investimentos feitos no sector em termos de análise da situação, capacidades e instrumentos. Será assim necessário desenhar um cenário viável para a implementação da </w:t>
      </w:r>
      <w:proofErr w:type="spellStart"/>
      <w:r w:rsidRPr="00416559">
        <w:rPr>
          <w:rFonts w:ascii="Garamond" w:hAnsi="Garamond"/>
          <w:lang w:val="pt-PT"/>
        </w:rPr>
        <w:t>ESGAS</w:t>
      </w:r>
      <w:proofErr w:type="spellEnd"/>
      <w:r w:rsidRPr="00416559">
        <w:rPr>
          <w:rFonts w:ascii="Garamond" w:hAnsi="Garamond"/>
          <w:lang w:val="pt-PT"/>
        </w:rPr>
        <w:t xml:space="preserve"> (2015-2020), revendo as responsabilidades </w:t>
      </w:r>
      <w:proofErr w:type="spellStart"/>
      <w:r w:rsidRPr="00416559">
        <w:rPr>
          <w:rFonts w:ascii="Garamond" w:hAnsi="Garamond"/>
          <w:lang w:val="pt-PT"/>
        </w:rPr>
        <w:t>pela</w:t>
      </w:r>
      <w:proofErr w:type="spellEnd"/>
      <w:r w:rsidRPr="00416559">
        <w:rPr>
          <w:rFonts w:ascii="Garamond" w:hAnsi="Garamond"/>
          <w:lang w:val="pt-PT"/>
        </w:rPr>
        <w:t xml:space="preserve"> sua coordenação, implementação, seguimento e avaliação.</w:t>
      </w:r>
    </w:p>
    <w:bookmarkEnd w:id="109"/>
    <w:p w14:paraId="0233DD50" w14:textId="77777777" w:rsidR="00236223" w:rsidRPr="00806495" w:rsidRDefault="00236223" w:rsidP="00786DEC">
      <w:pPr>
        <w:pStyle w:val="PargrafodaLista"/>
        <w:numPr>
          <w:ilvl w:val="0"/>
          <w:numId w:val="48"/>
        </w:numPr>
        <w:ind w:left="714" w:hanging="357"/>
        <w:jc w:val="both"/>
        <w:rPr>
          <w:rFonts w:ascii="Garamond" w:hAnsi="Garamond"/>
          <w:lang w:val="pt-PT"/>
        </w:rPr>
      </w:pPr>
      <w:r w:rsidRPr="00806495">
        <w:rPr>
          <w:rFonts w:ascii="Garamond" w:hAnsi="Garamond"/>
          <w:lang w:val="pt-PT"/>
        </w:rPr>
        <w:t>A nível das operadoras de serviços de água e saneamento, a ADS conta com um gabinete social e de género, sendo importante garantir que as demais operadoras</w:t>
      </w:r>
      <w:r w:rsidRPr="00806495">
        <w:rPr>
          <w:rStyle w:val="Refdenotaderodap"/>
          <w:rFonts w:ascii="Garamond" w:hAnsi="Garamond"/>
          <w:lang w:val="pt-PT"/>
        </w:rPr>
        <w:footnoteReference w:id="129"/>
      </w:r>
      <w:r w:rsidRPr="00806495">
        <w:rPr>
          <w:rFonts w:ascii="Garamond" w:hAnsi="Garamond"/>
          <w:lang w:val="pt-PT"/>
        </w:rPr>
        <w:t xml:space="preserve"> beneficiam das lições aprendidas e troca de experiências.</w:t>
      </w:r>
    </w:p>
    <w:p w14:paraId="1ABDF293" w14:textId="77777777" w:rsidR="00236223" w:rsidRPr="00806495" w:rsidRDefault="00236223" w:rsidP="00786DEC">
      <w:pPr>
        <w:pStyle w:val="PargrafodaLista"/>
        <w:numPr>
          <w:ilvl w:val="0"/>
          <w:numId w:val="48"/>
        </w:numPr>
        <w:ind w:left="714" w:hanging="357"/>
        <w:contextualSpacing w:val="0"/>
        <w:jc w:val="both"/>
        <w:rPr>
          <w:rFonts w:ascii="Garamond" w:hAnsi="Garamond"/>
          <w:lang w:val="pt-PT"/>
        </w:rPr>
      </w:pPr>
      <w:r w:rsidRPr="00806495">
        <w:rPr>
          <w:rFonts w:ascii="Garamond" w:hAnsi="Garamond"/>
          <w:lang w:val="pt-PT"/>
        </w:rPr>
        <w:t>A Estratégia Nacional de Redução de Riscos e Desastres (</w:t>
      </w:r>
      <w:proofErr w:type="spellStart"/>
      <w:r w:rsidRPr="00806495">
        <w:rPr>
          <w:rFonts w:ascii="Garamond" w:hAnsi="Garamond"/>
          <w:lang w:val="pt-PT"/>
        </w:rPr>
        <w:t>ENRRD</w:t>
      </w:r>
      <w:proofErr w:type="spellEnd"/>
      <w:r w:rsidRPr="00806495">
        <w:rPr>
          <w:rFonts w:ascii="Garamond" w:hAnsi="Garamond"/>
          <w:lang w:val="pt-PT"/>
        </w:rPr>
        <w:t xml:space="preserve"> 2017-2030) definiu duas questões transversais, a saber a igualdade de género e a sustentabilidade ambiental. A seção sobre género propõe a definição de medidas para a: participação das mulheres nas estruturas ligadas à </w:t>
      </w:r>
      <w:proofErr w:type="spellStart"/>
      <w:r w:rsidRPr="00806495">
        <w:rPr>
          <w:rFonts w:ascii="Garamond" w:hAnsi="Garamond"/>
          <w:lang w:val="pt-PT"/>
        </w:rPr>
        <w:t>RRD</w:t>
      </w:r>
      <w:proofErr w:type="spellEnd"/>
      <w:r w:rsidRPr="00806495">
        <w:rPr>
          <w:rFonts w:ascii="Garamond" w:hAnsi="Garamond"/>
          <w:lang w:val="pt-PT"/>
        </w:rPr>
        <w:t xml:space="preserve"> e assunção de responsabilidades de </w:t>
      </w:r>
      <w:proofErr w:type="spellStart"/>
      <w:r w:rsidRPr="00806495">
        <w:rPr>
          <w:rFonts w:ascii="Garamond" w:hAnsi="Garamond"/>
          <w:lang w:val="pt-PT"/>
        </w:rPr>
        <w:t>direção</w:t>
      </w:r>
      <w:proofErr w:type="spellEnd"/>
      <w:r w:rsidRPr="00806495">
        <w:rPr>
          <w:rFonts w:ascii="Garamond" w:hAnsi="Garamond"/>
          <w:lang w:val="pt-PT"/>
        </w:rPr>
        <w:t xml:space="preserve"> e gestão nos órgãos ligados à gestão de risco de desastres; participação de organizações dedicadas à igualdade de género nas plataformas de </w:t>
      </w:r>
      <w:proofErr w:type="spellStart"/>
      <w:r w:rsidRPr="00806495">
        <w:rPr>
          <w:rFonts w:ascii="Garamond" w:hAnsi="Garamond"/>
          <w:lang w:val="pt-PT"/>
        </w:rPr>
        <w:t>RRD</w:t>
      </w:r>
      <w:proofErr w:type="spellEnd"/>
      <w:r w:rsidRPr="00806495">
        <w:rPr>
          <w:rFonts w:ascii="Garamond" w:hAnsi="Garamond"/>
          <w:lang w:val="pt-PT"/>
        </w:rPr>
        <w:t xml:space="preserve">; integração da </w:t>
      </w:r>
      <w:proofErr w:type="spellStart"/>
      <w:r w:rsidRPr="00806495">
        <w:rPr>
          <w:rFonts w:ascii="Garamond" w:hAnsi="Garamond"/>
          <w:lang w:val="pt-PT"/>
        </w:rPr>
        <w:t>perspetiva</w:t>
      </w:r>
      <w:proofErr w:type="spellEnd"/>
      <w:r w:rsidRPr="00806495">
        <w:rPr>
          <w:rFonts w:ascii="Garamond" w:hAnsi="Garamond"/>
          <w:lang w:val="pt-PT"/>
        </w:rPr>
        <w:t xml:space="preserve"> de género em todas as </w:t>
      </w:r>
      <w:proofErr w:type="spellStart"/>
      <w:r w:rsidRPr="00806495">
        <w:rPr>
          <w:rFonts w:ascii="Garamond" w:hAnsi="Garamond"/>
          <w:lang w:val="pt-PT"/>
        </w:rPr>
        <w:t>atividades</w:t>
      </w:r>
      <w:proofErr w:type="spellEnd"/>
      <w:r w:rsidRPr="00806495">
        <w:rPr>
          <w:rFonts w:ascii="Garamond" w:hAnsi="Garamond"/>
          <w:lang w:val="pt-PT"/>
        </w:rPr>
        <w:t xml:space="preserve"> de preparação para a resposta, mecanismos de resposta (planos de contingência e emergência, evacuação, etc.), assim como nos programas de recuperação pós-desastre; programas de formação, sensibilização e educação pública sensíveis ao género; dados desagregados e análises sensíveis ao género. Tendo em conta que a </w:t>
      </w:r>
      <w:proofErr w:type="spellStart"/>
      <w:r w:rsidRPr="00806495">
        <w:rPr>
          <w:rFonts w:ascii="Garamond" w:hAnsi="Garamond"/>
          <w:lang w:val="pt-PT"/>
        </w:rPr>
        <w:t>TG</w:t>
      </w:r>
      <w:proofErr w:type="spellEnd"/>
      <w:r w:rsidRPr="00806495">
        <w:rPr>
          <w:rFonts w:ascii="Garamond" w:hAnsi="Garamond"/>
          <w:lang w:val="pt-PT"/>
        </w:rPr>
        <w:t xml:space="preserve"> no domínio da </w:t>
      </w:r>
      <w:proofErr w:type="spellStart"/>
      <w:r w:rsidRPr="00806495">
        <w:rPr>
          <w:rFonts w:ascii="Garamond" w:hAnsi="Garamond"/>
          <w:lang w:val="pt-PT"/>
        </w:rPr>
        <w:t>RRD</w:t>
      </w:r>
      <w:proofErr w:type="spellEnd"/>
      <w:r w:rsidRPr="00806495">
        <w:rPr>
          <w:rFonts w:ascii="Garamond" w:hAnsi="Garamond"/>
          <w:lang w:val="pt-PT"/>
        </w:rPr>
        <w:t xml:space="preserve"> é relativamente nova em Cabo Verde, deve ser acompanhada a implementação da </w:t>
      </w:r>
      <w:proofErr w:type="spellStart"/>
      <w:r w:rsidRPr="00806495">
        <w:rPr>
          <w:rFonts w:ascii="Garamond" w:hAnsi="Garamond"/>
          <w:lang w:val="pt-PT"/>
        </w:rPr>
        <w:t>ENRRD</w:t>
      </w:r>
      <w:proofErr w:type="spellEnd"/>
      <w:r w:rsidRPr="00806495">
        <w:rPr>
          <w:rFonts w:ascii="Garamond" w:hAnsi="Garamond"/>
          <w:lang w:val="pt-PT"/>
        </w:rPr>
        <w:t xml:space="preserve">, apoiando tecnicamente de acordo com as necessidades. </w:t>
      </w:r>
    </w:p>
    <w:p w14:paraId="040FA0D7" w14:textId="77777777" w:rsidR="00236223" w:rsidRPr="00806495" w:rsidRDefault="00236223" w:rsidP="00786DEC">
      <w:pPr>
        <w:pStyle w:val="PargrafodaLista"/>
        <w:numPr>
          <w:ilvl w:val="0"/>
          <w:numId w:val="48"/>
        </w:numPr>
        <w:ind w:left="714" w:hanging="357"/>
        <w:contextualSpacing w:val="0"/>
        <w:jc w:val="both"/>
        <w:rPr>
          <w:rFonts w:ascii="Garamond" w:hAnsi="Garamond"/>
          <w:lang w:val="pt-PT"/>
        </w:rPr>
      </w:pPr>
      <w:r w:rsidRPr="00806495">
        <w:rPr>
          <w:rFonts w:ascii="Garamond" w:hAnsi="Garamond"/>
          <w:bCs/>
          <w:lang w:val="pt-PT"/>
        </w:rPr>
        <w:t xml:space="preserve">Por outro lado, como referenciado no </w:t>
      </w:r>
      <w:r w:rsidRPr="00806495">
        <w:rPr>
          <w:rFonts w:ascii="Garamond" w:hAnsi="Garamond"/>
          <w:bCs/>
          <w:i/>
          <w:iCs/>
          <w:lang w:val="pt-PT"/>
        </w:rPr>
        <w:t xml:space="preserve">Eixo 2 – </w:t>
      </w:r>
      <w:proofErr w:type="spellStart"/>
      <w:r w:rsidRPr="00806495">
        <w:rPr>
          <w:rFonts w:ascii="Garamond" w:hAnsi="Garamond"/>
          <w:bCs/>
          <w:i/>
          <w:iCs/>
          <w:lang w:val="pt-PT"/>
        </w:rPr>
        <w:t>VBG</w:t>
      </w:r>
      <w:proofErr w:type="spellEnd"/>
      <w:r w:rsidRPr="00806495">
        <w:rPr>
          <w:rFonts w:ascii="Garamond" w:hAnsi="Garamond"/>
          <w:bCs/>
          <w:lang w:val="pt-PT"/>
        </w:rPr>
        <w:t xml:space="preserve">, o papel da comunicação social é incontornável para a igualdade de género, </w:t>
      </w:r>
      <w:proofErr w:type="spellStart"/>
      <w:r w:rsidRPr="00806495">
        <w:rPr>
          <w:rFonts w:ascii="Garamond" w:hAnsi="Garamond"/>
          <w:bCs/>
          <w:lang w:val="pt-PT"/>
        </w:rPr>
        <w:t>pelo</w:t>
      </w:r>
      <w:proofErr w:type="spellEnd"/>
      <w:r w:rsidRPr="00806495">
        <w:rPr>
          <w:rFonts w:ascii="Garamond" w:hAnsi="Garamond"/>
          <w:bCs/>
          <w:lang w:val="pt-PT"/>
        </w:rPr>
        <w:t xml:space="preserve"> que este </w:t>
      </w:r>
      <w:proofErr w:type="spellStart"/>
      <w:r w:rsidRPr="00806495">
        <w:rPr>
          <w:rFonts w:ascii="Garamond" w:hAnsi="Garamond"/>
          <w:bCs/>
          <w:lang w:val="pt-PT"/>
        </w:rPr>
        <w:t>setor</w:t>
      </w:r>
      <w:proofErr w:type="spellEnd"/>
      <w:r w:rsidRPr="00806495">
        <w:rPr>
          <w:rFonts w:ascii="Garamond" w:hAnsi="Garamond"/>
          <w:bCs/>
          <w:lang w:val="pt-PT"/>
        </w:rPr>
        <w:t xml:space="preserve"> deve desenvolver uma Estratégia de Género, de forma participativa com todos os </w:t>
      </w:r>
      <w:proofErr w:type="spellStart"/>
      <w:r w:rsidRPr="00806495">
        <w:rPr>
          <w:rFonts w:ascii="Garamond" w:hAnsi="Garamond"/>
          <w:bCs/>
          <w:lang w:val="pt-PT"/>
        </w:rPr>
        <w:t>atores</w:t>
      </w:r>
      <w:proofErr w:type="spellEnd"/>
      <w:r w:rsidRPr="00806495">
        <w:rPr>
          <w:rFonts w:ascii="Garamond" w:hAnsi="Garamond"/>
          <w:bCs/>
          <w:lang w:val="pt-PT"/>
        </w:rPr>
        <w:t xml:space="preserve"> relevantes. </w:t>
      </w:r>
    </w:p>
    <w:p w14:paraId="6699FB65" w14:textId="77777777" w:rsidR="00236223" w:rsidRPr="00806495" w:rsidRDefault="00236223" w:rsidP="00786DEC">
      <w:pPr>
        <w:pStyle w:val="PargrafodaLista"/>
        <w:numPr>
          <w:ilvl w:val="0"/>
          <w:numId w:val="48"/>
        </w:numPr>
        <w:spacing w:after="240"/>
        <w:ind w:left="714" w:hanging="357"/>
        <w:contextualSpacing w:val="0"/>
        <w:jc w:val="both"/>
        <w:rPr>
          <w:rFonts w:ascii="Garamond" w:hAnsi="Garamond"/>
          <w:lang w:val="pt-PT"/>
        </w:rPr>
      </w:pPr>
      <w:r w:rsidRPr="00806495">
        <w:rPr>
          <w:rFonts w:ascii="Garamond" w:hAnsi="Garamond"/>
          <w:lang w:val="pt-PT"/>
        </w:rPr>
        <w:t xml:space="preserve">Também mencionado nesse Eixo, o estabelecimento de uma colaboração entre </w:t>
      </w:r>
      <w:proofErr w:type="spellStart"/>
      <w:r w:rsidRPr="00806495">
        <w:rPr>
          <w:rFonts w:ascii="Garamond" w:hAnsi="Garamond"/>
          <w:lang w:val="pt-PT"/>
        </w:rPr>
        <w:t>ICCA</w:t>
      </w:r>
      <w:proofErr w:type="spellEnd"/>
      <w:r w:rsidRPr="00806495">
        <w:rPr>
          <w:rFonts w:ascii="Garamond" w:hAnsi="Garamond"/>
          <w:lang w:val="pt-PT"/>
        </w:rPr>
        <w:t xml:space="preserve"> e </w:t>
      </w:r>
      <w:proofErr w:type="spellStart"/>
      <w:r w:rsidRPr="00806495">
        <w:rPr>
          <w:rFonts w:ascii="Garamond" w:hAnsi="Garamond"/>
          <w:lang w:val="pt-PT"/>
        </w:rPr>
        <w:t>ICIEG</w:t>
      </w:r>
      <w:proofErr w:type="spellEnd"/>
      <w:r w:rsidRPr="00806495">
        <w:rPr>
          <w:rFonts w:ascii="Garamond" w:hAnsi="Garamond"/>
          <w:lang w:val="pt-PT"/>
        </w:rPr>
        <w:t xml:space="preserve"> para a realização de uma auditoria de género, com vista à institucionalização do género nas diferentes áreas de trabalho e vertentes do Instituto</w:t>
      </w:r>
    </w:p>
    <w:p w14:paraId="3C4E40BC" w14:textId="77777777" w:rsidR="00236223" w:rsidRPr="00806495" w:rsidRDefault="00236223" w:rsidP="00236223">
      <w:pPr>
        <w:jc w:val="both"/>
        <w:rPr>
          <w:rFonts w:ascii="Garamond" w:hAnsi="Garamond"/>
          <w:lang w:val="pt-PT"/>
        </w:rPr>
      </w:pPr>
      <w:r w:rsidRPr="00806495">
        <w:rPr>
          <w:rFonts w:ascii="Garamond" w:hAnsi="Garamond"/>
          <w:lang w:val="pt-PT"/>
        </w:rPr>
        <w:t xml:space="preserve">A procura de parcerias é assunto de grande importância para Cabo Verde e a mobilização de fundos exige múltiplas competências, entre quais a formulação de </w:t>
      </w:r>
      <w:proofErr w:type="spellStart"/>
      <w:r w:rsidRPr="00806495">
        <w:rPr>
          <w:rFonts w:ascii="Garamond" w:hAnsi="Garamond"/>
          <w:lang w:val="pt-PT"/>
        </w:rPr>
        <w:t>projetos</w:t>
      </w:r>
      <w:proofErr w:type="spellEnd"/>
      <w:r w:rsidRPr="00806495">
        <w:rPr>
          <w:rFonts w:ascii="Garamond" w:hAnsi="Garamond"/>
          <w:lang w:val="pt-PT"/>
        </w:rPr>
        <w:t xml:space="preserve"> com uma abordagem de género (análise de género, sua integração no ciclo de </w:t>
      </w:r>
      <w:proofErr w:type="spellStart"/>
      <w:r w:rsidRPr="00806495">
        <w:rPr>
          <w:rFonts w:ascii="Garamond" w:hAnsi="Garamond"/>
          <w:lang w:val="pt-PT"/>
        </w:rPr>
        <w:t>projeto</w:t>
      </w:r>
      <w:proofErr w:type="spellEnd"/>
      <w:r w:rsidRPr="00806495">
        <w:rPr>
          <w:rFonts w:ascii="Garamond" w:hAnsi="Garamond"/>
          <w:lang w:val="pt-PT"/>
        </w:rPr>
        <w:t xml:space="preserve">, incluindo </w:t>
      </w:r>
      <w:proofErr w:type="spellStart"/>
      <w:r w:rsidRPr="00806495">
        <w:rPr>
          <w:rFonts w:ascii="Garamond" w:hAnsi="Garamond"/>
          <w:lang w:val="pt-PT"/>
        </w:rPr>
        <w:t>aspetos</w:t>
      </w:r>
      <w:proofErr w:type="spellEnd"/>
      <w:r w:rsidRPr="00806495">
        <w:rPr>
          <w:rFonts w:ascii="Garamond" w:hAnsi="Garamond"/>
          <w:lang w:val="pt-PT"/>
        </w:rPr>
        <w:t xml:space="preserve"> orçamentais e de seguimento e avaliação). Com efeito, praticamente todos os parceiros e entidades financiadoras têm hoje políticas de género, alinhadas à Agenda 2030 para o desenvolvimento sustentável, baseadas numa abordagem dupla da igualdade de género (</w:t>
      </w:r>
      <w:proofErr w:type="spellStart"/>
      <w:r w:rsidRPr="00806495">
        <w:rPr>
          <w:rFonts w:ascii="Garamond" w:hAnsi="Garamond"/>
          <w:lang w:val="pt-PT"/>
        </w:rPr>
        <w:t>TG</w:t>
      </w:r>
      <w:proofErr w:type="spellEnd"/>
      <w:r w:rsidRPr="00806495">
        <w:rPr>
          <w:rFonts w:ascii="Garamond" w:hAnsi="Garamond"/>
          <w:lang w:val="pt-PT"/>
        </w:rPr>
        <w:t xml:space="preserve"> + intervenções específicas). </w:t>
      </w:r>
    </w:p>
    <w:p w14:paraId="21164D7B" w14:textId="77777777" w:rsidR="00236223" w:rsidRPr="00217D22" w:rsidRDefault="00236223" w:rsidP="00786DEC">
      <w:pPr>
        <w:pStyle w:val="PargrafodaLista"/>
        <w:numPr>
          <w:ilvl w:val="0"/>
          <w:numId w:val="57"/>
        </w:numPr>
        <w:jc w:val="both"/>
        <w:rPr>
          <w:lang w:val="pt-PT"/>
        </w:rPr>
      </w:pPr>
      <w:r w:rsidRPr="00217D22">
        <w:rPr>
          <w:rFonts w:ascii="Garamond" w:hAnsi="Garamond"/>
          <w:lang w:val="pt-PT"/>
        </w:rPr>
        <w:t xml:space="preserve">Numa lógica de sucesso na aprovação de </w:t>
      </w:r>
      <w:proofErr w:type="spellStart"/>
      <w:r w:rsidRPr="00217D22">
        <w:rPr>
          <w:rFonts w:ascii="Garamond" w:hAnsi="Garamond"/>
          <w:lang w:val="pt-PT"/>
        </w:rPr>
        <w:t>projetos</w:t>
      </w:r>
      <w:proofErr w:type="spellEnd"/>
      <w:r w:rsidRPr="00217D22">
        <w:rPr>
          <w:rFonts w:ascii="Garamond" w:hAnsi="Garamond"/>
          <w:lang w:val="pt-PT"/>
        </w:rPr>
        <w:t xml:space="preserve"> submetidos para financiamento, é importante assegurar capacidades de formulação de </w:t>
      </w:r>
      <w:proofErr w:type="spellStart"/>
      <w:r w:rsidRPr="00217D22">
        <w:rPr>
          <w:rFonts w:ascii="Garamond" w:hAnsi="Garamond"/>
          <w:lang w:val="pt-PT"/>
        </w:rPr>
        <w:t>projetos</w:t>
      </w:r>
      <w:proofErr w:type="spellEnd"/>
      <w:r w:rsidRPr="00217D22">
        <w:rPr>
          <w:rFonts w:ascii="Garamond" w:hAnsi="Garamond"/>
          <w:lang w:val="pt-PT"/>
        </w:rPr>
        <w:t xml:space="preserve"> com abordagem de género, </w:t>
      </w:r>
      <w:proofErr w:type="spellStart"/>
      <w:r w:rsidRPr="00217D22">
        <w:rPr>
          <w:rFonts w:ascii="Garamond" w:hAnsi="Garamond"/>
          <w:lang w:val="pt-PT"/>
        </w:rPr>
        <w:t>pelo</w:t>
      </w:r>
      <w:proofErr w:type="spellEnd"/>
      <w:r w:rsidRPr="00217D22">
        <w:rPr>
          <w:rFonts w:ascii="Garamond" w:hAnsi="Garamond"/>
          <w:lang w:val="pt-PT"/>
        </w:rPr>
        <w:t xml:space="preserve"> que deverão ser estabelecidas directrizes e listas de verificação da qualidade da </w:t>
      </w:r>
      <w:proofErr w:type="spellStart"/>
      <w:r w:rsidRPr="00217D22">
        <w:rPr>
          <w:rFonts w:ascii="Garamond" w:hAnsi="Garamond"/>
          <w:lang w:val="pt-PT"/>
        </w:rPr>
        <w:t>TG</w:t>
      </w:r>
      <w:proofErr w:type="spellEnd"/>
      <w:r w:rsidRPr="00217D22">
        <w:rPr>
          <w:rFonts w:ascii="Garamond" w:hAnsi="Garamond"/>
          <w:lang w:val="pt-PT"/>
        </w:rPr>
        <w:t xml:space="preserve">, e divulgados e apropriados </w:t>
      </w:r>
      <w:proofErr w:type="spellStart"/>
      <w:r w:rsidRPr="00217D22">
        <w:rPr>
          <w:rFonts w:ascii="Garamond" w:hAnsi="Garamond"/>
          <w:lang w:val="pt-PT"/>
        </w:rPr>
        <w:t>pela</w:t>
      </w:r>
      <w:proofErr w:type="spellEnd"/>
      <w:r w:rsidRPr="00217D22">
        <w:rPr>
          <w:rFonts w:ascii="Garamond" w:hAnsi="Garamond"/>
          <w:lang w:val="pt-PT"/>
        </w:rPr>
        <w:t xml:space="preserve"> </w:t>
      </w:r>
      <w:proofErr w:type="spellStart"/>
      <w:r w:rsidRPr="00217D22">
        <w:rPr>
          <w:rFonts w:ascii="Garamond" w:hAnsi="Garamond"/>
          <w:lang w:val="pt-PT"/>
        </w:rPr>
        <w:t>DNP</w:t>
      </w:r>
      <w:proofErr w:type="spellEnd"/>
      <w:r w:rsidRPr="00217D22">
        <w:rPr>
          <w:rFonts w:ascii="Garamond" w:hAnsi="Garamond"/>
          <w:lang w:val="pt-PT"/>
        </w:rPr>
        <w:t xml:space="preserve">, </w:t>
      </w:r>
      <w:proofErr w:type="spellStart"/>
      <w:r w:rsidRPr="00217D22">
        <w:rPr>
          <w:rFonts w:ascii="Garamond" w:hAnsi="Garamond"/>
          <w:lang w:val="pt-PT"/>
        </w:rPr>
        <w:t>DGPOGs</w:t>
      </w:r>
      <w:proofErr w:type="spellEnd"/>
      <w:r w:rsidRPr="00217D22">
        <w:rPr>
          <w:rFonts w:ascii="Garamond" w:hAnsi="Garamond"/>
          <w:lang w:val="pt-PT"/>
        </w:rPr>
        <w:t xml:space="preserve"> e demais departamentos ou unidades com responsabilidades na elaboração e aprovação de </w:t>
      </w:r>
      <w:proofErr w:type="spellStart"/>
      <w:r w:rsidRPr="00217D22">
        <w:rPr>
          <w:rFonts w:ascii="Garamond" w:hAnsi="Garamond"/>
          <w:lang w:val="pt-PT"/>
        </w:rPr>
        <w:t>projetos</w:t>
      </w:r>
      <w:proofErr w:type="spellEnd"/>
      <w:r w:rsidRPr="00217D22">
        <w:rPr>
          <w:rFonts w:ascii="Garamond" w:hAnsi="Garamond"/>
          <w:lang w:val="pt-PT"/>
        </w:rPr>
        <w:t xml:space="preserve"> para mobilização de fundos.</w:t>
      </w:r>
    </w:p>
    <w:p w14:paraId="7BA72FDA" w14:textId="57E3B58E" w:rsidR="0065346D" w:rsidRPr="00806495" w:rsidRDefault="0065346D" w:rsidP="004318F3">
      <w:pPr>
        <w:spacing w:after="240"/>
        <w:jc w:val="both"/>
        <w:rPr>
          <w:rFonts w:ascii="Garamond" w:hAnsi="Garamond" w:cs="Times New Roman"/>
          <w:b/>
          <w:lang w:val="pt-PT"/>
        </w:rPr>
      </w:pPr>
    </w:p>
    <w:p w14:paraId="55B8F010" w14:textId="26EE0583" w:rsidR="00A21E3C" w:rsidRPr="00806495" w:rsidRDefault="00A21E3C">
      <w:pPr>
        <w:rPr>
          <w:rFonts w:ascii="Garamond" w:hAnsi="Garamond" w:cs="Times New Roman"/>
          <w:b/>
          <w:lang w:val="pt-PT"/>
        </w:rPr>
      </w:pPr>
      <w:r w:rsidRPr="00806495">
        <w:rPr>
          <w:rFonts w:ascii="Garamond" w:hAnsi="Garamond" w:cs="Times New Roman"/>
          <w:b/>
          <w:lang w:val="pt-PT"/>
        </w:rPr>
        <w:br w:type="page"/>
      </w:r>
    </w:p>
    <w:p w14:paraId="2571243C" w14:textId="3A970083" w:rsidR="004318F3" w:rsidRPr="00512C73" w:rsidRDefault="00531CA7" w:rsidP="00512C73">
      <w:pPr>
        <w:pStyle w:val="PargrafodaLista"/>
        <w:spacing w:after="240"/>
        <w:ind w:left="0"/>
        <w:jc w:val="both"/>
        <w:outlineLvl w:val="1"/>
        <w:rPr>
          <w:rFonts w:ascii="Garamond" w:hAnsi="Garamond" w:cs="Times New Roman"/>
          <w:b/>
          <w:sz w:val="32"/>
          <w:szCs w:val="32"/>
          <w:lang w:val="pt-PT"/>
        </w:rPr>
      </w:pPr>
      <w:bookmarkStart w:id="110" w:name="_Toc32858134"/>
      <w:r w:rsidRPr="00512C73">
        <w:rPr>
          <w:rFonts w:ascii="Garamond" w:hAnsi="Garamond" w:cs="Times New Roman"/>
          <w:b/>
          <w:sz w:val="32"/>
          <w:szCs w:val="32"/>
          <w:lang w:val="pt-PT"/>
        </w:rPr>
        <w:t>Quadro institucional de implementação</w:t>
      </w:r>
      <w:r w:rsidR="00BD6B00">
        <w:rPr>
          <w:rFonts w:ascii="Garamond" w:hAnsi="Garamond" w:cs="Times New Roman"/>
          <w:b/>
          <w:sz w:val="32"/>
          <w:szCs w:val="32"/>
          <w:lang w:val="pt-PT"/>
        </w:rPr>
        <w:t>, coordenação e parceria</w:t>
      </w:r>
      <w:bookmarkEnd w:id="110"/>
    </w:p>
    <w:p w14:paraId="57BC4598" w14:textId="42CD6083" w:rsidR="00A73B5E" w:rsidRDefault="00A73B5E" w:rsidP="007F343D">
      <w:pPr>
        <w:pStyle w:val="PargrafodaLista"/>
        <w:spacing w:after="240"/>
        <w:ind w:left="0"/>
        <w:jc w:val="both"/>
        <w:rPr>
          <w:rFonts w:ascii="Garamond" w:hAnsi="Garamond" w:cs="Times New Roman"/>
          <w:b/>
          <w:sz w:val="32"/>
          <w:szCs w:val="32"/>
          <w:lang w:val="pt-PT"/>
        </w:rPr>
      </w:pPr>
    </w:p>
    <w:p w14:paraId="387EC9E2" w14:textId="5A89CAB3" w:rsidR="00A73B5E" w:rsidRPr="00220A66" w:rsidRDefault="00A73B5E" w:rsidP="007F343D">
      <w:pPr>
        <w:pStyle w:val="PargrafodaLista"/>
        <w:spacing w:after="240"/>
        <w:ind w:left="0"/>
        <w:jc w:val="both"/>
        <w:outlineLvl w:val="2"/>
        <w:rPr>
          <w:rFonts w:ascii="Garamond" w:hAnsi="Garamond" w:cs="Times New Roman"/>
          <w:b/>
          <w:sz w:val="28"/>
          <w:szCs w:val="28"/>
          <w:lang w:val="pt-PT"/>
        </w:rPr>
      </w:pPr>
      <w:bookmarkStart w:id="111" w:name="_Toc32858135"/>
      <w:r w:rsidRPr="00220A66">
        <w:rPr>
          <w:rFonts w:ascii="Garamond" w:hAnsi="Garamond" w:cs="Times New Roman"/>
          <w:b/>
          <w:sz w:val="28"/>
          <w:szCs w:val="28"/>
          <w:lang w:val="pt-PT"/>
        </w:rPr>
        <w:t>Responsabilidades institucionais</w:t>
      </w:r>
      <w:bookmarkEnd w:id="111"/>
    </w:p>
    <w:p w14:paraId="1D4CCFFC" w14:textId="40C1FAAC" w:rsidR="000461D3" w:rsidRDefault="000461D3" w:rsidP="004F13F4">
      <w:pPr>
        <w:tabs>
          <w:tab w:val="left" w:pos="567"/>
          <w:tab w:val="left" w:pos="851"/>
        </w:tabs>
        <w:spacing w:after="240"/>
        <w:jc w:val="both"/>
        <w:rPr>
          <w:rFonts w:ascii="Garamond" w:eastAsia="Times New Roman" w:hAnsi="Garamond" w:cs="Calibri"/>
          <w:color w:val="222222"/>
          <w:lang w:val="pt-PT"/>
        </w:rPr>
      </w:pPr>
      <w:r w:rsidRPr="000461D3">
        <w:rPr>
          <w:rFonts w:ascii="Garamond" w:hAnsi="Garamond"/>
          <w:lang w:val="pt-PT"/>
        </w:rPr>
        <w:t xml:space="preserve">O </w:t>
      </w:r>
      <w:proofErr w:type="spellStart"/>
      <w:r w:rsidRPr="000461D3">
        <w:rPr>
          <w:rFonts w:ascii="Garamond" w:hAnsi="Garamond"/>
          <w:lang w:val="pt-PT"/>
        </w:rPr>
        <w:t>ICIEG</w:t>
      </w:r>
      <w:proofErr w:type="spellEnd"/>
      <w:r w:rsidR="00E81938">
        <w:rPr>
          <w:rFonts w:ascii="Garamond" w:hAnsi="Garamond"/>
          <w:lang w:val="pt-PT"/>
        </w:rPr>
        <w:t xml:space="preserve">, cuja principal missão é </w:t>
      </w:r>
      <w:r w:rsidR="00E81938">
        <w:rPr>
          <w:rFonts w:ascii="Garamond" w:eastAsia="Times New Roman" w:hAnsi="Garamond" w:cs="Calibri"/>
          <w:color w:val="222222"/>
          <w:lang w:val="pt-PT"/>
        </w:rPr>
        <w:t xml:space="preserve">coordenar a implementação das políticas de género no país, </w:t>
      </w:r>
      <w:r w:rsidRPr="000461D3">
        <w:rPr>
          <w:rFonts w:ascii="Garamond" w:hAnsi="Garamond"/>
          <w:lang w:val="pt-PT"/>
        </w:rPr>
        <w:t xml:space="preserve">é responsável </w:t>
      </w:r>
      <w:proofErr w:type="spellStart"/>
      <w:r w:rsidRPr="000461D3">
        <w:rPr>
          <w:rFonts w:ascii="Garamond" w:hAnsi="Garamond"/>
          <w:lang w:val="pt-PT"/>
        </w:rPr>
        <w:t>pela</w:t>
      </w:r>
      <w:proofErr w:type="spellEnd"/>
      <w:r w:rsidRPr="000461D3">
        <w:rPr>
          <w:rFonts w:ascii="Garamond" w:hAnsi="Garamond"/>
          <w:lang w:val="pt-PT"/>
        </w:rPr>
        <w:t xml:space="preserve"> </w:t>
      </w:r>
      <w:r w:rsidRPr="004F13F4">
        <w:rPr>
          <w:rFonts w:ascii="Garamond" w:hAnsi="Garamond"/>
          <w:b/>
          <w:bCs/>
          <w:lang w:val="pt-PT"/>
        </w:rPr>
        <w:t xml:space="preserve">coordenação geral da implementação do </w:t>
      </w:r>
      <w:proofErr w:type="spellStart"/>
      <w:r w:rsidRPr="004F13F4">
        <w:rPr>
          <w:rFonts w:ascii="Garamond" w:hAnsi="Garamond"/>
          <w:b/>
          <w:bCs/>
          <w:lang w:val="pt-PT"/>
        </w:rPr>
        <w:t>PN</w:t>
      </w:r>
      <w:r w:rsidR="00BF7D3B" w:rsidRPr="004F13F4">
        <w:rPr>
          <w:rFonts w:ascii="Garamond" w:hAnsi="Garamond"/>
          <w:b/>
          <w:bCs/>
          <w:lang w:val="pt-PT"/>
        </w:rPr>
        <w:t>IG</w:t>
      </w:r>
      <w:proofErr w:type="spellEnd"/>
      <w:r w:rsidR="00BF7D3B">
        <w:rPr>
          <w:rFonts w:ascii="Garamond" w:hAnsi="Garamond"/>
          <w:lang w:val="pt-PT"/>
        </w:rPr>
        <w:t xml:space="preserve">, sob tutela do </w:t>
      </w:r>
      <w:proofErr w:type="spellStart"/>
      <w:r w:rsidR="00BF7D3B">
        <w:rPr>
          <w:rFonts w:ascii="Garamond" w:hAnsi="Garamond"/>
          <w:lang w:val="pt-PT"/>
        </w:rPr>
        <w:t>MFIS</w:t>
      </w:r>
      <w:proofErr w:type="spellEnd"/>
      <w:r w:rsidR="00BF7D3B">
        <w:rPr>
          <w:rFonts w:ascii="Garamond" w:hAnsi="Garamond"/>
          <w:lang w:val="pt-PT"/>
        </w:rPr>
        <w:t>,</w:t>
      </w:r>
      <w:r w:rsidR="00E81938">
        <w:rPr>
          <w:rFonts w:ascii="Garamond" w:hAnsi="Garamond"/>
          <w:lang w:val="pt-PT"/>
        </w:rPr>
        <w:t xml:space="preserve"> o </w:t>
      </w:r>
      <w:r w:rsidR="00BF7D3B" w:rsidRPr="00190391">
        <w:rPr>
          <w:rFonts w:ascii="Garamond" w:eastAsia="Times New Roman" w:hAnsi="Garamond" w:cs="Calibri"/>
          <w:color w:val="222222"/>
          <w:lang w:val="pt-PT"/>
        </w:rPr>
        <w:t xml:space="preserve">departamento governamental </w:t>
      </w:r>
      <w:r w:rsidR="004F13F4">
        <w:rPr>
          <w:rFonts w:ascii="Garamond" w:eastAsia="Times New Roman" w:hAnsi="Garamond" w:cs="Calibri"/>
          <w:color w:val="222222"/>
          <w:lang w:val="pt-PT"/>
        </w:rPr>
        <w:t xml:space="preserve">responsável </w:t>
      </w:r>
      <w:proofErr w:type="spellStart"/>
      <w:r w:rsidR="004F13F4">
        <w:rPr>
          <w:rFonts w:ascii="Garamond" w:eastAsia="Times New Roman" w:hAnsi="Garamond" w:cs="Calibri"/>
          <w:color w:val="222222"/>
          <w:lang w:val="pt-PT"/>
        </w:rPr>
        <w:t>pelas</w:t>
      </w:r>
      <w:proofErr w:type="spellEnd"/>
      <w:r w:rsidR="004F13F4">
        <w:rPr>
          <w:rFonts w:ascii="Garamond" w:eastAsia="Times New Roman" w:hAnsi="Garamond" w:cs="Calibri"/>
          <w:color w:val="222222"/>
          <w:lang w:val="pt-PT"/>
        </w:rPr>
        <w:t xml:space="preserve"> políticas públicas de </w:t>
      </w:r>
      <w:r w:rsidR="00BF7D3B" w:rsidRPr="00190391">
        <w:rPr>
          <w:rFonts w:ascii="Garamond" w:eastAsia="Times New Roman" w:hAnsi="Garamond" w:cs="Calibri"/>
          <w:color w:val="222222"/>
          <w:lang w:val="pt-PT"/>
        </w:rPr>
        <w:t>igualdade de género</w:t>
      </w:r>
      <w:r w:rsidR="004F13F4">
        <w:rPr>
          <w:rFonts w:ascii="Garamond" w:eastAsia="Times New Roman" w:hAnsi="Garamond" w:cs="Calibri"/>
          <w:color w:val="222222"/>
          <w:lang w:val="pt-PT"/>
        </w:rPr>
        <w:t xml:space="preserve"> no país.</w:t>
      </w:r>
    </w:p>
    <w:p w14:paraId="6FEB1E91" w14:textId="010E3F02" w:rsidR="00B56E2B" w:rsidRDefault="00D92783" w:rsidP="00B56E2B">
      <w:pPr>
        <w:tabs>
          <w:tab w:val="left" w:pos="567"/>
          <w:tab w:val="left" w:pos="851"/>
        </w:tabs>
        <w:jc w:val="both"/>
        <w:rPr>
          <w:rFonts w:ascii="Garamond" w:eastAsia="Times New Roman" w:hAnsi="Garamond" w:cs="Calibri"/>
          <w:color w:val="222222"/>
          <w:lang w:val="pt-PT"/>
        </w:rPr>
      </w:pPr>
      <w:r>
        <w:rPr>
          <w:rFonts w:ascii="Garamond" w:eastAsia="Times New Roman" w:hAnsi="Garamond" w:cs="Calibri"/>
          <w:color w:val="222222"/>
          <w:lang w:val="pt-PT"/>
        </w:rPr>
        <w:t xml:space="preserve">O </w:t>
      </w:r>
      <w:proofErr w:type="spellStart"/>
      <w:r>
        <w:rPr>
          <w:rFonts w:ascii="Garamond" w:eastAsia="Times New Roman" w:hAnsi="Garamond" w:cs="Calibri"/>
          <w:color w:val="222222"/>
          <w:lang w:val="pt-PT"/>
        </w:rPr>
        <w:t>PNIG</w:t>
      </w:r>
      <w:proofErr w:type="spellEnd"/>
      <w:r>
        <w:rPr>
          <w:rFonts w:ascii="Garamond" w:eastAsia="Times New Roman" w:hAnsi="Garamond" w:cs="Calibri"/>
          <w:color w:val="222222"/>
          <w:lang w:val="pt-PT"/>
        </w:rPr>
        <w:t xml:space="preserve"> organiza-se em 6 Eixos, </w:t>
      </w:r>
      <w:r w:rsidR="00B56E2B">
        <w:rPr>
          <w:rFonts w:ascii="Garamond" w:eastAsia="Times New Roman" w:hAnsi="Garamond" w:cs="Calibri"/>
          <w:color w:val="222222"/>
          <w:lang w:val="pt-PT"/>
        </w:rPr>
        <w:t>30</w:t>
      </w:r>
      <w:r>
        <w:rPr>
          <w:rFonts w:ascii="Garamond" w:eastAsia="Times New Roman" w:hAnsi="Garamond" w:cs="Calibri"/>
          <w:color w:val="222222"/>
          <w:lang w:val="pt-PT"/>
        </w:rPr>
        <w:t xml:space="preserve"> resultados e </w:t>
      </w:r>
      <w:r w:rsidR="00B56E2B">
        <w:rPr>
          <w:rFonts w:ascii="Garamond" w:eastAsia="Times New Roman" w:hAnsi="Garamond" w:cs="Calibri"/>
          <w:color w:val="222222"/>
          <w:lang w:val="pt-PT"/>
        </w:rPr>
        <w:t>209</w:t>
      </w:r>
      <w:r>
        <w:rPr>
          <w:rFonts w:ascii="Garamond" w:eastAsia="Times New Roman" w:hAnsi="Garamond" w:cs="Calibri"/>
          <w:color w:val="222222"/>
          <w:lang w:val="pt-PT"/>
        </w:rPr>
        <w:t xml:space="preserve"> medidas de </w:t>
      </w:r>
      <w:proofErr w:type="spellStart"/>
      <w:r>
        <w:rPr>
          <w:rFonts w:ascii="Garamond" w:eastAsia="Times New Roman" w:hAnsi="Garamond" w:cs="Calibri"/>
          <w:color w:val="222222"/>
          <w:lang w:val="pt-PT"/>
        </w:rPr>
        <w:t>ação</w:t>
      </w:r>
      <w:proofErr w:type="spellEnd"/>
      <w:r>
        <w:rPr>
          <w:rFonts w:ascii="Garamond" w:eastAsia="Times New Roman" w:hAnsi="Garamond" w:cs="Calibri"/>
          <w:color w:val="222222"/>
          <w:lang w:val="pt-PT"/>
        </w:rPr>
        <w:t xml:space="preserve">. </w:t>
      </w:r>
      <w:r w:rsidR="00B56E2B">
        <w:rPr>
          <w:rFonts w:ascii="Garamond" w:eastAsia="Times New Roman" w:hAnsi="Garamond" w:cs="Calibri"/>
          <w:color w:val="222222"/>
          <w:lang w:val="pt-PT"/>
        </w:rPr>
        <w:t>Destas:</w:t>
      </w:r>
    </w:p>
    <w:p w14:paraId="1A93D438" w14:textId="2BF1A412" w:rsidR="00B56E2B" w:rsidRDefault="00B56E2B" w:rsidP="00B56E2B">
      <w:pPr>
        <w:pStyle w:val="PargrafodaLista"/>
        <w:numPr>
          <w:ilvl w:val="0"/>
          <w:numId w:val="97"/>
        </w:numPr>
        <w:tabs>
          <w:tab w:val="left" w:pos="567"/>
          <w:tab w:val="left" w:pos="851"/>
        </w:tabs>
        <w:spacing w:after="240"/>
        <w:jc w:val="both"/>
        <w:rPr>
          <w:rFonts w:ascii="Garamond" w:eastAsia="Times New Roman" w:hAnsi="Garamond" w:cs="Calibri"/>
          <w:color w:val="222222"/>
          <w:lang w:val="pt-PT"/>
        </w:rPr>
      </w:pPr>
      <w:r>
        <w:rPr>
          <w:rFonts w:ascii="Garamond" w:eastAsia="Times New Roman" w:hAnsi="Garamond" w:cs="Calibri"/>
          <w:color w:val="222222"/>
          <w:lang w:val="pt-PT"/>
        </w:rPr>
        <w:t xml:space="preserve">61 medidas de </w:t>
      </w:r>
      <w:proofErr w:type="spellStart"/>
      <w:r>
        <w:rPr>
          <w:rFonts w:ascii="Garamond" w:eastAsia="Times New Roman" w:hAnsi="Garamond" w:cs="Calibri"/>
          <w:color w:val="222222"/>
          <w:lang w:val="pt-PT"/>
        </w:rPr>
        <w:t>ação</w:t>
      </w:r>
      <w:proofErr w:type="spellEnd"/>
      <w:r>
        <w:rPr>
          <w:rFonts w:ascii="Garamond" w:eastAsia="Times New Roman" w:hAnsi="Garamond" w:cs="Calibri"/>
          <w:color w:val="222222"/>
          <w:lang w:val="pt-PT"/>
        </w:rPr>
        <w:t xml:space="preserve"> estão sob a responsabilidade do </w:t>
      </w:r>
      <w:proofErr w:type="spellStart"/>
      <w:r>
        <w:rPr>
          <w:rFonts w:ascii="Garamond" w:eastAsia="Times New Roman" w:hAnsi="Garamond" w:cs="Calibri"/>
          <w:color w:val="222222"/>
          <w:lang w:val="pt-PT"/>
        </w:rPr>
        <w:t>ICIEG</w:t>
      </w:r>
      <w:proofErr w:type="spellEnd"/>
      <w:r>
        <w:rPr>
          <w:rFonts w:ascii="Garamond" w:eastAsia="Times New Roman" w:hAnsi="Garamond" w:cs="Calibri"/>
          <w:color w:val="222222"/>
          <w:lang w:val="pt-PT"/>
        </w:rPr>
        <w:t xml:space="preserve"> (</w:t>
      </w:r>
      <w:r w:rsidR="00F51DD7">
        <w:rPr>
          <w:rFonts w:ascii="Garamond" w:eastAsia="Times New Roman" w:hAnsi="Garamond" w:cs="Calibri"/>
          <w:color w:val="222222"/>
          <w:lang w:val="pt-PT"/>
        </w:rPr>
        <w:t>6 delas em co-responsabilidade com outras entidades)</w:t>
      </w:r>
    </w:p>
    <w:p w14:paraId="1BD1787F" w14:textId="4FDFEC31" w:rsidR="00F51DD7" w:rsidRPr="00152C17" w:rsidRDefault="00F51DD7" w:rsidP="00152C17">
      <w:pPr>
        <w:pStyle w:val="PargrafodaLista"/>
        <w:numPr>
          <w:ilvl w:val="0"/>
          <w:numId w:val="97"/>
        </w:numPr>
        <w:tabs>
          <w:tab w:val="left" w:pos="567"/>
          <w:tab w:val="left" w:pos="851"/>
        </w:tabs>
        <w:spacing w:after="240"/>
        <w:jc w:val="both"/>
        <w:rPr>
          <w:rFonts w:ascii="Garamond" w:eastAsia="Times New Roman" w:hAnsi="Garamond" w:cs="Calibri"/>
          <w:color w:val="222222"/>
          <w:lang w:val="pt-PT"/>
        </w:rPr>
      </w:pPr>
      <w:r>
        <w:rPr>
          <w:rFonts w:ascii="Garamond" w:eastAsia="Times New Roman" w:hAnsi="Garamond" w:cs="Calibri"/>
          <w:color w:val="222222"/>
          <w:lang w:val="pt-PT"/>
        </w:rPr>
        <w:t xml:space="preserve">148 medidas de </w:t>
      </w:r>
      <w:proofErr w:type="spellStart"/>
      <w:r>
        <w:rPr>
          <w:rFonts w:ascii="Garamond" w:eastAsia="Times New Roman" w:hAnsi="Garamond" w:cs="Calibri"/>
          <w:color w:val="222222"/>
          <w:lang w:val="pt-PT"/>
        </w:rPr>
        <w:t>ação</w:t>
      </w:r>
      <w:proofErr w:type="spellEnd"/>
      <w:r>
        <w:rPr>
          <w:rFonts w:ascii="Garamond" w:eastAsia="Times New Roman" w:hAnsi="Garamond" w:cs="Calibri"/>
          <w:color w:val="222222"/>
          <w:lang w:val="pt-PT"/>
        </w:rPr>
        <w:t xml:space="preserve"> sob a responsabilidade de sectores e </w:t>
      </w:r>
      <w:proofErr w:type="spellStart"/>
      <w:r>
        <w:rPr>
          <w:rFonts w:ascii="Garamond" w:eastAsia="Times New Roman" w:hAnsi="Garamond" w:cs="Calibri"/>
          <w:color w:val="222222"/>
          <w:lang w:val="pt-PT"/>
        </w:rPr>
        <w:t>parcerios</w:t>
      </w:r>
      <w:proofErr w:type="spellEnd"/>
      <w:r w:rsidR="00152C17">
        <w:rPr>
          <w:rFonts w:ascii="Garamond" w:eastAsia="Times New Roman" w:hAnsi="Garamond" w:cs="Calibri"/>
          <w:color w:val="222222"/>
          <w:lang w:val="pt-PT"/>
        </w:rPr>
        <w:t xml:space="preserve"> (</w:t>
      </w:r>
      <w:proofErr w:type="gramStart"/>
      <w:r w:rsidR="00152C17">
        <w:rPr>
          <w:rFonts w:ascii="Garamond" w:eastAsia="Times New Roman" w:hAnsi="Garamond" w:cs="Calibri"/>
          <w:color w:val="222222"/>
          <w:lang w:val="pt-PT"/>
        </w:rPr>
        <w:t>ver Anexo</w:t>
      </w:r>
      <w:proofErr w:type="gramEnd"/>
      <w:r w:rsidR="00152C17">
        <w:rPr>
          <w:rFonts w:ascii="Garamond" w:eastAsia="Times New Roman" w:hAnsi="Garamond" w:cs="Calibri"/>
          <w:color w:val="222222"/>
          <w:lang w:val="pt-PT"/>
        </w:rPr>
        <w:t xml:space="preserve"> </w:t>
      </w:r>
      <w:r w:rsidR="00152C17" w:rsidRPr="00152C17">
        <w:rPr>
          <w:rFonts w:ascii="Garamond" w:eastAsia="Times New Roman" w:hAnsi="Garamond" w:cs="Calibri"/>
          <w:color w:val="222222"/>
          <w:highlight w:val="yellow"/>
          <w:lang w:val="pt-PT"/>
        </w:rPr>
        <w:t>X</w:t>
      </w:r>
      <w:r w:rsidR="00152C17">
        <w:rPr>
          <w:rFonts w:ascii="Garamond" w:eastAsia="Times New Roman" w:hAnsi="Garamond" w:cs="Calibri"/>
          <w:color w:val="222222"/>
          <w:lang w:val="pt-PT"/>
        </w:rPr>
        <w:t xml:space="preserve"> para mais detalhes)</w:t>
      </w:r>
    </w:p>
    <w:p w14:paraId="168ED2EB" w14:textId="14E59456" w:rsidR="00B56E2B" w:rsidRDefault="00D92783" w:rsidP="00D92783">
      <w:pPr>
        <w:tabs>
          <w:tab w:val="left" w:pos="567"/>
          <w:tab w:val="left" w:pos="851"/>
        </w:tabs>
        <w:spacing w:after="240"/>
        <w:jc w:val="both"/>
        <w:rPr>
          <w:rFonts w:ascii="Garamond" w:eastAsia="Times New Roman" w:hAnsi="Garamond" w:cs="Calibri"/>
          <w:color w:val="222222"/>
          <w:lang w:val="pt-PT"/>
        </w:rPr>
      </w:pPr>
      <w:r>
        <w:rPr>
          <w:rFonts w:ascii="Garamond" w:eastAsia="Times New Roman" w:hAnsi="Garamond" w:cs="Calibri"/>
          <w:color w:val="222222"/>
          <w:lang w:val="pt-PT"/>
        </w:rPr>
        <w:t xml:space="preserve">A matriz de implementação do </w:t>
      </w:r>
      <w:proofErr w:type="spellStart"/>
      <w:r>
        <w:rPr>
          <w:rFonts w:ascii="Garamond" w:eastAsia="Times New Roman" w:hAnsi="Garamond" w:cs="Calibri"/>
          <w:color w:val="222222"/>
          <w:lang w:val="pt-PT"/>
        </w:rPr>
        <w:t>PNIG</w:t>
      </w:r>
      <w:proofErr w:type="spellEnd"/>
      <w:r>
        <w:rPr>
          <w:rFonts w:ascii="Garamond" w:eastAsia="Times New Roman" w:hAnsi="Garamond" w:cs="Calibri"/>
          <w:color w:val="222222"/>
          <w:lang w:val="pt-PT"/>
        </w:rPr>
        <w:t xml:space="preserve">, que de seguida se apresenta, clarifica as </w:t>
      </w:r>
      <w:r w:rsidRPr="00B65351">
        <w:rPr>
          <w:rFonts w:ascii="Garamond" w:eastAsia="Times New Roman" w:hAnsi="Garamond" w:cs="Calibri"/>
          <w:color w:val="222222"/>
          <w:lang w:val="pt-PT"/>
        </w:rPr>
        <w:t xml:space="preserve">responsabilidades </w:t>
      </w:r>
      <w:proofErr w:type="spellStart"/>
      <w:r w:rsidRPr="00B65351">
        <w:rPr>
          <w:rFonts w:ascii="Garamond" w:eastAsia="Times New Roman" w:hAnsi="Garamond" w:cs="Calibri"/>
          <w:color w:val="222222"/>
          <w:lang w:val="pt-PT"/>
        </w:rPr>
        <w:t>setoriais</w:t>
      </w:r>
      <w:proofErr w:type="spellEnd"/>
      <w:r w:rsidRPr="00B65351">
        <w:rPr>
          <w:rFonts w:ascii="Garamond" w:eastAsia="Times New Roman" w:hAnsi="Garamond" w:cs="Calibri"/>
          <w:color w:val="222222"/>
          <w:lang w:val="pt-PT"/>
        </w:rPr>
        <w:t xml:space="preserve"> na implementação</w:t>
      </w:r>
      <w:r w:rsidR="00B65351" w:rsidRPr="00B65351">
        <w:rPr>
          <w:rFonts w:ascii="Garamond" w:eastAsia="Times New Roman" w:hAnsi="Garamond" w:cs="Calibri"/>
          <w:color w:val="222222"/>
          <w:lang w:val="pt-PT"/>
        </w:rPr>
        <w:t xml:space="preserve"> do </w:t>
      </w:r>
      <w:proofErr w:type="spellStart"/>
      <w:r w:rsidR="00B65351" w:rsidRPr="00B65351">
        <w:rPr>
          <w:rFonts w:ascii="Garamond" w:eastAsia="Times New Roman" w:hAnsi="Garamond" w:cs="Calibri"/>
          <w:color w:val="222222"/>
          <w:lang w:val="pt-PT"/>
        </w:rPr>
        <w:t>PNIG</w:t>
      </w:r>
      <w:proofErr w:type="spellEnd"/>
      <w:r>
        <w:rPr>
          <w:rFonts w:ascii="Garamond" w:eastAsia="Times New Roman" w:hAnsi="Garamond" w:cs="Calibri"/>
          <w:color w:val="222222"/>
          <w:lang w:val="pt-PT"/>
        </w:rPr>
        <w:t xml:space="preserve">, tendo em conta a estratégia de </w:t>
      </w:r>
      <w:proofErr w:type="spellStart"/>
      <w:r>
        <w:rPr>
          <w:rFonts w:ascii="Garamond" w:eastAsia="Times New Roman" w:hAnsi="Garamond" w:cs="Calibri"/>
          <w:color w:val="222222"/>
          <w:lang w:val="pt-PT"/>
        </w:rPr>
        <w:t>transversalização</w:t>
      </w:r>
      <w:proofErr w:type="spellEnd"/>
      <w:r>
        <w:rPr>
          <w:rFonts w:ascii="Garamond" w:eastAsia="Times New Roman" w:hAnsi="Garamond" w:cs="Calibri"/>
          <w:color w:val="222222"/>
          <w:lang w:val="pt-PT"/>
        </w:rPr>
        <w:t xml:space="preserve"> da abordagem de género</w:t>
      </w:r>
      <w:r w:rsidR="00B65351">
        <w:rPr>
          <w:rFonts w:ascii="Garamond" w:eastAsia="Times New Roman" w:hAnsi="Garamond" w:cs="Calibri"/>
          <w:color w:val="222222"/>
          <w:lang w:val="pt-PT"/>
        </w:rPr>
        <w:t xml:space="preserve"> </w:t>
      </w:r>
      <w:proofErr w:type="spellStart"/>
      <w:r>
        <w:rPr>
          <w:rFonts w:ascii="Garamond" w:eastAsia="Times New Roman" w:hAnsi="Garamond" w:cs="Calibri"/>
          <w:color w:val="222222"/>
          <w:lang w:val="pt-PT"/>
        </w:rPr>
        <w:t>adotada</w:t>
      </w:r>
      <w:proofErr w:type="spellEnd"/>
      <w:r>
        <w:rPr>
          <w:rFonts w:ascii="Garamond" w:eastAsia="Times New Roman" w:hAnsi="Garamond" w:cs="Calibri"/>
          <w:color w:val="222222"/>
          <w:lang w:val="pt-PT"/>
        </w:rPr>
        <w:t xml:space="preserve"> </w:t>
      </w:r>
      <w:proofErr w:type="spellStart"/>
      <w:r>
        <w:rPr>
          <w:rFonts w:ascii="Garamond" w:eastAsia="Times New Roman" w:hAnsi="Garamond" w:cs="Calibri"/>
          <w:color w:val="222222"/>
          <w:lang w:val="pt-PT"/>
        </w:rPr>
        <w:t>pelo</w:t>
      </w:r>
      <w:proofErr w:type="spellEnd"/>
      <w:r>
        <w:rPr>
          <w:rFonts w:ascii="Garamond" w:eastAsia="Times New Roman" w:hAnsi="Garamond" w:cs="Calibri"/>
          <w:color w:val="222222"/>
          <w:lang w:val="pt-PT"/>
        </w:rPr>
        <w:t xml:space="preserve"> </w:t>
      </w:r>
      <w:proofErr w:type="spellStart"/>
      <w:r>
        <w:rPr>
          <w:rFonts w:ascii="Garamond" w:eastAsia="Times New Roman" w:hAnsi="Garamond" w:cs="Calibri"/>
          <w:color w:val="222222"/>
          <w:lang w:val="pt-PT"/>
        </w:rPr>
        <w:t>PEDS</w:t>
      </w:r>
      <w:proofErr w:type="spellEnd"/>
      <w:r w:rsidR="00B65351">
        <w:rPr>
          <w:rFonts w:ascii="Garamond" w:eastAsia="Times New Roman" w:hAnsi="Garamond" w:cs="Calibri"/>
          <w:color w:val="222222"/>
          <w:lang w:val="pt-PT"/>
        </w:rPr>
        <w:t xml:space="preserve">. </w:t>
      </w:r>
    </w:p>
    <w:p w14:paraId="18E74F6E" w14:textId="2D1B505A" w:rsidR="00D92783" w:rsidRDefault="00B65351" w:rsidP="00D92783">
      <w:pPr>
        <w:tabs>
          <w:tab w:val="left" w:pos="567"/>
          <w:tab w:val="left" w:pos="851"/>
        </w:tabs>
        <w:spacing w:after="240"/>
        <w:jc w:val="both"/>
        <w:rPr>
          <w:rFonts w:ascii="Garamond" w:hAnsi="Garamond" w:cs="Calibri"/>
          <w:color w:val="000000"/>
          <w:lang w:val="pt-PT"/>
        </w:rPr>
      </w:pPr>
      <w:r>
        <w:rPr>
          <w:rFonts w:ascii="Garamond" w:eastAsia="Times New Roman" w:hAnsi="Garamond" w:cs="Calibri"/>
          <w:color w:val="222222"/>
          <w:lang w:val="pt-PT"/>
        </w:rPr>
        <w:t xml:space="preserve">Além dos </w:t>
      </w:r>
      <w:proofErr w:type="spellStart"/>
      <w:r>
        <w:rPr>
          <w:rFonts w:ascii="Garamond" w:eastAsia="Times New Roman" w:hAnsi="Garamond" w:cs="Calibri"/>
          <w:color w:val="222222"/>
          <w:lang w:val="pt-PT"/>
        </w:rPr>
        <w:t>setores</w:t>
      </w:r>
      <w:proofErr w:type="spellEnd"/>
      <w:r w:rsidR="00D92783">
        <w:rPr>
          <w:rFonts w:ascii="Garamond" w:eastAsia="Times New Roman" w:hAnsi="Garamond" w:cs="Calibri"/>
          <w:color w:val="222222"/>
          <w:lang w:val="pt-PT"/>
        </w:rPr>
        <w:t xml:space="preserve">, a </w:t>
      </w:r>
      <w:r w:rsidR="00D92783" w:rsidRPr="00D92783">
        <w:rPr>
          <w:rFonts w:ascii="Garamond" w:hAnsi="Garamond" w:cs="Calibri"/>
          <w:color w:val="000000"/>
          <w:lang w:val="pt-PT"/>
        </w:rPr>
        <w:t xml:space="preserve">Comissão Interministerial para a </w:t>
      </w:r>
      <w:proofErr w:type="spellStart"/>
      <w:r w:rsidR="00D92783" w:rsidRPr="00D92783">
        <w:rPr>
          <w:rFonts w:ascii="Garamond" w:hAnsi="Garamond" w:cs="Calibri"/>
          <w:color w:val="000000"/>
          <w:lang w:val="pt-PT"/>
        </w:rPr>
        <w:t>Transversalização</w:t>
      </w:r>
      <w:proofErr w:type="spellEnd"/>
      <w:r w:rsidR="00D92783" w:rsidRPr="00D92783">
        <w:rPr>
          <w:rFonts w:ascii="Garamond" w:hAnsi="Garamond" w:cs="Calibri"/>
          <w:color w:val="000000"/>
          <w:lang w:val="pt-PT"/>
        </w:rPr>
        <w:t xml:space="preserve"> da Abordagem de Género</w:t>
      </w:r>
      <w:r w:rsidR="00D92783" w:rsidRPr="00190391">
        <w:rPr>
          <w:rFonts w:ascii="Garamond" w:hAnsi="Garamond" w:cs="Calibri"/>
          <w:color w:val="000000"/>
          <w:lang w:val="pt-PT"/>
        </w:rPr>
        <w:t xml:space="preserve"> </w:t>
      </w:r>
      <w:r w:rsidR="00D92783">
        <w:rPr>
          <w:rFonts w:ascii="Garamond" w:hAnsi="Garamond" w:cs="Calibri"/>
          <w:color w:val="000000"/>
          <w:lang w:val="pt-PT"/>
        </w:rPr>
        <w:t>(</w:t>
      </w:r>
      <w:r w:rsidR="00D92783" w:rsidRPr="00190391">
        <w:rPr>
          <w:rFonts w:ascii="Garamond" w:hAnsi="Garamond" w:cs="Calibri"/>
          <w:b/>
          <w:bCs/>
          <w:color w:val="000000"/>
          <w:lang w:val="pt-PT"/>
        </w:rPr>
        <w:t>Comissão de Género</w:t>
      </w:r>
      <w:r w:rsidR="00D92783">
        <w:rPr>
          <w:rFonts w:ascii="Garamond" w:hAnsi="Garamond" w:cs="Calibri"/>
          <w:b/>
          <w:bCs/>
          <w:color w:val="000000"/>
          <w:lang w:val="pt-PT"/>
        </w:rPr>
        <w:t>)</w:t>
      </w:r>
      <w:r w:rsidR="00D92783" w:rsidRPr="00190391">
        <w:rPr>
          <w:rFonts w:ascii="Garamond" w:hAnsi="Garamond" w:cs="Calibri"/>
          <w:color w:val="000000"/>
          <w:lang w:val="pt-PT"/>
        </w:rPr>
        <w:t xml:space="preserve">, </w:t>
      </w:r>
      <w:r w:rsidR="00D92783">
        <w:rPr>
          <w:rFonts w:ascii="Garamond" w:hAnsi="Garamond" w:cs="Calibri"/>
          <w:color w:val="000000"/>
          <w:lang w:val="pt-PT"/>
        </w:rPr>
        <w:t xml:space="preserve">tem </w:t>
      </w:r>
      <w:r w:rsidR="00D92783" w:rsidRPr="00B65351">
        <w:rPr>
          <w:rFonts w:ascii="Garamond" w:hAnsi="Garamond" w:cs="Calibri"/>
          <w:b/>
          <w:bCs/>
          <w:color w:val="000000"/>
          <w:lang w:val="pt-PT"/>
        </w:rPr>
        <w:t xml:space="preserve">responsabilidades no seguimento da </w:t>
      </w:r>
      <w:proofErr w:type="spellStart"/>
      <w:r w:rsidR="00D92783" w:rsidRPr="00B65351">
        <w:rPr>
          <w:rFonts w:ascii="Garamond" w:hAnsi="Garamond" w:cs="Calibri"/>
          <w:b/>
          <w:bCs/>
          <w:color w:val="000000"/>
          <w:lang w:val="pt-PT"/>
        </w:rPr>
        <w:t>efetivação</w:t>
      </w:r>
      <w:proofErr w:type="spellEnd"/>
      <w:r w:rsidR="00D92783" w:rsidRPr="00B65351">
        <w:rPr>
          <w:rFonts w:ascii="Garamond" w:hAnsi="Garamond" w:cs="Calibri"/>
          <w:b/>
          <w:bCs/>
          <w:color w:val="000000"/>
          <w:lang w:val="pt-PT"/>
        </w:rPr>
        <w:t xml:space="preserve"> da </w:t>
      </w:r>
      <w:proofErr w:type="spellStart"/>
      <w:r w:rsidR="00D92783" w:rsidRPr="00B65351">
        <w:rPr>
          <w:rFonts w:ascii="Garamond" w:hAnsi="Garamond" w:cs="Calibri"/>
          <w:b/>
          <w:bCs/>
          <w:color w:val="000000"/>
          <w:lang w:val="pt-PT"/>
        </w:rPr>
        <w:t>transversalização</w:t>
      </w:r>
      <w:proofErr w:type="spellEnd"/>
      <w:r w:rsidR="00D92783" w:rsidRPr="00B65351">
        <w:rPr>
          <w:rFonts w:ascii="Garamond" w:hAnsi="Garamond" w:cs="Calibri"/>
          <w:b/>
          <w:bCs/>
          <w:color w:val="000000"/>
          <w:lang w:val="pt-PT"/>
        </w:rPr>
        <w:t xml:space="preserve"> da abordagem de género</w:t>
      </w:r>
      <w:r w:rsidR="00D92783" w:rsidRPr="00190391">
        <w:rPr>
          <w:rFonts w:ascii="Garamond" w:hAnsi="Garamond" w:cs="Calibri"/>
          <w:color w:val="000000"/>
          <w:lang w:val="pt-PT"/>
        </w:rPr>
        <w:t xml:space="preserve"> nas políticas públicas</w:t>
      </w:r>
      <w:r w:rsidR="00D92783">
        <w:rPr>
          <w:rFonts w:ascii="Garamond" w:hAnsi="Garamond" w:cs="Calibri"/>
          <w:color w:val="000000"/>
          <w:lang w:val="pt-PT"/>
        </w:rPr>
        <w:t xml:space="preserve">, </w:t>
      </w:r>
      <w:r w:rsidR="00D92783" w:rsidRPr="00190391">
        <w:rPr>
          <w:rFonts w:ascii="Garamond" w:hAnsi="Garamond" w:cs="Calibri"/>
          <w:color w:val="000000"/>
          <w:lang w:val="pt-PT"/>
        </w:rPr>
        <w:t xml:space="preserve">medidas delineadas no </w:t>
      </w:r>
      <w:proofErr w:type="spellStart"/>
      <w:r w:rsidR="00D92783" w:rsidRPr="00190391">
        <w:rPr>
          <w:rFonts w:ascii="Garamond" w:hAnsi="Garamond" w:cs="Calibri"/>
          <w:color w:val="000000"/>
          <w:lang w:val="pt-PT"/>
        </w:rPr>
        <w:t>PEDS</w:t>
      </w:r>
      <w:proofErr w:type="spellEnd"/>
      <w:r w:rsidR="00D92783" w:rsidRPr="00190391">
        <w:rPr>
          <w:rFonts w:ascii="Garamond" w:hAnsi="Garamond" w:cs="Calibri"/>
          <w:color w:val="000000"/>
          <w:lang w:val="pt-PT"/>
        </w:rPr>
        <w:t xml:space="preserve"> e </w:t>
      </w:r>
      <w:r w:rsidR="00D92783">
        <w:rPr>
          <w:rFonts w:ascii="Garamond" w:hAnsi="Garamond" w:cs="Calibri"/>
          <w:color w:val="000000"/>
          <w:lang w:val="pt-PT"/>
        </w:rPr>
        <w:t>sectores.</w:t>
      </w:r>
      <w:r>
        <w:rPr>
          <w:rFonts w:ascii="Garamond" w:hAnsi="Garamond" w:cs="Calibri"/>
          <w:color w:val="000000"/>
          <w:lang w:val="pt-PT"/>
        </w:rPr>
        <w:t xml:space="preserve"> Assim, o </w:t>
      </w:r>
      <w:proofErr w:type="spellStart"/>
      <w:r>
        <w:rPr>
          <w:rFonts w:ascii="Garamond" w:hAnsi="Garamond" w:cs="Calibri"/>
          <w:color w:val="000000"/>
          <w:lang w:val="pt-PT"/>
        </w:rPr>
        <w:t>PNIG</w:t>
      </w:r>
      <w:proofErr w:type="spellEnd"/>
      <w:r>
        <w:rPr>
          <w:rFonts w:ascii="Garamond" w:hAnsi="Garamond" w:cs="Calibri"/>
          <w:color w:val="000000"/>
          <w:lang w:val="pt-PT"/>
        </w:rPr>
        <w:t>, elaborado de forma participativa com os vários parceiros, é uma agenda comum a implementar com base em parcerias e sinergias.</w:t>
      </w:r>
      <w:r w:rsidR="00D92783">
        <w:rPr>
          <w:rFonts w:ascii="Garamond" w:hAnsi="Garamond" w:cs="Calibri"/>
          <w:color w:val="000000"/>
          <w:lang w:val="pt-PT"/>
        </w:rPr>
        <w:t xml:space="preserve"> </w:t>
      </w:r>
    </w:p>
    <w:p w14:paraId="1A18B41A" w14:textId="465CDB09" w:rsidR="00D92783" w:rsidRDefault="00D92783" w:rsidP="00D92783">
      <w:pPr>
        <w:tabs>
          <w:tab w:val="left" w:pos="567"/>
          <w:tab w:val="left" w:pos="851"/>
        </w:tabs>
        <w:spacing w:after="240"/>
        <w:jc w:val="both"/>
        <w:rPr>
          <w:rFonts w:ascii="Garamond" w:eastAsia="Times New Roman" w:hAnsi="Garamond" w:cs="Calibri"/>
          <w:color w:val="222222"/>
          <w:lang w:val="pt-PT"/>
        </w:rPr>
      </w:pPr>
      <w:r>
        <w:rPr>
          <w:rFonts w:ascii="Garamond" w:hAnsi="Garamond" w:cs="Tahoma"/>
          <w:color w:val="000000"/>
          <w:lang w:val="pt-PT"/>
        </w:rPr>
        <w:t xml:space="preserve">O </w:t>
      </w:r>
      <w:proofErr w:type="spellStart"/>
      <w:r>
        <w:rPr>
          <w:rFonts w:ascii="Garamond" w:hAnsi="Garamond" w:cs="Tahoma"/>
          <w:color w:val="000000"/>
          <w:lang w:val="pt-PT"/>
        </w:rPr>
        <w:t>PNIG</w:t>
      </w:r>
      <w:proofErr w:type="spellEnd"/>
      <w:r>
        <w:rPr>
          <w:rFonts w:ascii="Garamond" w:hAnsi="Garamond" w:cs="Tahoma"/>
          <w:color w:val="000000"/>
          <w:lang w:val="pt-PT"/>
        </w:rPr>
        <w:t xml:space="preserve"> 2020-</w:t>
      </w:r>
      <w:r w:rsidRPr="00861830">
        <w:rPr>
          <w:rFonts w:ascii="Garamond" w:hAnsi="Garamond" w:cs="Tahoma"/>
          <w:lang w:val="pt-PT"/>
        </w:rPr>
        <w:t>202</w:t>
      </w:r>
      <w:r>
        <w:rPr>
          <w:rFonts w:ascii="Garamond" w:hAnsi="Garamond" w:cs="Tahoma"/>
          <w:lang w:val="pt-PT"/>
        </w:rPr>
        <w:t xml:space="preserve">3 está </w:t>
      </w:r>
      <w:r>
        <w:rPr>
          <w:rFonts w:ascii="Garamond" w:hAnsi="Garamond" w:cs="Tahoma"/>
          <w:color w:val="000000"/>
          <w:lang w:val="pt-PT"/>
        </w:rPr>
        <w:t xml:space="preserve">alinhado ao contexto de planificação nacional e harmonizado com as aspirações e metas nacionais. Encontra-se </w:t>
      </w:r>
      <w:r>
        <w:rPr>
          <w:rFonts w:ascii="Garamond" w:eastAsia="Times New Roman" w:hAnsi="Garamond" w:cs="Calibri"/>
          <w:color w:val="222222"/>
          <w:lang w:val="pt-PT"/>
        </w:rPr>
        <w:t xml:space="preserve">alinhado com o </w:t>
      </w:r>
      <w:proofErr w:type="spellStart"/>
      <w:r>
        <w:rPr>
          <w:rFonts w:ascii="Garamond" w:eastAsia="Times New Roman" w:hAnsi="Garamond" w:cs="Calibri"/>
          <w:color w:val="222222"/>
          <w:lang w:val="pt-PT"/>
        </w:rPr>
        <w:t>PEDS</w:t>
      </w:r>
      <w:proofErr w:type="spellEnd"/>
      <w:r>
        <w:rPr>
          <w:rFonts w:ascii="Garamond" w:eastAsia="Times New Roman" w:hAnsi="Garamond" w:cs="Calibri"/>
          <w:color w:val="222222"/>
          <w:lang w:val="pt-PT"/>
        </w:rPr>
        <w:t xml:space="preserve"> e </w:t>
      </w:r>
      <w:proofErr w:type="spellStart"/>
      <w:r>
        <w:rPr>
          <w:rFonts w:ascii="Garamond" w:eastAsia="Times New Roman" w:hAnsi="Garamond" w:cs="Calibri"/>
          <w:color w:val="222222"/>
          <w:lang w:val="pt-PT"/>
        </w:rPr>
        <w:t>ODS</w:t>
      </w:r>
      <w:proofErr w:type="spellEnd"/>
      <w:r>
        <w:rPr>
          <w:rFonts w:ascii="Garamond" w:eastAsia="Times New Roman" w:hAnsi="Garamond" w:cs="Calibri"/>
          <w:color w:val="222222"/>
          <w:lang w:val="pt-PT"/>
        </w:rPr>
        <w:t xml:space="preserve"> (ver tabela de alinhamento no Anexo </w:t>
      </w:r>
      <w:r w:rsidRPr="002E6BE6">
        <w:rPr>
          <w:rFonts w:ascii="Garamond" w:eastAsia="Times New Roman" w:hAnsi="Garamond" w:cs="Calibri"/>
          <w:color w:val="222222"/>
          <w:highlight w:val="yellow"/>
          <w:lang w:val="pt-PT"/>
        </w:rPr>
        <w:t>X</w:t>
      </w:r>
      <w:r>
        <w:rPr>
          <w:rFonts w:ascii="Garamond" w:eastAsia="Times New Roman" w:hAnsi="Garamond" w:cs="Calibri"/>
          <w:color w:val="222222"/>
          <w:lang w:val="pt-PT"/>
        </w:rPr>
        <w:t xml:space="preserve">), bem como às recomendações endereçadas ao Estado de Cabo Verde </w:t>
      </w:r>
      <w:proofErr w:type="spellStart"/>
      <w:r>
        <w:rPr>
          <w:rFonts w:ascii="Garamond" w:eastAsia="Times New Roman" w:hAnsi="Garamond" w:cs="Calibri"/>
          <w:color w:val="222222"/>
          <w:lang w:val="pt-PT"/>
        </w:rPr>
        <w:t>pelo</w:t>
      </w:r>
      <w:proofErr w:type="spellEnd"/>
      <w:r>
        <w:rPr>
          <w:rFonts w:ascii="Garamond" w:eastAsia="Times New Roman" w:hAnsi="Garamond" w:cs="Calibri"/>
          <w:color w:val="222222"/>
          <w:lang w:val="pt-PT"/>
        </w:rPr>
        <w:t xml:space="preserve"> Comité </w:t>
      </w:r>
      <w:proofErr w:type="spellStart"/>
      <w:r>
        <w:rPr>
          <w:rFonts w:ascii="Garamond" w:eastAsia="Times New Roman" w:hAnsi="Garamond" w:cs="Calibri"/>
          <w:color w:val="222222"/>
          <w:lang w:val="pt-PT"/>
        </w:rPr>
        <w:t>CEDAW</w:t>
      </w:r>
      <w:proofErr w:type="spellEnd"/>
      <w:r>
        <w:rPr>
          <w:rFonts w:ascii="Garamond" w:eastAsia="Times New Roman" w:hAnsi="Garamond" w:cs="Calibri"/>
          <w:color w:val="222222"/>
          <w:lang w:val="pt-PT"/>
        </w:rPr>
        <w:t xml:space="preserve"> (ver tabela de alinhamento no Anexo </w:t>
      </w:r>
      <w:r w:rsidRPr="002E6BE6">
        <w:rPr>
          <w:rFonts w:ascii="Garamond" w:eastAsia="Times New Roman" w:hAnsi="Garamond" w:cs="Calibri"/>
          <w:color w:val="222222"/>
          <w:highlight w:val="yellow"/>
          <w:lang w:val="pt-PT"/>
        </w:rPr>
        <w:t>X</w:t>
      </w:r>
      <w:r>
        <w:rPr>
          <w:rFonts w:ascii="Garamond" w:eastAsia="Times New Roman" w:hAnsi="Garamond" w:cs="Calibri"/>
          <w:color w:val="222222"/>
          <w:lang w:val="pt-PT"/>
        </w:rPr>
        <w:t>).</w:t>
      </w:r>
    </w:p>
    <w:p w14:paraId="71E65C28" w14:textId="2AE705F2" w:rsidR="002E2530" w:rsidRDefault="00E26DFE" w:rsidP="006B7EB2">
      <w:pPr>
        <w:jc w:val="both"/>
        <w:rPr>
          <w:rFonts w:ascii="Garamond" w:hAnsi="Garamond"/>
          <w:lang w:val="pt-PT"/>
        </w:rPr>
      </w:pPr>
      <w:r>
        <w:rPr>
          <w:rFonts w:ascii="Garamond" w:hAnsi="Garamond"/>
          <w:lang w:val="pt-PT"/>
        </w:rPr>
        <w:t xml:space="preserve">O </w:t>
      </w:r>
      <w:r w:rsidR="00DA7A8E" w:rsidRPr="00DA7A8E">
        <w:rPr>
          <w:rFonts w:ascii="Garamond" w:hAnsi="Garamond"/>
          <w:lang w:val="pt-PT"/>
        </w:rPr>
        <w:t>Plano de Cargos, Carreiras e Salários</w:t>
      </w:r>
      <w:r w:rsidR="00DA7A8E">
        <w:rPr>
          <w:rFonts w:ascii="Garamond" w:hAnsi="Garamond"/>
          <w:lang w:val="pt-PT"/>
        </w:rPr>
        <w:t xml:space="preserve"> (</w:t>
      </w:r>
      <w:proofErr w:type="spellStart"/>
      <w:r w:rsidR="00DA7A8E">
        <w:rPr>
          <w:rFonts w:ascii="Garamond" w:hAnsi="Garamond"/>
          <w:lang w:val="pt-PT"/>
        </w:rPr>
        <w:t>PCCS</w:t>
      </w:r>
      <w:proofErr w:type="spellEnd"/>
      <w:r w:rsidR="00DA7A8E">
        <w:rPr>
          <w:rFonts w:ascii="Garamond" w:hAnsi="Garamond"/>
          <w:lang w:val="pt-PT"/>
        </w:rPr>
        <w:t>) do</w:t>
      </w:r>
      <w:r>
        <w:rPr>
          <w:rFonts w:ascii="Garamond" w:hAnsi="Garamond"/>
          <w:lang w:val="pt-PT"/>
        </w:rPr>
        <w:t xml:space="preserve"> </w:t>
      </w:r>
      <w:proofErr w:type="spellStart"/>
      <w:r w:rsidRPr="000461D3">
        <w:rPr>
          <w:rFonts w:ascii="Garamond" w:hAnsi="Garamond"/>
          <w:lang w:val="pt-PT"/>
        </w:rPr>
        <w:t>ICIEG</w:t>
      </w:r>
      <w:proofErr w:type="spellEnd"/>
      <w:r>
        <w:rPr>
          <w:rFonts w:ascii="Garamond" w:hAnsi="Garamond"/>
          <w:lang w:val="pt-PT"/>
        </w:rPr>
        <w:t xml:space="preserve">, </w:t>
      </w:r>
      <w:r w:rsidR="00DA7A8E">
        <w:rPr>
          <w:rFonts w:ascii="Garamond" w:hAnsi="Garamond"/>
          <w:lang w:val="pt-PT"/>
        </w:rPr>
        <w:t>aprovado em 2018</w:t>
      </w:r>
      <w:r w:rsidR="002E2530">
        <w:rPr>
          <w:rFonts w:ascii="Garamond" w:hAnsi="Garamond"/>
          <w:lang w:val="pt-PT"/>
        </w:rPr>
        <w:t>,</w:t>
      </w:r>
      <w:r w:rsidR="00DA7A8E">
        <w:rPr>
          <w:rStyle w:val="Refdenotaderodap"/>
          <w:rFonts w:ascii="Garamond" w:hAnsi="Garamond"/>
          <w:lang w:val="pt-PT"/>
        </w:rPr>
        <w:footnoteReference w:id="130"/>
      </w:r>
      <w:r w:rsidR="002E2530">
        <w:rPr>
          <w:rFonts w:ascii="Garamond" w:hAnsi="Garamond"/>
          <w:lang w:val="pt-PT"/>
        </w:rPr>
        <w:t xml:space="preserve"> tem em conta as responsabilidades do quadro técnico </w:t>
      </w:r>
      <w:proofErr w:type="spellStart"/>
      <w:r w:rsidR="002E2530">
        <w:rPr>
          <w:rFonts w:ascii="Garamond" w:hAnsi="Garamond"/>
          <w:lang w:val="pt-PT"/>
        </w:rPr>
        <w:t>ICIEG</w:t>
      </w:r>
      <w:proofErr w:type="spellEnd"/>
      <w:r w:rsidR="002E2530">
        <w:rPr>
          <w:rFonts w:ascii="Garamond" w:hAnsi="Garamond"/>
          <w:lang w:val="pt-PT"/>
        </w:rPr>
        <w:t xml:space="preserve"> na </w:t>
      </w:r>
      <w:proofErr w:type="spellStart"/>
      <w:r w:rsidR="002E2530">
        <w:rPr>
          <w:rFonts w:ascii="Garamond" w:hAnsi="Garamond"/>
          <w:lang w:val="pt-PT"/>
        </w:rPr>
        <w:t>transversalização</w:t>
      </w:r>
      <w:proofErr w:type="spellEnd"/>
      <w:r w:rsidR="002E2530">
        <w:rPr>
          <w:rFonts w:ascii="Garamond" w:hAnsi="Garamond"/>
          <w:lang w:val="pt-PT"/>
        </w:rPr>
        <w:t xml:space="preserve"> da abordagem de género. O </w:t>
      </w:r>
      <w:proofErr w:type="spellStart"/>
      <w:r w:rsidR="002E2530">
        <w:rPr>
          <w:rFonts w:ascii="Garamond" w:hAnsi="Garamond"/>
          <w:lang w:val="pt-PT"/>
        </w:rPr>
        <w:t>ICIEG</w:t>
      </w:r>
      <w:proofErr w:type="spellEnd"/>
      <w:r w:rsidR="002E2530">
        <w:rPr>
          <w:rFonts w:ascii="Garamond" w:hAnsi="Garamond"/>
          <w:lang w:val="pt-PT"/>
        </w:rPr>
        <w:t xml:space="preserve"> coordena a Comissão de Género, e a sua organização interna deverá reflectir esta missão.</w:t>
      </w:r>
      <w:r w:rsidR="00D52226">
        <w:rPr>
          <w:rFonts w:ascii="Garamond" w:hAnsi="Garamond"/>
          <w:lang w:val="pt-PT"/>
        </w:rPr>
        <w:t xml:space="preserve"> Deverá ser indicado um Coordenador da implementação do </w:t>
      </w:r>
      <w:proofErr w:type="spellStart"/>
      <w:r w:rsidR="00D52226">
        <w:rPr>
          <w:rFonts w:ascii="Garamond" w:hAnsi="Garamond"/>
          <w:lang w:val="pt-PT"/>
        </w:rPr>
        <w:t>PNIG</w:t>
      </w:r>
      <w:proofErr w:type="spellEnd"/>
      <w:r w:rsidR="00D52226">
        <w:rPr>
          <w:rFonts w:ascii="Garamond" w:hAnsi="Garamond"/>
          <w:lang w:val="pt-PT"/>
        </w:rPr>
        <w:t>, com o perfil de competências necessário.</w:t>
      </w:r>
    </w:p>
    <w:p w14:paraId="597DEDD5" w14:textId="2D6A651E" w:rsidR="006B7EB2" w:rsidRPr="00DA7A8E" w:rsidRDefault="006B7EB2" w:rsidP="006B7EB2">
      <w:pPr>
        <w:jc w:val="both"/>
        <w:rPr>
          <w:rFonts w:ascii="Garamond" w:hAnsi="Garamond"/>
          <w:lang w:val="pt-PT"/>
        </w:rPr>
      </w:pPr>
      <w:r w:rsidRPr="006B7EB2">
        <w:rPr>
          <w:rFonts w:ascii="Garamond" w:hAnsi="Garamond"/>
          <w:lang w:val="pt-PT"/>
        </w:rPr>
        <w:t xml:space="preserve"> </w:t>
      </w:r>
    </w:p>
    <w:p w14:paraId="710CFCDC" w14:textId="49E71A61" w:rsidR="00306070" w:rsidRDefault="007F343D" w:rsidP="007F343D">
      <w:pPr>
        <w:pStyle w:val="PargrafodaLista"/>
        <w:spacing w:after="240"/>
        <w:ind w:left="0"/>
        <w:jc w:val="both"/>
        <w:outlineLvl w:val="2"/>
        <w:rPr>
          <w:rFonts w:ascii="Garamond" w:hAnsi="Garamond" w:cs="Times New Roman"/>
          <w:b/>
          <w:sz w:val="28"/>
          <w:szCs w:val="28"/>
          <w:lang w:val="pt-PT"/>
        </w:rPr>
      </w:pPr>
      <w:bookmarkStart w:id="112" w:name="_Toc32858136"/>
      <w:r w:rsidRPr="00220A66">
        <w:rPr>
          <w:rFonts w:ascii="Garamond" w:hAnsi="Garamond" w:cs="Times New Roman"/>
          <w:b/>
          <w:sz w:val="28"/>
          <w:szCs w:val="28"/>
          <w:lang w:val="pt-PT"/>
        </w:rPr>
        <w:t xml:space="preserve">Matriz de implementação do </w:t>
      </w:r>
      <w:proofErr w:type="spellStart"/>
      <w:r w:rsidRPr="00220A66">
        <w:rPr>
          <w:rFonts w:ascii="Garamond" w:hAnsi="Garamond" w:cs="Times New Roman"/>
          <w:b/>
          <w:sz w:val="28"/>
          <w:szCs w:val="28"/>
          <w:lang w:val="pt-PT"/>
        </w:rPr>
        <w:t>PNIG</w:t>
      </w:r>
      <w:bookmarkEnd w:id="112"/>
      <w:proofErr w:type="spellEnd"/>
    </w:p>
    <w:p w14:paraId="2705BE87" w14:textId="226B0501" w:rsidR="0099714C" w:rsidRDefault="0099714C" w:rsidP="009F6506">
      <w:pPr>
        <w:pStyle w:val="PargrafodaLista"/>
        <w:spacing w:after="240"/>
        <w:ind w:left="0"/>
        <w:jc w:val="both"/>
        <w:rPr>
          <w:rFonts w:ascii="Garamond" w:hAnsi="Garamond" w:cs="Times New Roman"/>
          <w:b/>
          <w:sz w:val="28"/>
          <w:szCs w:val="28"/>
          <w:lang w:val="pt-PT"/>
        </w:rPr>
      </w:pPr>
    </w:p>
    <w:p w14:paraId="7EABC788" w14:textId="1F12BA3F" w:rsidR="0099714C" w:rsidRDefault="0099714C" w:rsidP="009F6506">
      <w:pPr>
        <w:pStyle w:val="PargrafodaLista"/>
        <w:spacing w:after="240"/>
        <w:ind w:left="0"/>
        <w:jc w:val="both"/>
        <w:rPr>
          <w:rFonts w:ascii="Garamond" w:hAnsi="Garamond" w:cs="Times New Roman"/>
          <w:b/>
          <w:sz w:val="28"/>
          <w:szCs w:val="28"/>
          <w:lang w:val="pt-PT"/>
        </w:rPr>
      </w:pPr>
    </w:p>
    <w:p w14:paraId="2C7FD6E2" w14:textId="3F636754" w:rsidR="0099714C" w:rsidRDefault="0099714C" w:rsidP="009F6506">
      <w:pPr>
        <w:pStyle w:val="PargrafodaLista"/>
        <w:spacing w:after="240"/>
        <w:ind w:left="0"/>
        <w:jc w:val="both"/>
        <w:rPr>
          <w:rFonts w:ascii="Garamond" w:hAnsi="Garamond" w:cs="Times New Roman"/>
          <w:b/>
          <w:sz w:val="28"/>
          <w:szCs w:val="28"/>
          <w:lang w:val="pt-PT"/>
        </w:rPr>
      </w:pPr>
    </w:p>
    <w:p w14:paraId="70701B35" w14:textId="3D2B6B6B" w:rsidR="00366D42" w:rsidRDefault="00366D42">
      <w:pPr>
        <w:rPr>
          <w:rFonts w:ascii="Garamond" w:hAnsi="Garamond" w:cs="Times New Roman"/>
          <w:b/>
          <w:sz w:val="28"/>
          <w:szCs w:val="28"/>
          <w:lang w:val="pt-PT"/>
        </w:rPr>
      </w:pPr>
      <w:r>
        <w:rPr>
          <w:rFonts w:ascii="Garamond" w:hAnsi="Garamond" w:cs="Times New Roman"/>
          <w:b/>
          <w:sz w:val="28"/>
          <w:szCs w:val="28"/>
          <w:lang w:val="pt-PT"/>
        </w:rPr>
        <w:br w:type="page"/>
      </w:r>
    </w:p>
    <w:p w14:paraId="4FC92AF9" w14:textId="77777777" w:rsidR="0099714C" w:rsidRDefault="0099714C">
      <w:pPr>
        <w:rPr>
          <w:rFonts w:ascii="Garamond" w:hAnsi="Garamond" w:cs="Times New Roman"/>
          <w:b/>
          <w:sz w:val="28"/>
          <w:szCs w:val="28"/>
          <w:lang w:val="pt-PT"/>
        </w:rPr>
        <w:sectPr w:rsidR="0099714C" w:rsidSect="00BE2A06">
          <w:headerReference w:type="even" r:id="rId59"/>
          <w:headerReference w:type="default" r:id="rId60"/>
          <w:footerReference w:type="even" r:id="rId61"/>
          <w:footerReference w:type="default" r:id="rId62"/>
          <w:headerReference w:type="first" r:id="rId63"/>
          <w:pgSz w:w="11900" w:h="16840"/>
          <w:pgMar w:top="1440" w:right="1440" w:bottom="1440" w:left="1440" w:header="708" w:footer="708" w:gutter="0"/>
          <w:cols w:space="708"/>
          <w:docGrid w:linePitch="360"/>
        </w:sectPr>
      </w:pPr>
    </w:p>
    <w:p w14:paraId="2B203FB4" w14:textId="29EF8723" w:rsidR="00432609" w:rsidRDefault="00432609" w:rsidP="009F6506">
      <w:pPr>
        <w:pStyle w:val="PargrafodaLista"/>
        <w:ind w:left="0"/>
        <w:jc w:val="both"/>
        <w:rPr>
          <w:rFonts w:ascii="Garamond" w:hAnsi="Garamond"/>
          <w:b/>
          <w:sz w:val="20"/>
          <w:szCs w:val="20"/>
          <w:lang w:val="pt-PT"/>
        </w:rPr>
      </w:pPr>
      <w:r w:rsidRPr="00432609">
        <w:rPr>
          <w:rFonts w:ascii="Garamond" w:hAnsi="Garamond"/>
          <w:b/>
          <w:sz w:val="20"/>
          <w:szCs w:val="20"/>
          <w:lang w:val="pt-PT"/>
        </w:rPr>
        <w:t>Eixo 1 - Empoderamento económico e igualdade no trabalho</w:t>
      </w:r>
    </w:p>
    <w:p w14:paraId="65200B6D" w14:textId="77777777" w:rsidR="003C0F9B" w:rsidRPr="00432609" w:rsidRDefault="003C0F9B" w:rsidP="009F6506">
      <w:pPr>
        <w:pStyle w:val="PargrafodaLista"/>
        <w:ind w:left="0"/>
        <w:jc w:val="both"/>
        <w:rPr>
          <w:rFonts w:ascii="Garamond" w:hAnsi="Garamond"/>
          <w:b/>
          <w:sz w:val="20"/>
          <w:szCs w:val="20"/>
          <w:lang w:val="pt-PT"/>
        </w:rPr>
      </w:pPr>
    </w:p>
    <w:p w14:paraId="0F389D5B" w14:textId="196339E7" w:rsidR="00432609" w:rsidRDefault="00432609" w:rsidP="00432609">
      <w:pPr>
        <w:shd w:val="clear" w:color="auto" w:fill="FFFFFF" w:themeFill="background1"/>
        <w:rPr>
          <w:rFonts w:ascii="Garamond" w:hAnsi="Garamond"/>
          <w:bCs/>
          <w:sz w:val="20"/>
          <w:szCs w:val="20"/>
          <w:lang w:val="pt-PT"/>
        </w:rPr>
      </w:pPr>
      <w:proofErr w:type="spellStart"/>
      <w:r w:rsidRPr="00432609">
        <w:rPr>
          <w:rFonts w:ascii="Garamond" w:hAnsi="Garamond"/>
          <w:b/>
          <w:sz w:val="20"/>
          <w:szCs w:val="20"/>
          <w:lang w:val="pt-PT"/>
        </w:rPr>
        <w:t>Objetivo</w:t>
      </w:r>
      <w:proofErr w:type="spellEnd"/>
      <w:r w:rsidRPr="00432609">
        <w:rPr>
          <w:rFonts w:ascii="Garamond" w:hAnsi="Garamond"/>
          <w:b/>
          <w:sz w:val="20"/>
          <w:szCs w:val="20"/>
          <w:lang w:val="pt-PT"/>
        </w:rPr>
        <w:t xml:space="preserve"> estratégico</w:t>
      </w:r>
      <w:r w:rsidRPr="00432609">
        <w:rPr>
          <w:rFonts w:ascii="Garamond" w:hAnsi="Garamond"/>
          <w:bCs/>
          <w:sz w:val="20"/>
          <w:szCs w:val="20"/>
          <w:lang w:val="pt-PT"/>
        </w:rPr>
        <w:t xml:space="preserve">: Promover um melhor acesso das mulheres a recursos e oportunidades económicas e a sua melhor inserção no mercado de trabalho, tendo em conta as dimensões regionais e os grupos mais pobres </w:t>
      </w:r>
    </w:p>
    <w:p w14:paraId="0EB11C93" w14:textId="77777777" w:rsidR="003C0F9B" w:rsidRPr="00432609" w:rsidRDefault="003C0F9B" w:rsidP="00432609">
      <w:pPr>
        <w:shd w:val="clear" w:color="auto" w:fill="FFFFFF" w:themeFill="background1"/>
        <w:rPr>
          <w:rFonts w:ascii="Garamond" w:hAnsi="Garamond"/>
          <w:bCs/>
          <w:sz w:val="20"/>
          <w:szCs w:val="20"/>
          <w:lang w:val="pt-PT"/>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9"/>
        <w:gridCol w:w="4849"/>
        <w:gridCol w:w="1365"/>
        <w:gridCol w:w="2123"/>
        <w:gridCol w:w="220"/>
        <w:gridCol w:w="198"/>
        <w:gridCol w:w="207"/>
        <w:gridCol w:w="207"/>
        <w:gridCol w:w="207"/>
        <w:gridCol w:w="207"/>
        <w:gridCol w:w="207"/>
        <w:gridCol w:w="207"/>
        <w:gridCol w:w="207"/>
        <w:gridCol w:w="207"/>
        <w:gridCol w:w="207"/>
        <w:gridCol w:w="207"/>
        <w:gridCol w:w="207"/>
        <w:gridCol w:w="207"/>
        <w:gridCol w:w="207"/>
        <w:gridCol w:w="207"/>
        <w:gridCol w:w="1275"/>
      </w:tblGrid>
      <w:tr w:rsidR="00432609" w:rsidRPr="00D21977" w14:paraId="51FF12C6" w14:textId="77777777" w:rsidTr="00E1150C">
        <w:trPr>
          <w:trHeight w:val="424"/>
          <w:tblHeader/>
        </w:trPr>
        <w:tc>
          <w:tcPr>
            <w:tcW w:w="1739" w:type="dxa"/>
            <w:vMerge w:val="restart"/>
            <w:shd w:val="clear" w:color="auto" w:fill="DEEAF6" w:themeFill="accent5" w:themeFillTint="33"/>
            <w:vAlign w:val="center"/>
          </w:tcPr>
          <w:p w14:paraId="09F9720C" w14:textId="77777777" w:rsidR="00432609" w:rsidRPr="00D21977" w:rsidRDefault="00432609" w:rsidP="003C0F9B">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849" w:type="dxa"/>
            <w:vMerge w:val="restart"/>
            <w:shd w:val="clear" w:color="auto" w:fill="DEEAF6" w:themeFill="accent5" w:themeFillTint="33"/>
            <w:vAlign w:val="center"/>
          </w:tcPr>
          <w:p w14:paraId="4198DC80" w14:textId="77777777" w:rsidR="00432609" w:rsidRPr="00D21977" w:rsidRDefault="00432609" w:rsidP="00DF0B6E">
            <w:pPr>
              <w:spacing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Medidas</w:t>
            </w:r>
            <w:proofErr w:type="spellEnd"/>
            <w:r w:rsidRPr="00D21977">
              <w:rPr>
                <w:rFonts w:ascii="Garamond" w:eastAsia="Times New Roman" w:hAnsi="Garamond" w:cs="Times New Roman"/>
                <w:b/>
                <w:bCs/>
                <w:sz w:val="20"/>
                <w:szCs w:val="20"/>
                <w:lang w:eastAsia="es-ES"/>
              </w:rPr>
              <w:t xml:space="preserve"> de </w:t>
            </w:r>
            <w:proofErr w:type="spellStart"/>
            <w:r w:rsidRPr="00D21977">
              <w:rPr>
                <w:rFonts w:ascii="Garamond" w:eastAsia="Times New Roman" w:hAnsi="Garamond" w:cs="Times New Roman"/>
                <w:b/>
                <w:bCs/>
                <w:sz w:val="20"/>
                <w:szCs w:val="20"/>
                <w:lang w:eastAsia="es-ES"/>
              </w:rPr>
              <w:t>ação</w:t>
            </w:r>
            <w:proofErr w:type="spellEnd"/>
          </w:p>
        </w:tc>
        <w:tc>
          <w:tcPr>
            <w:tcW w:w="1365" w:type="dxa"/>
            <w:vMerge w:val="restart"/>
            <w:shd w:val="clear" w:color="auto" w:fill="DEEAF6" w:themeFill="accent5" w:themeFillTint="33"/>
            <w:vAlign w:val="center"/>
          </w:tcPr>
          <w:p w14:paraId="204FDF70"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responsável</w:t>
            </w:r>
            <w:proofErr w:type="spellEnd"/>
          </w:p>
        </w:tc>
        <w:tc>
          <w:tcPr>
            <w:tcW w:w="2123" w:type="dxa"/>
            <w:vMerge w:val="restart"/>
            <w:shd w:val="clear" w:color="auto" w:fill="DEEAF6" w:themeFill="accent5" w:themeFillTint="33"/>
            <w:vAlign w:val="center"/>
          </w:tcPr>
          <w:p w14:paraId="333B835C"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envolvidas</w:t>
            </w:r>
            <w:proofErr w:type="spellEnd"/>
          </w:p>
        </w:tc>
        <w:tc>
          <w:tcPr>
            <w:tcW w:w="3316" w:type="dxa"/>
            <w:gridSpan w:val="16"/>
            <w:shd w:val="clear" w:color="auto" w:fill="DEEAF6" w:themeFill="accent5" w:themeFillTint="33"/>
            <w:vAlign w:val="center"/>
          </w:tcPr>
          <w:p w14:paraId="0D2B38B1"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Calendário</w:t>
            </w:r>
            <w:proofErr w:type="spellEnd"/>
          </w:p>
        </w:tc>
        <w:tc>
          <w:tcPr>
            <w:tcW w:w="1275" w:type="dxa"/>
            <w:vMerge w:val="restart"/>
            <w:shd w:val="clear" w:color="auto" w:fill="DEEAF6" w:themeFill="accent5" w:themeFillTint="33"/>
            <w:vAlign w:val="center"/>
          </w:tcPr>
          <w:p w14:paraId="4E2A90BA" w14:textId="14AF0397" w:rsidR="00420052" w:rsidRPr="00D21977" w:rsidRDefault="00432609" w:rsidP="001D3D65">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1D3D65">
              <w:rPr>
                <w:rFonts w:ascii="Garamond" w:eastAsia="Times New Roman" w:hAnsi="Garamond" w:cs="Times New Roman"/>
                <w:b/>
                <w:bCs/>
                <w:sz w:val="20"/>
                <w:szCs w:val="20"/>
                <w:lang w:eastAsia="es-ES"/>
              </w:rPr>
              <w:t xml:space="preserve"> (</w:t>
            </w:r>
            <w:proofErr w:type="spellStart"/>
            <w:r w:rsidR="001D3D65">
              <w:rPr>
                <w:rFonts w:ascii="Garamond" w:eastAsia="Times New Roman" w:hAnsi="Garamond" w:cs="Times New Roman"/>
                <w:b/>
                <w:bCs/>
                <w:sz w:val="20"/>
                <w:szCs w:val="20"/>
                <w:lang w:eastAsia="es-ES"/>
              </w:rPr>
              <w:t>ECV</w:t>
            </w:r>
            <w:proofErr w:type="spellEnd"/>
            <w:r w:rsidR="001D3D65">
              <w:rPr>
                <w:rFonts w:ascii="Garamond" w:eastAsia="Times New Roman" w:hAnsi="Garamond" w:cs="Times New Roman"/>
                <w:b/>
                <w:bCs/>
                <w:sz w:val="20"/>
                <w:szCs w:val="20"/>
                <w:lang w:eastAsia="es-ES"/>
              </w:rPr>
              <w:t>)</w:t>
            </w:r>
          </w:p>
        </w:tc>
      </w:tr>
      <w:tr w:rsidR="00432609" w:rsidRPr="00D21977" w14:paraId="0F58B4A0" w14:textId="77777777" w:rsidTr="00E1150C">
        <w:trPr>
          <w:trHeight w:val="498"/>
          <w:tblHeader/>
        </w:trPr>
        <w:tc>
          <w:tcPr>
            <w:tcW w:w="1739" w:type="dxa"/>
            <w:vMerge/>
            <w:shd w:val="clear" w:color="auto" w:fill="FFFFFF" w:themeFill="background1"/>
            <w:vAlign w:val="center"/>
          </w:tcPr>
          <w:p w14:paraId="418022A7"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4849" w:type="dxa"/>
            <w:vMerge/>
            <w:shd w:val="clear" w:color="auto" w:fill="FFFFFF" w:themeFill="background1"/>
          </w:tcPr>
          <w:p w14:paraId="6BBE29A5" w14:textId="77777777" w:rsidR="00432609" w:rsidRPr="00D21977" w:rsidRDefault="00432609" w:rsidP="00DF0B6E">
            <w:pPr>
              <w:spacing w:after="60"/>
              <w:jc w:val="center"/>
              <w:rPr>
                <w:rFonts w:ascii="Garamond" w:eastAsia="Times New Roman" w:hAnsi="Garamond" w:cs="Times New Roman"/>
                <w:b/>
                <w:bCs/>
                <w:sz w:val="20"/>
                <w:szCs w:val="20"/>
                <w:lang w:eastAsia="es-ES"/>
              </w:rPr>
            </w:pPr>
          </w:p>
        </w:tc>
        <w:tc>
          <w:tcPr>
            <w:tcW w:w="1365" w:type="dxa"/>
            <w:vMerge/>
            <w:shd w:val="clear" w:color="auto" w:fill="FFFFFF" w:themeFill="background1"/>
            <w:vAlign w:val="center"/>
          </w:tcPr>
          <w:p w14:paraId="79509BFE"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2123" w:type="dxa"/>
            <w:vMerge/>
            <w:shd w:val="clear" w:color="auto" w:fill="FFFFFF" w:themeFill="background1"/>
            <w:vAlign w:val="center"/>
          </w:tcPr>
          <w:p w14:paraId="247D659F"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832" w:type="dxa"/>
            <w:gridSpan w:val="4"/>
            <w:shd w:val="clear" w:color="auto" w:fill="F2F2F2" w:themeFill="background1" w:themeFillShade="F2"/>
            <w:vAlign w:val="center"/>
          </w:tcPr>
          <w:p w14:paraId="79B05276"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2020</w:t>
            </w:r>
          </w:p>
        </w:tc>
        <w:tc>
          <w:tcPr>
            <w:tcW w:w="828" w:type="dxa"/>
            <w:gridSpan w:val="4"/>
            <w:shd w:val="clear" w:color="auto" w:fill="FFFFFF" w:themeFill="background1"/>
            <w:vAlign w:val="center"/>
          </w:tcPr>
          <w:p w14:paraId="7C586091"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2021</w:t>
            </w:r>
          </w:p>
        </w:tc>
        <w:tc>
          <w:tcPr>
            <w:tcW w:w="828" w:type="dxa"/>
            <w:gridSpan w:val="4"/>
            <w:shd w:val="clear" w:color="auto" w:fill="F2F2F2" w:themeFill="background1" w:themeFillShade="F2"/>
            <w:vAlign w:val="center"/>
          </w:tcPr>
          <w:p w14:paraId="657D8380"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2022</w:t>
            </w:r>
          </w:p>
        </w:tc>
        <w:tc>
          <w:tcPr>
            <w:tcW w:w="828" w:type="dxa"/>
            <w:gridSpan w:val="4"/>
            <w:shd w:val="clear" w:color="auto" w:fill="FFFFFF" w:themeFill="background1"/>
            <w:vAlign w:val="center"/>
          </w:tcPr>
          <w:p w14:paraId="1B2AA3D6"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2023</w:t>
            </w:r>
          </w:p>
        </w:tc>
        <w:tc>
          <w:tcPr>
            <w:tcW w:w="1275" w:type="dxa"/>
            <w:vMerge/>
            <w:shd w:val="clear" w:color="auto" w:fill="FFFFFF" w:themeFill="background1"/>
            <w:vAlign w:val="center"/>
          </w:tcPr>
          <w:p w14:paraId="4DDC1684" w14:textId="77777777" w:rsidR="00432609" w:rsidRPr="00D21977" w:rsidRDefault="00432609" w:rsidP="00DF0B6E">
            <w:pPr>
              <w:jc w:val="center"/>
              <w:rPr>
                <w:rFonts w:ascii="Garamond" w:eastAsia="Times New Roman" w:hAnsi="Garamond" w:cs="Times New Roman"/>
                <w:b/>
                <w:bCs/>
                <w:sz w:val="20"/>
                <w:szCs w:val="20"/>
                <w:lang w:eastAsia="es-ES"/>
              </w:rPr>
            </w:pPr>
          </w:p>
        </w:tc>
      </w:tr>
      <w:tr w:rsidR="001D3D65" w:rsidRPr="00D21977" w14:paraId="357FEC86" w14:textId="77777777" w:rsidTr="001D3D65">
        <w:trPr>
          <w:trHeight w:val="331"/>
        </w:trPr>
        <w:tc>
          <w:tcPr>
            <w:tcW w:w="1739" w:type="dxa"/>
            <w:vMerge w:val="restart"/>
            <w:shd w:val="clear" w:color="auto" w:fill="FFFFFF" w:themeFill="background1"/>
          </w:tcPr>
          <w:p w14:paraId="1227BD17" w14:textId="7C6F7D0F" w:rsidR="001D3D65" w:rsidRPr="00084515" w:rsidRDefault="001D3D65" w:rsidP="001773AF">
            <w:pPr>
              <w:spacing w:after="240"/>
              <w:rPr>
                <w:rFonts w:ascii="Garamond" w:hAnsi="Garamond"/>
                <w:sz w:val="20"/>
                <w:szCs w:val="20"/>
                <w:lang w:val="pt-PT"/>
              </w:rPr>
            </w:pPr>
            <w:r w:rsidRPr="00084515">
              <w:rPr>
                <w:rFonts w:ascii="Garamond" w:hAnsi="Garamond"/>
                <w:sz w:val="20"/>
                <w:szCs w:val="20"/>
                <w:lang w:val="pt-PT"/>
              </w:rPr>
              <w:t xml:space="preserve">1.1. Aumentada a participação das mulheres em </w:t>
            </w:r>
            <w:proofErr w:type="spellStart"/>
            <w:r w:rsidRPr="00084515">
              <w:rPr>
                <w:rFonts w:ascii="Garamond" w:hAnsi="Garamond"/>
                <w:sz w:val="20"/>
                <w:szCs w:val="20"/>
                <w:lang w:val="pt-PT"/>
              </w:rPr>
              <w:t>setores</w:t>
            </w:r>
            <w:proofErr w:type="spellEnd"/>
            <w:r w:rsidRPr="00084515">
              <w:rPr>
                <w:rFonts w:ascii="Garamond" w:hAnsi="Garamond"/>
                <w:sz w:val="20"/>
                <w:szCs w:val="20"/>
                <w:lang w:val="pt-PT"/>
              </w:rPr>
              <w:t xml:space="preserve"> </w:t>
            </w:r>
            <w:proofErr w:type="gramStart"/>
            <w:r w:rsidRPr="00084515">
              <w:rPr>
                <w:rFonts w:ascii="Garamond" w:hAnsi="Garamond"/>
                <w:sz w:val="20"/>
                <w:szCs w:val="20"/>
                <w:lang w:val="pt-PT"/>
              </w:rPr>
              <w:t>económicos chave</w:t>
            </w:r>
            <w:proofErr w:type="gramEnd"/>
            <w:r w:rsidRPr="00084515">
              <w:rPr>
                <w:rFonts w:ascii="Garamond" w:hAnsi="Garamond"/>
                <w:sz w:val="20"/>
                <w:szCs w:val="20"/>
                <w:lang w:val="pt-PT"/>
              </w:rPr>
              <w:t xml:space="preserve"> e em áreas tecnológicas de ponta</w:t>
            </w:r>
          </w:p>
        </w:tc>
        <w:tc>
          <w:tcPr>
            <w:tcW w:w="4849" w:type="dxa"/>
            <w:vMerge w:val="restart"/>
            <w:shd w:val="clear" w:color="auto" w:fill="FFFFFF" w:themeFill="background1"/>
          </w:tcPr>
          <w:p w14:paraId="198DC984" w14:textId="76091517" w:rsidR="001D3D65" w:rsidRPr="00084515" w:rsidRDefault="001D3D65" w:rsidP="001773AF">
            <w:pPr>
              <w:spacing w:after="60"/>
              <w:rPr>
                <w:rFonts w:ascii="Garamond" w:hAnsi="Garamond"/>
                <w:sz w:val="20"/>
                <w:szCs w:val="20"/>
                <w:lang w:val="pt-PT"/>
              </w:rPr>
            </w:pPr>
            <w:r w:rsidRPr="00084515">
              <w:rPr>
                <w:rFonts w:ascii="Garamond" w:hAnsi="Garamond"/>
                <w:sz w:val="20"/>
                <w:szCs w:val="20"/>
                <w:lang w:val="pt-PT"/>
              </w:rPr>
              <w:t xml:space="preserve">1.1.1. </w:t>
            </w:r>
            <w:r w:rsidRPr="00084515">
              <w:rPr>
                <w:rFonts w:ascii="Garamond" w:eastAsia="Times New Roman" w:hAnsi="Garamond" w:cs="Tahoma"/>
                <w:bCs/>
                <w:sz w:val="20"/>
                <w:szCs w:val="20"/>
                <w:lang w:val="pt-PT" w:eastAsia="pt-PT"/>
              </w:rPr>
              <w:t xml:space="preserve">Introduzir a abordagem de género nas iniciativas de promoção do turismo e áreas conexas – agronegócios, indústrias criativas, economia verde, etc. incluindo nos respectivos estudos das cadeias de valores. </w:t>
            </w:r>
          </w:p>
        </w:tc>
        <w:tc>
          <w:tcPr>
            <w:tcW w:w="1365" w:type="dxa"/>
            <w:shd w:val="clear" w:color="auto" w:fill="FFFFFF" w:themeFill="background1"/>
            <w:vAlign w:val="center"/>
          </w:tcPr>
          <w:p w14:paraId="6F787C3B" w14:textId="4CB04CFD" w:rsidR="001D3D65" w:rsidRPr="001D3D65" w:rsidRDefault="001D3D65" w:rsidP="001D3D65">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IT</w:t>
            </w:r>
          </w:p>
        </w:tc>
        <w:tc>
          <w:tcPr>
            <w:tcW w:w="2123" w:type="dxa"/>
            <w:vMerge w:val="restart"/>
            <w:shd w:val="clear" w:color="auto" w:fill="FFFFFF" w:themeFill="background1"/>
            <w:vAlign w:val="center"/>
          </w:tcPr>
          <w:p w14:paraId="7C42D4DF" w14:textId="1DACB0DF" w:rsidR="001D3D65" w:rsidRPr="001D3D65" w:rsidRDefault="001D3D65" w:rsidP="001773AF">
            <w:pPr>
              <w:jc w:val="center"/>
              <w:rPr>
                <w:rFonts w:ascii="Garamond" w:eastAsia="Times New Roman" w:hAnsi="Garamond" w:cs="Times New Roman"/>
                <w:color w:val="000000"/>
                <w:sz w:val="20"/>
                <w:szCs w:val="20"/>
                <w:lang w:val="pt-PT"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r w:rsidR="00B17BA8">
              <w:rPr>
                <w:rFonts w:ascii="Garamond" w:eastAsia="Times New Roman" w:hAnsi="Garamond" w:cs="Times New Roman"/>
                <w:color w:val="000000"/>
                <w:sz w:val="20"/>
                <w:szCs w:val="20"/>
                <w:lang w:eastAsia="es-ES"/>
              </w:rPr>
              <w:t>, FAO</w:t>
            </w:r>
          </w:p>
        </w:tc>
        <w:tc>
          <w:tcPr>
            <w:tcW w:w="220" w:type="dxa"/>
            <w:vMerge w:val="restart"/>
            <w:shd w:val="clear" w:color="auto" w:fill="F2F2F2" w:themeFill="background1" w:themeFillShade="F2"/>
            <w:vAlign w:val="center"/>
          </w:tcPr>
          <w:p w14:paraId="2AED6F84" w14:textId="5742CD94"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198" w:type="dxa"/>
            <w:vMerge w:val="restart"/>
            <w:shd w:val="clear" w:color="auto" w:fill="F2F2F2" w:themeFill="background1" w:themeFillShade="F2"/>
            <w:vAlign w:val="center"/>
          </w:tcPr>
          <w:p w14:paraId="71DBE235" w14:textId="78DD509D"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1B82017E" w14:textId="26430826"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65800A86" w14:textId="25C23CE0"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7C20A904" w14:textId="188F601B"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0C0105B4" w14:textId="1F5A0EB3"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1E4478A0" w14:textId="3AD402CB"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43D44860" w14:textId="2EA0B6CB"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41E951D5" w14:textId="34C1F2DF"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2EF532BE" w14:textId="38183240"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0FA87F1D" w14:textId="4AAE6F47"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2F2F2" w:themeFill="background1" w:themeFillShade="F2"/>
            <w:vAlign w:val="center"/>
          </w:tcPr>
          <w:p w14:paraId="4E213814" w14:textId="0708303F"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6B71281C" w14:textId="4CB6236E"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6F1CB9FF" w14:textId="12BBE668"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3C186758" w14:textId="05E89D0C"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207" w:type="dxa"/>
            <w:vMerge w:val="restart"/>
            <w:shd w:val="clear" w:color="auto" w:fill="FFFFFF" w:themeFill="background1"/>
            <w:vAlign w:val="center"/>
          </w:tcPr>
          <w:p w14:paraId="0F41709D" w14:textId="7FA20AE0" w:rsidR="001D3D65" w:rsidRPr="001D3D65" w:rsidRDefault="001D3D65" w:rsidP="001773AF">
            <w:pPr>
              <w:rPr>
                <w:rFonts w:ascii="Garamond" w:eastAsia="Times New Roman" w:hAnsi="Garamond" w:cs="Times New Roman"/>
                <w:b/>
                <w:bCs/>
                <w:color w:val="000000"/>
                <w:sz w:val="12"/>
                <w:szCs w:val="12"/>
                <w:lang w:val="pt-PT"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C8A021D" w14:textId="19FDB6CB"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6 000 000</w:t>
            </w:r>
          </w:p>
        </w:tc>
      </w:tr>
      <w:tr w:rsidR="001D3D65" w:rsidRPr="00D21977" w14:paraId="48DF27C4" w14:textId="77777777" w:rsidTr="001D3D65">
        <w:trPr>
          <w:trHeight w:val="294"/>
        </w:trPr>
        <w:tc>
          <w:tcPr>
            <w:tcW w:w="1739" w:type="dxa"/>
            <w:vMerge/>
            <w:shd w:val="clear" w:color="auto" w:fill="FFFFFF" w:themeFill="background1"/>
          </w:tcPr>
          <w:p w14:paraId="4E0DE247" w14:textId="5B663E43" w:rsidR="001D3D65" w:rsidRPr="00084515" w:rsidRDefault="001D3D65" w:rsidP="001773AF">
            <w:pPr>
              <w:spacing w:after="240"/>
              <w:rPr>
                <w:rFonts w:ascii="Garamond" w:hAnsi="Garamond"/>
                <w:sz w:val="20"/>
                <w:szCs w:val="20"/>
                <w:lang w:val="pt-PT"/>
              </w:rPr>
            </w:pPr>
          </w:p>
        </w:tc>
        <w:tc>
          <w:tcPr>
            <w:tcW w:w="4849" w:type="dxa"/>
            <w:vMerge/>
            <w:shd w:val="clear" w:color="auto" w:fill="FFFFFF" w:themeFill="background1"/>
          </w:tcPr>
          <w:p w14:paraId="05AE9A2F" w14:textId="34B3EFF3" w:rsidR="001D3D65" w:rsidRPr="00084515" w:rsidRDefault="001D3D65" w:rsidP="001773AF">
            <w:pPr>
              <w:spacing w:after="60"/>
              <w:rPr>
                <w:rFonts w:ascii="Garamond" w:hAnsi="Garamond"/>
                <w:sz w:val="20"/>
                <w:szCs w:val="20"/>
                <w:lang w:val="pt-PT"/>
              </w:rPr>
            </w:pPr>
          </w:p>
        </w:tc>
        <w:tc>
          <w:tcPr>
            <w:tcW w:w="1365" w:type="dxa"/>
            <w:shd w:val="clear" w:color="auto" w:fill="FFFFFF" w:themeFill="background1"/>
            <w:vAlign w:val="center"/>
          </w:tcPr>
          <w:p w14:paraId="165DAF21" w14:textId="05696758" w:rsidR="001D3D65" w:rsidRDefault="001D3D65" w:rsidP="001D3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MAA</w:t>
            </w:r>
          </w:p>
        </w:tc>
        <w:tc>
          <w:tcPr>
            <w:tcW w:w="2123" w:type="dxa"/>
            <w:vMerge/>
            <w:shd w:val="clear" w:color="auto" w:fill="FFFFFF" w:themeFill="background1"/>
            <w:vAlign w:val="center"/>
          </w:tcPr>
          <w:p w14:paraId="2314455B" w14:textId="79F13C5B" w:rsidR="001D3D65" w:rsidRDefault="001D3D65" w:rsidP="001773AF">
            <w:pPr>
              <w:jc w:val="center"/>
              <w:rPr>
                <w:rFonts w:ascii="Garamond" w:eastAsia="Times New Roman" w:hAnsi="Garamond" w:cs="Times New Roman"/>
                <w:color w:val="000000"/>
                <w:sz w:val="20"/>
                <w:szCs w:val="20"/>
                <w:lang w:eastAsia="es-ES"/>
              </w:rPr>
            </w:pPr>
          </w:p>
        </w:tc>
        <w:tc>
          <w:tcPr>
            <w:tcW w:w="220" w:type="dxa"/>
            <w:vMerge/>
            <w:shd w:val="clear" w:color="auto" w:fill="F2F2F2" w:themeFill="background1" w:themeFillShade="F2"/>
            <w:vAlign w:val="center"/>
          </w:tcPr>
          <w:p w14:paraId="5BB568A8" w14:textId="39C1B4D3" w:rsidR="001D3D65" w:rsidRPr="003C0F9B" w:rsidRDefault="001D3D65" w:rsidP="001773AF">
            <w:pPr>
              <w:rPr>
                <w:rFonts w:ascii="Garamond" w:eastAsia="Times New Roman" w:hAnsi="Garamond" w:cs="Times New Roman"/>
                <w:b/>
                <w:bCs/>
                <w:color w:val="000000"/>
                <w:sz w:val="12"/>
                <w:szCs w:val="12"/>
                <w:lang w:eastAsia="es-ES"/>
              </w:rPr>
            </w:pPr>
          </w:p>
        </w:tc>
        <w:tc>
          <w:tcPr>
            <w:tcW w:w="198" w:type="dxa"/>
            <w:vMerge/>
            <w:shd w:val="clear" w:color="auto" w:fill="F2F2F2" w:themeFill="background1" w:themeFillShade="F2"/>
            <w:vAlign w:val="center"/>
          </w:tcPr>
          <w:p w14:paraId="597CE280" w14:textId="0329E25A"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270A30CD" w14:textId="043FFFBF"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4CFEFC51" w14:textId="2BA2F5F3"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6D229314" w14:textId="61190987"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6271566E" w14:textId="613A9459"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310DB704" w14:textId="54F0F42B"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7632F45C" w14:textId="2FA02B0F"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1BD55A72" w14:textId="147056E3"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62FB85FA" w14:textId="6FF57F0E"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664FBB5C" w14:textId="2B5A8509"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2F2F2" w:themeFill="background1" w:themeFillShade="F2"/>
            <w:vAlign w:val="center"/>
          </w:tcPr>
          <w:p w14:paraId="1BD395B6" w14:textId="07BD5F93"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1F232011" w14:textId="49EAB888"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2191E174" w14:textId="12925462"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7482D83C" w14:textId="25032D2B" w:rsidR="001D3D65" w:rsidRPr="003C0F9B" w:rsidRDefault="001D3D65" w:rsidP="001773AF">
            <w:pPr>
              <w:rPr>
                <w:rFonts w:ascii="Garamond" w:eastAsia="Times New Roman" w:hAnsi="Garamond" w:cs="Times New Roman"/>
                <w:b/>
                <w:bCs/>
                <w:color w:val="000000"/>
                <w:sz w:val="12"/>
                <w:szCs w:val="12"/>
                <w:lang w:eastAsia="es-ES"/>
              </w:rPr>
            </w:pPr>
          </w:p>
        </w:tc>
        <w:tc>
          <w:tcPr>
            <w:tcW w:w="207" w:type="dxa"/>
            <w:vMerge/>
            <w:shd w:val="clear" w:color="auto" w:fill="FFFFFF" w:themeFill="background1"/>
            <w:vAlign w:val="center"/>
          </w:tcPr>
          <w:p w14:paraId="5AAE5F5F" w14:textId="61A7DBA4" w:rsidR="001D3D65" w:rsidRPr="003C0F9B" w:rsidRDefault="001D3D65" w:rsidP="001773AF">
            <w:pPr>
              <w:rPr>
                <w:rFonts w:ascii="Garamond" w:eastAsia="Times New Roman" w:hAnsi="Garamond" w:cs="Times New Roman"/>
                <w:b/>
                <w:bCs/>
                <w:color w:val="000000"/>
                <w:sz w:val="12"/>
                <w:szCs w:val="12"/>
                <w:lang w:eastAsia="es-ES"/>
              </w:rPr>
            </w:pPr>
          </w:p>
        </w:tc>
        <w:tc>
          <w:tcPr>
            <w:tcW w:w="1275" w:type="dxa"/>
            <w:shd w:val="clear" w:color="auto" w:fill="FFFFFF" w:themeFill="background1"/>
            <w:vAlign w:val="center"/>
          </w:tcPr>
          <w:p w14:paraId="6E8D96CD" w14:textId="355A51E7"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6 000 000</w:t>
            </w:r>
          </w:p>
        </w:tc>
      </w:tr>
      <w:tr w:rsidR="001D3D65" w:rsidRPr="00D21977" w14:paraId="26B85CC8" w14:textId="77777777" w:rsidTr="001D3D65">
        <w:trPr>
          <w:trHeight w:val="383"/>
        </w:trPr>
        <w:tc>
          <w:tcPr>
            <w:tcW w:w="1739" w:type="dxa"/>
            <w:vMerge/>
            <w:shd w:val="clear" w:color="auto" w:fill="FFFFFF" w:themeFill="background1"/>
          </w:tcPr>
          <w:p w14:paraId="59161C77" w14:textId="6B4C9E6B" w:rsidR="001D3D65" w:rsidRPr="00084515" w:rsidRDefault="001D3D65" w:rsidP="001773AF">
            <w:pPr>
              <w:spacing w:after="240"/>
              <w:rPr>
                <w:rFonts w:ascii="Garamond" w:hAnsi="Garamond"/>
                <w:sz w:val="20"/>
                <w:szCs w:val="20"/>
                <w:lang w:val="pt-PT"/>
              </w:rPr>
            </w:pPr>
          </w:p>
        </w:tc>
        <w:tc>
          <w:tcPr>
            <w:tcW w:w="4849" w:type="dxa"/>
            <w:vMerge/>
            <w:shd w:val="clear" w:color="auto" w:fill="FFFFFF" w:themeFill="background1"/>
          </w:tcPr>
          <w:p w14:paraId="404EDFDD" w14:textId="4363234E" w:rsidR="001D3D65" w:rsidRPr="00084515" w:rsidRDefault="001D3D65" w:rsidP="001773AF">
            <w:pPr>
              <w:spacing w:after="60"/>
              <w:rPr>
                <w:rFonts w:ascii="Garamond" w:eastAsia="Times New Roman" w:hAnsi="Garamond" w:cs="Times New Roman"/>
                <w:color w:val="000000"/>
                <w:sz w:val="20"/>
                <w:szCs w:val="20"/>
                <w:lang w:val="pt-PT" w:eastAsia="es-ES"/>
              </w:rPr>
            </w:pPr>
          </w:p>
        </w:tc>
        <w:tc>
          <w:tcPr>
            <w:tcW w:w="1365" w:type="dxa"/>
            <w:shd w:val="clear" w:color="auto" w:fill="FFFFFF" w:themeFill="background1"/>
            <w:vAlign w:val="center"/>
          </w:tcPr>
          <w:p w14:paraId="610AB6C1" w14:textId="1A0F46D5" w:rsidR="001D3D65" w:rsidRPr="00D21977" w:rsidRDefault="001D3D65" w:rsidP="001773AF">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MCIC</w:t>
            </w:r>
            <w:proofErr w:type="spellEnd"/>
          </w:p>
        </w:tc>
        <w:tc>
          <w:tcPr>
            <w:tcW w:w="2123" w:type="dxa"/>
            <w:vMerge/>
            <w:shd w:val="clear" w:color="auto" w:fill="FFFFFF" w:themeFill="background1"/>
            <w:vAlign w:val="center"/>
          </w:tcPr>
          <w:p w14:paraId="7311F6C2" w14:textId="3B52E73A" w:rsidR="001D3D65" w:rsidRPr="00D21977" w:rsidRDefault="001D3D65" w:rsidP="001773AF">
            <w:pPr>
              <w:jc w:val="center"/>
              <w:rPr>
                <w:rFonts w:ascii="Garamond" w:eastAsia="Times New Roman" w:hAnsi="Garamond" w:cs="Times New Roman"/>
                <w:color w:val="000000"/>
                <w:sz w:val="20"/>
                <w:szCs w:val="20"/>
                <w:lang w:eastAsia="es-ES"/>
              </w:rPr>
            </w:pPr>
          </w:p>
        </w:tc>
        <w:tc>
          <w:tcPr>
            <w:tcW w:w="220" w:type="dxa"/>
            <w:vMerge/>
            <w:shd w:val="clear" w:color="auto" w:fill="F2F2F2" w:themeFill="background1" w:themeFillShade="F2"/>
            <w:vAlign w:val="center"/>
          </w:tcPr>
          <w:p w14:paraId="133458DB" w14:textId="60AB7405" w:rsidR="001D3D65" w:rsidRPr="003C0F9B" w:rsidRDefault="001D3D65" w:rsidP="001773AF">
            <w:pPr>
              <w:rPr>
                <w:rFonts w:ascii="Garamond" w:eastAsia="Times New Roman" w:hAnsi="Garamond" w:cs="Times New Roman"/>
                <w:b/>
                <w:bCs/>
                <w:color w:val="000000"/>
                <w:sz w:val="12"/>
                <w:szCs w:val="12"/>
                <w:lang w:eastAsia="es-ES"/>
              </w:rPr>
            </w:pPr>
          </w:p>
        </w:tc>
        <w:tc>
          <w:tcPr>
            <w:tcW w:w="198" w:type="dxa"/>
            <w:vMerge/>
            <w:shd w:val="clear" w:color="auto" w:fill="F2F2F2" w:themeFill="background1" w:themeFillShade="F2"/>
            <w:vAlign w:val="center"/>
          </w:tcPr>
          <w:p w14:paraId="5A417E15" w14:textId="3B940A3F"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1D8ED222" w14:textId="02476D97"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0B20286A" w14:textId="0C5F3FA5"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6BBB179D" w14:textId="0277CD68"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0385C937" w14:textId="13845B91"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3E84FB1A" w14:textId="1C57E7CC"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0EA1F029" w14:textId="61A5599D"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758714F5" w14:textId="67CA5ED4"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5A3BE075" w14:textId="180E1746"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461EC03F" w14:textId="21B48237"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2F2F2" w:themeFill="background1" w:themeFillShade="F2"/>
            <w:vAlign w:val="center"/>
          </w:tcPr>
          <w:p w14:paraId="24C1FF44" w14:textId="5BFFDF27"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416A8707" w14:textId="1510BFDC"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2ECB01A5" w14:textId="550E4836"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3D0AD236" w14:textId="7A1C39BC" w:rsidR="001D3D65" w:rsidRPr="003C0F9B" w:rsidRDefault="001D3D65" w:rsidP="001773AF">
            <w:pPr>
              <w:rPr>
                <w:rFonts w:ascii="Garamond" w:eastAsia="Times New Roman" w:hAnsi="Garamond" w:cs="Times New Roman"/>
                <w:color w:val="000000"/>
                <w:sz w:val="12"/>
                <w:szCs w:val="12"/>
                <w:lang w:eastAsia="es-ES"/>
              </w:rPr>
            </w:pPr>
          </w:p>
        </w:tc>
        <w:tc>
          <w:tcPr>
            <w:tcW w:w="207" w:type="dxa"/>
            <w:vMerge/>
            <w:shd w:val="clear" w:color="auto" w:fill="FFFFFF" w:themeFill="background1"/>
            <w:vAlign w:val="center"/>
          </w:tcPr>
          <w:p w14:paraId="632F2F17" w14:textId="3E28AE12" w:rsidR="001D3D65" w:rsidRPr="003C0F9B" w:rsidRDefault="001D3D65" w:rsidP="001773AF">
            <w:pP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242E7E84" w14:textId="6504E1AF"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7 325 000</w:t>
            </w:r>
          </w:p>
        </w:tc>
      </w:tr>
      <w:tr w:rsidR="001D3D65" w:rsidRPr="00D21977" w14:paraId="42E19140" w14:textId="77777777" w:rsidTr="00922684">
        <w:trPr>
          <w:trHeight w:val="615"/>
        </w:trPr>
        <w:tc>
          <w:tcPr>
            <w:tcW w:w="1739" w:type="dxa"/>
            <w:vMerge/>
            <w:shd w:val="clear" w:color="auto" w:fill="FFFFFF" w:themeFill="background1"/>
          </w:tcPr>
          <w:p w14:paraId="09CC1B6F"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76451C54" w14:textId="77777777" w:rsidR="001D3D65" w:rsidRPr="00084515" w:rsidRDefault="001D3D65" w:rsidP="001D3D65">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 xml:space="preserve">1.1.2. </w:t>
            </w:r>
            <w:r w:rsidRPr="00084515">
              <w:rPr>
                <w:rFonts w:ascii="Garamond" w:eastAsia="Times New Roman" w:hAnsi="Garamond" w:cs="Tahoma"/>
                <w:bCs/>
                <w:sz w:val="20"/>
                <w:szCs w:val="20"/>
                <w:lang w:val="pt-PT" w:eastAsia="pt-PT"/>
              </w:rPr>
              <w:t xml:space="preserve">Definir, divulgar e seguir medidas temporárias especiais nas iniciativas de promoção das </w:t>
            </w:r>
            <w:proofErr w:type="spellStart"/>
            <w:r w:rsidRPr="00084515">
              <w:rPr>
                <w:rFonts w:ascii="Garamond" w:eastAsia="Times New Roman" w:hAnsi="Garamond" w:cs="Tahoma"/>
                <w:bCs/>
                <w:sz w:val="20"/>
                <w:szCs w:val="20"/>
                <w:lang w:val="pt-PT" w:eastAsia="pt-PT"/>
              </w:rPr>
              <w:t>TICs</w:t>
            </w:r>
            <w:proofErr w:type="spellEnd"/>
            <w:r w:rsidRPr="00084515">
              <w:rPr>
                <w:rFonts w:ascii="Garamond" w:eastAsia="Times New Roman" w:hAnsi="Garamond" w:cs="Tahoma"/>
                <w:bCs/>
                <w:sz w:val="20"/>
                <w:szCs w:val="20"/>
                <w:lang w:val="pt-PT" w:eastAsia="pt-PT"/>
              </w:rPr>
              <w:t xml:space="preserve"> e </w:t>
            </w:r>
            <w:proofErr w:type="spellStart"/>
            <w:r w:rsidRPr="00084515">
              <w:rPr>
                <w:rFonts w:ascii="Garamond" w:eastAsia="Times New Roman" w:hAnsi="Garamond" w:cs="Tahoma"/>
                <w:bCs/>
                <w:sz w:val="20"/>
                <w:szCs w:val="20"/>
                <w:lang w:val="pt-PT" w:eastAsia="pt-PT"/>
              </w:rPr>
              <w:t>STEM</w:t>
            </w:r>
            <w:proofErr w:type="spellEnd"/>
            <w:r w:rsidRPr="00084515">
              <w:rPr>
                <w:rFonts w:ascii="Garamond" w:eastAsia="Times New Roman" w:hAnsi="Garamond" w:cs="Tahoma"/>
                <w:bCs/>
                <w:sz w:val="20"/>
                <w:szCs w:val="20"/>
                <w:lang w:val="pt-PT" w:eastAsia="pt-PT"/>
              </w:rPr>
              <w:t>, incluindo na reconversão profissional para a economia digital.</w:t>
            </w:r>
          </w:p>
        </w:tc>
        <w:tc>
          <w:tcPr>
            <w:tcW w:w="1365" w:type="dxa"/>
            <w:shd w:val="clear" w:color="auto" w:fill="FFFFFF" w:themeFill="background1"/>
            <w:vAlign w:val="center"/>
          </w:tcPr>
          <w:p w14:paraId="545CCCC2"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DGEFPEP</w:t>
            </w:r>
            <w:proofErr w:type="spellEnd"/>
          </w:p>
        </w:tc>
        <w:tc>
          <w:tcPr>
            <w:tcW w:w="2123" w:type="dxa"/>
            <w:shd w:val="clear" w:color="auto" w:fill="FFFFFF" w:themeFill="background1"/>
            <w:vAlign w:val="center"/>
          </w:tcPr>
          <w:p w14:paraId="07280D44" w14:textId="77777777" w:rsidR="001D3D65" w:rsidRPr="00084515" w:rsidRDefault="001D3D65" w:rsidP="001D3D65">
            <w:pPr>
              <w:jc w:val="center"/>
              <w:rPr>
                <w:rFonts w:ascii="Garamond" w:eastAsia="Times New Roman" w:hAnsi="Garamond" w:cs="Times New Roman"/>
                <w:color w:val="000000"/>
                <w:sz w:val="20"/>
                <w:szCs w:val="20"/>
                <w:lang w:val="pt-PT" w:eastAsia="es-ES"/>
              </w:rPr>
            </w:pPr>
            <w:proofErr w:type="spellStart"/>
            <w:r w:rsidRPr="00084515">
              <w:rPr>
                <w:rFonts w:ascii="Garamond" w:eastAsia="Times New Roman" w:hAnsi="Garamond" w:cs="Times New Roman"/>
                <w:color w:val="000000"/>
                <w:sz w:val="20"/>
                <w:szCs w:val="20"/>
                <w:lang w:val="pt-PT" w:eastAsia="es-ES"/>
              </w:rPr>
              <w:t>ICIEG</w:t>
            </w:r>
            <w:proofErr w:type="spellEnd"/>
            <w:r w:rsidRPr="00084515">
              <w:rPr>
                <w:rFonts w:ascii="Garamond" w:eastAsia="Times New Roman" w:hAnsi="Garamond" w:cs="Times New Roman"/>
                <w:color w:val="000000"/>
                <w:sz w:val="20"/>
                <w:szCs w:val="20"/>
                <w:lang w:val="pt-PT" w:eastAsia="es-ES"/>
              </w:rPr>
              <w:t>, entidades de implementação dos Programas em curso</w:t>
            </w:r>
          </w:p>
        </w:tc>
        <w:tc>
          <w:tcPr>
            <w:tcW w:w="220" w:type="dxa"/>
            <w:shd w:val="clear" w:color="auto" w:fill="F2F2F2" w:themeFill="background1" w:themeFillShade="F2"/>
            <w:vAlign w:val="center"/>
          </w:tcPr>
          <w:p w14:paraId="26919490"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39FD2E4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0E45A9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373362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5F263D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EEC325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6546FF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058962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185F35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AD55D4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667116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B137C4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592894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1AA37F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A312B2F"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B5295F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0A503A84" w14:textId="04F70D50"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4 255 000</w:t>
            </w:r>
          </w:p>
        </w:tc>
      </w:tr>
      <w:tr w:rsidR="001D3D65" w:rsidRPr="00D21977" w14:paraId="6EAA4324" w14:textId="77777777" w:rsidTr="00922684">
        <w:trPr>
          <w:trHeight w:val="615"/>
        </w:trPr>
        <w:tc>
          <w:tcPr>
            <w:tcW w:w="1739" w:type="dxa"/>
            <w:vMerge/>
            <w:shd w:val="clear" w:color="auto" w:fill="FFFFFF" w:themeFill="background1"/>
          </w:tcPr>
          <w:p w14:paraId="628E2009"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016FE6AB" w14:textId="77777777" w:rsidR="001D3D65" w:rsidRPr="00084515" w:rsidRDefault="001D3D65" w:rsidP="001D3D65">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 xml:space="preserve">1.1.3. </w:t>
            </w:r>
            <w:r w:rsidRPr="00084515">
              <w:rPr>
                <w:rFonts w:ascii="Garamond" w:eastAsia="Times New Roman" w:hAnsi="Garamond" w:cs="Tahoma"/>
                <w:bCs/>
                <w:sz w:val="20"/>
                <w:szCs w:val="20"/>
                <w:lang w:val="pt-PT" w:eastAsia="pt-PT"/>
              </w:rPr>
              <w:t>Introduzir uma abordagem de género na Economia Azul, incluindo na promoção do empreendedorismo e desenvolvimento de empregos, promoção das inovações, etc.</w:t>
            </w:r>
          </w:p>
        </w:tc>
        <w:tc>
          <w:tcPr>
            <w:tcW w:w="1365" w:type="dxa"/>
            <w:shd w:val="clear" w:color="auto" w:fill="FFFFFF" w:themeFill="background1"/>
            <w:vAlign w:val="center"/>
          </w:tcPr>
          <w:p w14:paraId="3CF0E917" w14:textId="77777777" w:rsidR="001D3D65" w:rsidRPr="00D21977" w:rsidRDefault="001D3D65" w:rsidP="001D3D65">
            <w:pPr>
              <w:jc w:val="center"/>
              <w:rPr>
                <w:rFonts w:ascii="Garamond" w:eastAsia="Times New Roman" w:hAnsi="Garamond" w:cs="Times New Roman"/>
                <w:color w:val="000000"/>
                <w:sz w:val="20"/>
                <w:szCs w:val="20"/>
                <w:lang w:eastAsia="es-ES"/>
              </w:rPr>
            </w:pPr>
            <w:r w:rsidRPr="00D3359B">
              <w:rPr>
                <w:rFonts w:ascii="Garamond" w:eastAsia="Times New Roman" w:hAnsi="Garamond" w:cs="Times New Roman"/>
                <w:sz w:val="20"/>
                <w:szCs w:val="20"/>
                <w:lang w:eastAsia="es-ES"/>
              </w:rPr>
              <w:t xml:space="preserve">SE Economia </w:t>
            </w:r>
            <w:proofErr w:type="spellStart"/>
            <w:r w:rsidRPr="00D3359B">
              <w:rPr>
                <w:rFonts w:ascii="Garamond" w:eastAsia="Times New Roman" w:hAnsi="Garamond" w:cs="Times New Roman"/>
                <w:sz w:val="20"/>
                <w:szCs w:val="20"/>
                <w:lang w:eastAsia="es-ES"/>
              </w:rPr>
              <w:t>Marítima</w:t>
            </w:r>
            <w:proofErr w:type="spellEnd"/>
            <w:r w:rsidRPr="00D3359B">
              <w:rPr>
                <w:rFonts w:ascii="Garamond" w:eastAsia="Times New Roman" w:hAnsi="Garamond" w:cs="Times New Roman"/>
                <w:sz w:val="20"/>
                <w:szCs w:val="20"/>
                <w:lang w:eastAsia="es-ES"/>
              </w:rPr>
              <w:t xml:space="preserve"> / MEM</w:t>
            </w:r>
          </w:p>
        </w:tc>
        <w:tc>
          <w:tcPr>
            <w:tcW w:w="2123" w:type="dxa"/>
            <w:shd w:val="clear" w:color="auto" w:fill="FFFFFF" w:themeFill="background1"/>
            <w:vAlign w:val="center"/>
          </w:tcPr>
          <w:p w14:paraId="012AEF54" w14:textId="34E97F77" w:rsidR="001D3D65" w:rsidRPr="00084515" w:rsidRDefault="001D3D65" w:rsidP="001D3D65">
            <w:pPr>
              <w:jc w:val="center"/>
              <w:rPr>
                <w:rFonts w:ascii="Garamond" w:eastAsia="Times New Roman" w:hAnsi="Garamond" w:cs="Times New Roman"/>
                <w:color w:val="000000"/>
                <w:sz w:val="20"/>
                <w:szCs w:val="20"/>
                <w:lang w:val="pt-PT" w:eastAsia="es-ES"/>
              </w:rPr>
            </w:pPr>
            <w:proofErr w:type="spellStart"/>
            <w:r w:rsidRPr="00084515">
              <w:rPr>
                <w:rFonts w:ascii="Garamond" w:eastAsia="Times New Roman" w:hAnsi="Garamond" w:cs="Times New Roman"/>
                <w:color w:val="000000"/>
                <w:sz w:val="20"/>
                <w:szCs w:val="20"/>
                <w:lang w:val="pt-PT" w:eastAsia="es-ES"/>
              </w:rPr>
              <w:t>ICIEG</w:t>
            </w:r>
            <w:proofErr w:type="spellEnd"/>
            <w:r w:rsidRPr="00084515">
              <w:rPr>
                <w:rFonts w:ascii="Garamond" w:eastAsia="Times New Roman" w:hAnsi="Garamond" w:cs="Times New Roman"/>
                <w:color w:val="000000"/>
                <w:sz w:val="20"/>
                <w:szCs w:val="20"/>
                <w:lang w:val="pt-PT" w:eastAsia="es-ES"/>
              </w:rPr>
              <w:t xml:space="preserve">, entidades de implementação do </w:t>
            </w:r>
            <w:proofErr w:type="spellStart"/>
            <w:r w:rsidRPr="00084515">
              <w:rPr>
                <w:rFonts w:ascii="Garamond" w:eastAsia="Times New Roman" w:hAnsi="Garamond" w:cs="Tahoma"/>
                <w:bCs/>
                <w:lang w:val="pt-PT" w:eastAsia="pt-PT"/>
              </w:rPr>
              <w:t>CaSUEB</w:t>
            </w:r>
            <w:proofErr w:type="spellEnd"/>
            <w:r w:rsidR="00B17BA8">
              <w:rPr>
                <w:rFonts w:ascii="Garamond" w:eastAsia="Times New Roman" w:hAnsi="Garamond" w:cs="Tahoma"/>
                <w:bCs/>
                <w:lang w:val="pt-PT" w:eastAsia="pt-PT"/>
              </w:rPr>
              <w:t>, FAO</w:t>
            </w:r>
          </w:p>
        </w:tc>
        <w:tc>
          <w:tcPr>
            <w:tcW w:w="220" w:type="dxa"/>
            <w:shd w:val="clear" w:color="auto" w:fill="F2F2F2" w:themeFill="background1" w:themeFillShade="F2"/>
            <w:vAlign w:val="center"/>
          </w:tcPr>
          <w:p w14:paraId="672C0B88"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1FC34C15"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224A813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F4D098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973705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CAA5DF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EE4108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E5A89D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26700E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49A8B2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7D99DA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281EFE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DDC46E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69906A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7A0FC5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5FEC23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496CD167" w14:textId="14C658AF"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4 420 000</w:t>
            </w:r>
          </w:p>
        </w:tc>
      </w:tr>
      <w:tr w:rsidR="001D3D65" w:rsidRPr="00D21977" w14:paraId="4FE6E310" w14:textId="77777777" w:rsidTr="00922684">
        <w:trPr>
          <w:trHeight w:val="615"/>
        </w:trPr>
        <w:tc>
          <w:tcPr>
            <w:tcW w:w="1739" w:type="dxa"/>
            <w:vMerge/>
            <w:shd w:val="clear" w:color="auto" w:fill="FFFFFF" w:themeFill="background1"/>
          </w:tcPr>
          <w:p w14:paraId="14DEBD68"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4015060A" w14:textId="77777777" w:rsidR="001D3D65" w:rsidRPr="00084515" w:rsidRDefault="001D3D65" w:rsidP="001D3D65">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 xml:space="preserve">1.1.4. </w:t>
            </w:r>
            <w:r w:rsidRPr="00084515">
              <w:rPr>
                <w:rFonts w:ascii="Garamond" w:eastAsia="Times New Roman" w:hAnsi="Garamond" w:cs="Tahoma"/>
                <w:bCs/>
                <w:sz w:val="20"/>
                <w:szCs w:val="20"/>
                <w:lang w:val="pt-PT" w:eastAsia="pt-PT"/>
              </w:rPr>
              <w:t>Elaborar directrizes para o seguimento e avaliação sensível ao género da implementação das políticas de emprego</w:t>
            </w:r>
          </w:p>
        </w:tc>
        <w:tc>
          <w:tcPr>
            <w:tcW w:w="1365" w:type="dxa"/>
            <w:shd w:val="clear" w:color="auto" w:fill="FFFFFF" w:themeFill="background1"/>
            <w:vAlign w:val="center"/>
          </w:tcPr>
          <w:p w14:paraId="01957D83"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DGEFPEP</w:t>
            </w:r>
            <w:proofErr w:type="spellEnd"/>
          </w:p>
        </w:tc>
        <w:tc>
          <w:tcPr>
            <w:tcW w:w="2123" w:type="dxa"/>
            <w:shd w:val="clear" w:color="auto" w:fill="FFFFFF" w:themeFill="background1"/>
            <w:vAlign w:val="center"/>
          </w:tcPr>
          <w:p w14:paraId="1EF23C6C" w14:textId="78A93A92" w:rsidR="001D3D65" w:rsidRPr="00084515" w:rsidRDefault="001D3D65" w:rsidP="00B17BA8">
            <w:pPr>
              <w:jc w:val="center"/>
              <w:rPr>
                <w:rFonts w:ascii="Garamond" w:eastAsia="Times New Roman" w:hAnsi="Garamond" w:cs="Times New Roman"/>
                <w:color w:val="000000"/>
                <w:sz w:val="20"/>
                <w:szCs w:val="20"/>
                <w:lang w:val="pt-PT" w:eastAsia="es-ES"/>
              </w:rPr>
            </w:pPr>
            <w:r w:rsidRPr="00084515">
              <w:rPr>
                <w:rFonts w:ascii="Garamond" w:eastAsia="Times New Roman" w:hAnsi="Garamond" w:cs="Times New Roman"/>
                <w:color w:val="000000"/>
                <w:sz w:val="20"/>
                <w:szCs w:val="20"/>
                <w:lang w:val="pt-PT" w:eastAsia="es-ES"/>
              </w:rPr>
              <w:t xml:space="preserve">Entidades da Comissão Interministerial de EF do </w:t>
            </w:r>
            <w:proofErr w:type="spellStart"/>
            <w:r w:rsidRPr="00084515">
              <w:rPr>
                <w:rFonts w:ascii="Garamond" w:eastAsia="Times New Roman" w:hAnsi="Garamond" w:cs="Times New Roman"/>
                <w:color w:val="000000"/>
                <w:sz w:val="20"/>
                <w:szCs w:val="20"/>
                <w:lang w:val="pt-PT" w:eastAsia="es-ES"/>
              </w:rPr>
              <w:t>PNE</w:t>
            </w:r>
            <w:proofErr w:type="spellEnd"/>
            <w:r w:rsidRPr="00084515">
              <w:rPr>
                <w:rFonts w:ascii="Garamond" w:eastAsia="Times New Roman" w:hAnsi="Garamond" w:cs="Times New Roman"/>
                <w:color w:val="000000"/>
                <w:sz w:val="20"/>
                <w:szCs w:val="20"/>
                <w:lang w:val="pt-PT" w:eastAsia="es-ES"/>
              </w:rPr>
              <w:t xml:space="preserve"> e </w:t>
            </w:r>
            <w:proofErr w:type="spellStart"/>
            <w:r w:rsidRPr="00084515">
              <w:rPr>
                <w:rFonts w:ascii="Garamond" w:eastAsia="Times New Roman" w:hAnsi="Garamond" w:cs="Times New Roman"/>
                <w:color w:val="000000"/>
                <w:sz w:val="20"/>
                <w:szCs w:val="20"/>
                <w:lang w:val="pt-PT" w:eastAsia="es-ES"/>
              </w:rPr>
              <w:t>PNAEJ</w:t>
            </w:r>
            <w:proofErr w:type="spellEnd"/>
            <w:r w:rsidR="00B17BA8">
              <w:rPr>
                <w:rFonts w:ascii="Garamond" w:eastAsia="Times New Roman" w:hAnsi="Garamond" w:cs="Times New Roman"/>
                <w:color w:val="000000"/>
                <w:sz w:val="20"/>
                <w:szCs w:val="20"/>
                <w:lang w:val="pt-PT" w:eastAsia="es-ES"/>
              </w:rPr>
              <w:t xml:space="preserve">, </w:t>
            </w:r>
            <w:proofErr w:type="spellStart"/>
            <w:r w:rsidR="00B17BA8">
              <w:rPr>
                <w:rFonts w:ascii="Garamond" w:eastAsia="Times New Roman" w:hAnsi="Garamond" w:cs="Times New Roman"/>
                <w:color w:val="000000"/>
                <w:sz w:val="20"/>
                <w:szCs w:val="20"/>
                <w:lang w:val="pt-PT" w:eastAsia="es-ES"/>
              </w:rPr>
              <w:t>LuxDex</w:t>
            </w:r>
            <w:proofErr w:type="spellEnd"/>
            <w:r w:rsidR="00B17BA8">
              <w:rPr>
                <w:rFonts w:ascii="Garamond" w:eastAsia="Times New Roman" w:hAnsi="Garamond" w:cs="Times New Roman"/>
                <w:color w:val="000000"/>
                <w:sz w:val="20"/>
                <w:szCs w:val="20"/>
                <w:lang w:val="pt-PT" w:eastAsia="es-ES"/>
              </w:rPr>
              <w:t>, PNUD, OIT</w:t>
            </w:r>
          </w:p>
        </w:tc>
        <w:tc>
          <w:tcPr>
            <w:tcW w:w="220" w:type="dxa"/>
            <w:shd w:val="clear" w:color="auto" w:fill="F2F2F2" w:themeFill="background1" w:themeFillShade="F2"/>
            <w:vAlign w:val="center"/>
          </w:tcPr>
          <w:p w14:paraId="4E04C975"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28B17F9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C79C2B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630AD8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47E820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44EA91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8B9EF2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018D20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33E6A7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C86AD0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5A9751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0FD8AA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9BD3BA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BA7443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AF1199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E6FC2C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0090D924" w14:textId="1844E1E8"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970 000</w:t>
            </w:r>
          </w:p>
        </w:tc>
      </w:tr>
      <w:tr w:rsidR="001D3D65" w:rsidRPr="00D21977" w14:paraId="7D6E999E" w14:textId="77777777" w:rsidTr="00922684">
        <w:trPr>
          <w:trHeight w:val="615"/>
        </w:trPr>
        <w:tc>
          <w:tcPr>
            <w:tcW w:w="1739" w:type="dxa"/>
            <w:vMerge w:val="restart"/>
            <w:shd w:val="clear" w:color="auto" w:fill="FFFFFF" w:themeFill="background1"/>
          </w:tcPr>
          <w:p w14:paraId="67A1C45D" w14:textId="77777777" w:rsidR="001D3D65" w:rsidRPr="00084515" w:rsidRDefault="001D3D65" w:rsidP="001D3D65">
            <w:pPr>
              <w:spacing w:after="240"/>
              <w:rPr>
                <w:rFonts w:ascii="Garamond" w:hAnsi="Garamond"/>
                <w:sz w:val="20"/>
                <w:szCs w:val="20"/>
                <w:lang w:val="pt-PT"/>
              </w:rPr>
            </w:pPr>
            <w:r w:rsidRPr="00084515">
              <w:rPr>
                <w:rFonts w:ascii="Garamond" w:hAnsi="Garamond"/>
                <w:sz w:val="20"/>
                <w:szCs w:val="20"/>
                <w:lang w:val="pt-PT"/>
              </w:rPr>
              <w:t xml:space="preserve">1.2. Ampliado o acesso das mulheres a políticas </w:t>
            </w:r>
            <w:proofErr w:type="spellStart"/>
            <w:r w:rsidRPr="00084515">
              <w:rPr>
                <w:rFonts w:ascii="Garamond" w:hAnsi="Garamond"/>
                <w:sz w:val="20"/>
                <w:szCs w:val="20"/>
                <w:lang w:val="pt-PT"/>
              </w:rPr>
              <w:t>ativas</w:t>
            </w:r>
            <w:proofErr w:type="spellEnd"/>
            <w:r w:rsidRPr="00084515">
              <w:rPr>
                <w:rFonts w:ascii="Garamond" w:hAnsi="Garamond"/>
                <w:sz w:val="20"/>
                <w:szCs w:val="20"/>
                <w:lang w:val="pt-PT"/>
              </w:rPr>
              <w:t xml:space="preserve"> de emprego que são sensíveis ao género</w:t>
            </w:r>
          </w:p>
        </w:tc>
        <w:tc>
          <w:tcPr>
            <w:tcW w:w="4849" w:type="dxa"/>
            <w:shd w:val="clear" w:color="auto" w:fill="FFFFFF" w:themeFill="background1"/>
          </w:tcPr>
          <w:p w14:paraId="43F70A23" w14:textId="77777777" w:rsidR="001D3D65" w:rsidRPr="00084515" w:rsidRDefault="001D3D65" w:rsidP="001D3D65">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1.2.1. Desenvolver abordagens, capacidades e instrumentos para a promoção empresarial das mulheres.</w:t>
            </w:r>
          </w:p>
        </w:tc>
        <w:tc>
          <w:tcPr>
            <w:tcW w:w="1365" w:type="dxa"/>
            <w:shd w:val="clear" w:color="auto" w:fill="FFFFFF" w:themeFill="background1"/>
            <w:vAlign w:val="center"/>
          </w:tcPr>
          <w:p w14:paraId="774CBF32" w14:textId="77777777" w:rsidR="001D3D65" w:rsidRPr="00D21977" w:rsidRDefault="001D3D65" w:rsidP="001D3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Pro-</w:t>
            </w:r>
            <w:proofErr w:type="spellStart"/>
            <w:r w:rsidRPr="00D21977">
              <w:rPr>
                <w:rFonts w:ascii="Garamond" w:eastAsia="Times New Roman" w:hAnsi="Garamond" w:cs="Times New Roman"/>
                <w:color w:val="000000"/>
                <w:sz w:val="20"/>
                <w:szCs w:val="20"/>
                <w:lang w:eastAsia="es-ES"/>
              </w:rPr>
              <w:t>Empresa</w:t>
            </w:r>
            <w:proofErr w:type="spellEnd"/>
          </w:p>
        </w:tc>
        <w:tc>
          <w:tcPr>
            <w:tcW w:w="2123" w:type="dxa"/>
            <w:shd w:val="clear" w:color="auto" w:fill="FFFFFF" w:themeFill="background1"/>
            <w:vAlign w:val="center"/>
          </w:tcPr>
          <w:p w14:paraId="564FE33D" w14:textId="77777777" w:rsidR="001D3D65" w:rsidRPr="00D21977" w:rsidRDefault="001D3D65" w:rsidP="001D3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AMES</w:t>
            </w:r>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c>
          <w:tcPr>
            <w:tcW w:w="220" w:type="dxa"/>
            <w:shd w:val="clear" w:color="auto" w:fill="F2F2F2" w:themeFill="background1" w:themeFillShade="F2"/>
            <w:vAlign w:val="center"/>
          </w:tcPr>
          <w:p w14:paraId="51CD8196"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53F13CF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8BBE78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BAD26A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CB129B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3992E4A"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6918F3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92F417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4F0277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C26A58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1A9B0D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5F319B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A2ECFA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0E2419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2FC2A7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EF59F1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FE55EB1" w14:textId="259B3AD4"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4 420 000</w:t>
            </w:r>
          </w:p>
        </w:tc>
      </w:tr>
      <w:tr w:rsidR="001D3D65" w:rsidRPr="00D21977" w14:paraId="10913780" w14:textId="77777777" w:rsidTr="00922684">
        <w:trPr>
          <w:trHeight w:val="615"/>
        </w:trPr>
        <w:tc>
          <w:tcPr>
            <w:tcW w:w="1739" w:type="dxa"/>
            <w:vMerge/>
            <w:shd w:val="clear" w:color="auto" w:fill="FFFFFF" w:themeFill="background1"/>
          </w:tcPr>
          <w:p w14:paraId="17084321"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3303FEDD" w14:textId="77777777" w:rsidR="001D3D65" w:rsidRPr="00084515" w:rsidRDefault="001D3D65" w:rsidP="001D3D65">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 xml:space="preserve">1.2.2. Desenvolver e implementar um módulo em </w:t>
            </w:r>
            <w:r w:rsidRPr="00084515">
              <w:rPr>
                <w:rFonts w:ascii="Garamond" w:hAnsi="Garamond"/>
                <w:i/>
                <w:iCs/>
                <w:sz w:val="20"/>
                <w:szCs w:val="20"/>
                <w:lang w:val="pt-PT"/>
              </w:rPr>
              <w:t xml:space="preserve">Género e </w:t>
            </w:r>
            <w:proofErr w:type="spellStart"/>
            <w:r w:rsidRPr="00084515">
              <w:rPr>
                <w:rFonts w:ascii="Garamond" w:hAnsi="Garamond"/>
                <w:i/>
                <w:iCs/>
                <w:sz w:val="20"/>
                <w:szCs w:val="20"/>
                <w:lang w:val="pt-PT"/>
              </w:rPr>
              <w:t>SDE</w:t>
            </w:r>
            <w:proofErr w:type="spellEnd"/>
            <w:r w:rsidRPr="00084515">
              <w:rPr>
                <w:rFonts w:ascii="Garamond" w:hAnsi="Garamond"/>
                <w:sz w:val="20"/>
                <w:szCs w:val="20"/>
                <w:lang w:val="pt-PT"/>
              </w:rPr>
              <w:t xml:space="preserve"> para (a)s </w:t>
            </w:r>
            <w:proofErr w:type="spellStart"/>
            <w:r w:rsidRPr="00084515">
              <w:rPr>
                <w:rFonts w:ascii="Garamond" w:hAnsi="Garamond"/>
                <w:sz w:val="20"/>
                <w:szCs w:val="20"/>
                <w:lang w:val="pt-PT"/>
              </w:rPr>
              <w:t>consultore</w:t>
            </w:r>
            <w:proofErr w:type="spellEnd"/>
            <w:r w:rsidRPr="00084515">
              <w:rPr>
                <w:rFonts w:ascii="Garamond" w:hAnsi="Garamond"/>
                <w:sz w:val="20"/>
                <w:szCs w:val="20"/>
                <w:lang w:val="pt-PT"/>
              </w:rPr>
              <w:t>(a)s acreditados do Sistema de Acreditação de Consultores da Pro-Empresa.</w:t>
            </w:r>
          </w:p>
        </w:tc>
        <w:tc>
          <w:tcPr>
            <w:tcW w:w="1365" w:type="dxa"/>
            <w:shd w:val="clear" w:color="auto" w:fill="FFFFFF" w:themeFill="background1"/>
            <w:vAlign w:val="center"/>
          </w:tcPr>
          <w:p w14:paraId="3B552EC4" w14:textId="77777777" w:rsidR="001D3D65" w:rsidRPr="00D21977" w:rsidRDefault="001D3D65" w:rsidP="001D3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Pro-</w:t>
            </w:r>
            <w:proofErr w:type="spellStart"/>
            <w:r w:rsidRPr="00D21977">
              <w:rPr>
                <w:rFonts w:ascii="Garamond" w:eastAsia="Times New Roman" w:hAnsi="Garamond" w:cs="Times New Roman"/>
                <w:color w:val="000000"/>
                <w:sz w:val="20"/>
                <w:szCs w:val="20"/>
                <w:lang w:eastAsia="es-ES"/>
              </w:rPr>
              <w:t>Empresa</w:t>
            </w:r>
            <w:proofErr w:type="spellEnd"/>
          </w:p>
        </w:tc>
        <w:tc>
          <w:tcPr>
            <w:tcW w:w="2123" w:type="dxa"/>
            <w:shd w:val="clear" w:color="auto" w:fill="FFFFFF" w:themeFill="background1"/>
            <w:vAlign w:val="center"/>
          </w:tcPr>
          <w:p w14:paraId="4DEFDDCF"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20" w:type="dxa"/>
            <w:shd w:val="clear" w:color="auto" w:fill="F2F2F2" w:themeFill="background1" w:themeFillShade="F2"/>
            <w:vAlign w:val="center"/>
          </w:tcPr>
          <w:p w14:paraId="061D286B" w14:textId="77777777" w:rsidR="001D3D65" w:rsidRPr="003C0F9B" w:rsidRDefault="001D3D65" w:rsidP="001D3D65">
            <w:pPr>
              <w:jc w:val="center"/>
              <w:rPr>
                <w:rFonts w:ascii="Garamond" w:eastAsia="Times New Roman" w:hAnsi="Garamond" w:cs="Times New Roman"/>
                <w:b/>
                <w:bCs/>
                <w:color w:val="000000"/>
                <w:sz w:val="12"/>
                <w:szCs w:val="12"/>
                <w:lang w:eastAsia="es-ES"/>
              </w:rPr>
            </w:pPr>
          </w:p>
        </w:tc>
        <w:tc>
          <w:tcPr>
            <w:tcW w:w="198" w:type="dxa"/>
            <w:shd w:val="clear" w:color="auto" w:fill="F2F2F2" w:themeFill="background1" w:themeFillShade="F2"/>
            <w:vAlign w:val="center"/>
          </w:tcPr>
          <w:p w14:paraId="27A438A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21E702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4C264CF" w14:textId="77777777" w:rsidR="001D3D65" w:rsidRPr="003C0F9B" w:rsidRDefault="001D3D65" w:rsidP="001D3D65">
            <w:pP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0A239B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A8CACCC"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1CDD21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000CCB6"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9BA499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AA6203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22EA93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31E3E2F"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A44421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7A7CB2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B29D23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E7163A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2F093DB6" w14:textId="4F2C9DAC"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4 450 000</w:t>
            </w:r>
          </w:p>
        </w:tc>
      </w:tr>
      <w:tr w:rsidR="00DF0B6E" w:rsidRPr="00D21977" w14:paraId="3863E4B6" w14:textId="77777777" w:rsidTr="001D3D65">
        <w:trPr>
          <w:trHeight w:val="615"/>
        </w:trPr>
        <w:tc>
          <w:tcPr>
            <w:tcW w:w="1739" w:type="dxa"/>
            <w:vMerge/>
            <w:shd w:val="clear" w:color="auto" w:fill="FFFFFF" w:themeFill="background1"/>
          </w:tcPr>
          <w:p w14:paraId="2E0AEECF" w14:textId="77777777" w:rsidR="00432609" w:rsidRPr="00D21977" w:rsidRDefault="00432609" w:rsidP="00DF0B6E">
            <w:pPr>
              <w:spacing w:after="240"/>
              <w:rPr>
                <w:rFonts w:ascii="Garamond" w:hAnsi="Garamond"/>
                <w:sz w:val="20"/>
                <w:szCs w:val="20"/>
              </w:rPr>
            </w:pPr>
          </w:p>
        </w:tc>
        <w:tc>
          <w:tcPr>
            <w:tcW w:w="4849" w:type="dxa"/>
            <w:shd w:val="clear" w:color="auto" w:fill="FFFFFF" w:themeFill="background1"/>
          </w:tcPr>
          <w:p w14:paraId="747855B6" w14:textId="77777777" w:rsidR="00432609" w:rsidRPr="00084515" w:rsidRDefault="00432609" w:rsidP="00DF0B6E">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 xml:space="preserve">1.2.3. Consolidar a abordagem de género no </w:t>
            </w:r>
            <w:proofErr w:type="spellStart"/>
            <w:r w:rsidRPr="00084515">
              <w:rPr>
                <w:rFonts w:ascii="Garamond" w:hAnsi="Garamond"/>
                <w:sz w:val="20"/>
                <w:szCs w:val="20"/>
                <w:lang w:val="pt-PT"/>
              </w:rPr>
              <w:t>PNEP</w:t>
            </w:r>
            <w:proofErr w:type="spellEnd"/>
            <w:r w:rsidRPr="00084515">
              <w:rPr>
                <w:rFonts w:ascii="Garamond" w:hAnsi="Garamond"/>
                <w:sz w:val="20"/>
                <w:szCs w:val="20"/>
                <w:lang w:val="pt-PT"/>
              </w:rPr>
              <w:t>, integrando-a no Roteiro sobre Estágios Profissionais em curso de elaboração e directrizes anuais do Programa.</w:t>
            </w:r>
          </w:p>
        </w:tc>
        <w:tc>
          <w:tcPr>
            <w:tcW w:w="1365" w:type="dxa"/>
            <w:shd w:val="clear" w:color="auto" w:fill="FFFFFF" w:themeFill="background1"/>
            <w:vAlign w:val="center"/>
          </w:tcPr>
          <w:p w14:paraId="477D1124" w14:textId="77777777" w:rsidR="00432609" w:rsidRPr="00D21977" w:rsidRDefault="00432609" w:rsidP="00DF0B6E">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DGEFPEP</w:t>
            </w:r>
            <w:proofErr w:type="spellEnd"/>
          </w:p>
        </w:tc>
        <w:tc>
          <w:tcPr>
            <w:tcW w:w="2123" w:type="dxa"/>
            <w:shd w:val="clear" w:color="auto" w:fill="FFFFFF" w:themeFill="background1"/>
            <w:vAlign w:val="center"/>
          </w:tcPr>
          <w:p w14:paraId="24076CD1" w14:textId="77777777" w:rsidR="00432609" w:rsidRPr="00D21977" w:rsidRDefault="00432609" w:rsidP="00DF0B6E">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20" w:type="dxa"/>
            <w:shd w:val="clear" w:color="auto" w:fill="F2F2F2" w:themeFill="background1" w:themeFillShade="F2"/>
            <w:vAlign w:val="center"/>
          </w:tcPr>
          <w:p w14:paraId="4BE6667E" w14:textId="77777777" w:rsidR="00432609" w:rsidRPr="003C0F9B" w:rsidRDefault="00432609" w:rsidP="00DF0B6E">
            <w:pPr>
              <w:jc w:val="center"/>
              <w:rPr>
                <w:rFonts w:ascii="Garamond" w:eastAsia="Times New Roman" w:hAnsi="Garamond" w:cs="Times New Roman"/>
                <w:b/>
                <w:bCs/>
                <w:color w:val="000000"/>
                <w:sz w:val="12"/>
                <w:szCs w:val="12"/>
                <w:lang w:eastAsia="es-ES"/>
              </w:rPr>
            </w:pPr>
          </w:p>
        </w:tc>
        <w:tc>
          <w:tcPr>
            <w:tcW w:w="198" w:type="dxa"/>
            <w:shd w:val="clear" w:color="auto" w:fill="F2F2F2" w:themeFill="background1" w:themeFillShade="F2"/>
            <w:vAlign w:val="center"/>
          </w:tcPr>
          <w:p w14:paraId="60F6BE12"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4E6B19F"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1390EFB"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5009485"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24E63EB"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45C11A7"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B1E00FE"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918FB7F"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E750E47"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BB19D26"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7E68F19"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30C992E"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55D7783"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DBEDBD2"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E03CB40"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3299266D" w14:textId="1925F567" w:rsidR="00432609"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0</w:t>
            </w:r>
          </w:p>
        </w:tc>
      </w:tr>
      <w:tr w:rsidR="00DF0B6E" w:rsidRPr="00D21977" w14:paraId="676FFAC5" w14:textId="77777777" w:rsidTr="001D3D65">
        <w:trPr>
          <w:trHeight w:val="615"/>
        </w:trPr>
        <w:tc>
          <w:tcPr>
            <w:tcW w:w="1739" w:type="dxa"/>
            <w:vMerge/>
            <w:shd w:val="clear" w:color="auto" w:fill="FFFFFF" w:themeFill="background1"/>
          </w:tcPr>
          <w:p w14:paraId="6B49EE09" w14:textId="77777777" w:rsidR="00432609" w:rsidRPr="00D21977" w:rsidRDefault="00432609" w:rsidP="00DF0B6E">
            <w:pPr>
              <w:spacing w:after="240"/>
              <w:rPr>
                <w:rFonts w:ascii="Garamond" w:hAnsi="Garamond"/>
                <w:sz w:val="20"/>
                <w:szCs w:val="20"/>
              </w:rPr>
            </w:pPr>
          </w:p>
        </w:tc>
        <w:tc>
          <w:tcPr>
            <w:tcW w:w="4849" w:type="dxa"/>
            <w:shd w:val="clear" w:color="auto" w:fill="FFFFFF" w:themeFill="background1"/>
          </w:tcPr>
          <w:p w14:paraId="0E3DB9E5" w14:textId="77777777" w:rsidR="00432609" w:rsidRPr="00084515" w:rsidRDefault="00432609" w:rsidP="00DF0B6E">
            <w:pPr>
              <w:spacing w:after="60"/>
              <w:rPr>
                <w:rFonts w:ascii="Garamond" w:eastAsia="Times New Roman" w:hAnsi="Garamond" w:cs="Times New Roman"/>
                <w:color w:val="000000"/>
                <w:sz w:val="20"/>
                <w:szCs w:val="20"/>
                <w:lang w:val="pt-PT" w:eastAsia="es-ES"/>
              </w:rPr>
            </w:pPr>
            <w:r w:rsidRPr="00084515">
              <w:rPr>
                <w:rFonts w:ascii="Garamond" w:eastAsia="Times New Roman" w:hAnsi="Garamond" w:cs="Tahoma"/>
                <w:bCs/>
                <w:sz w:val="20"/>
                <w:szCs w:val="20"/>
                <w:lang w:val="pt-PT" w:eastAsia="pt-PT"/>
              </w:rPr>
              <w:t>1.2.4. Introduzir</w:t>
            </w:r>
            <w:r w:rsidRPr="00084515">
              <w:rPr>
                <w:rFonts w:ascii="Garamond" w:hAnsi="Garamond"/>
                <w:sz w:val="20"/>
                <w:szCs w:val="20"/>
                <w:lang w:val="pt-PT"/>
              </w:rPr>
              <w:t xml:space="preserve"> uma abordagem de género nos serviços de intermediação laboral.</w:t>
            </w:r>
          </w:p>
        </w:tc>
        <w:tc>
          <w:tcPr>
            <w:tcW w:w="1365" w:type="dxa"/>
            <w:shd w:val="clear" w:color="auto" w:fill="FFFFFF" w:themeFill="background1"/>
            <w:vAlign w:val="center"/>
          </w:tcPr>
          <w:p w14:paraId="71114BF2" w14:textId="77777777" w:rsidR="00432609" w:rsidRPr="00D21977" w:rsidRDefault="00432609" w:rsidP="00DF0B6E">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IEFP</w:t>
            </w:r>
          </w:p>
        </w:tc>
        <w:tc>
          <w:tcPr>
            <w:tcW w:w="2123" w:type="dxa"/>
            <w:shd w:val="clear" w:color="auto" w:fill="FFFFFF" w:themeFill="background1"/>
            <w:vAlign w:val="center"/>
          </w:tcPr>
          <w:p w14:paraId="3F9B873D" w14:textId="3CFFBA9A" w:rsidR="00432609" w:rsidRPr="00084515" w:rsidRDefault="00432609" w:rsidP="00DF0B6E">
            <w:pPr>
              <w:jc w:val="center"/>
              <w:rPr>
                <w:rFonts w:ascii="Garamond" w:eastAsia="Times New Roman" w:hAnsi="Garamond" w:cs="Times New Roman"/>
                <w:color w:val="000000"/>
                <w:sz w:val="20"/>
                <w:szCs w:val="20"/>
                <w:lang w:val="pt-PT" w:eastAsia="es-ES"/>
              </w:rPr>
            </w:pPr>
            <w:proofErr w:type="spellStart"/>
            <w:r w:rsidRPr="00084515">
              <w:rPr>
                <w:rFonts w:ascii="Garamond" w:eastAsia="Times New Roman" w:hAnsi="Garamond" w:cs="Times New Roman"/>
                <w:color w:val="000000"/>
                <w:sz w:val="20"/>
                <w:szCs w:val="20"/>
                <w:lang w:val="pt-PT" w:eastAsia="es-ES"/>
              </w:rPr>
              <w:t>DGEFPEP</w:t>
            </w:r>
            <w:proofErr w:type="spellEnd"/>
            <w:r w:rsidRPr="00084515">
              <w:rPr>
                <w:rFonts w:ascii="Garamond" w:eastAsia="Times New Roman" w:hAnsi="Garamond" w:cs="Times New Roman"/>
                <w:color w:val="000000"/>
                <w:sz w:val="20"/>
                <w:szCs w:val="20"/>
                <w:lang w:val="pt-PT" w:eastAsia="es-ES"/>
              </w:rPr>
              <w:t xml:space="preserve">, Centros e </w:t>
            </w:r>
            <w:proofErr w:type="spellStart"/>
            <w:r w:rsidRPr="00084515">
              <w:rPr>
                <w:rFonts w:ascii="Garamond" w:eastAsia="Times New Roman" w:hAnsi="Garamond" w:cs="Times New Roman"/>
                <w:color w:val="000000"/>
                <w:sz w:val="20"/>
                <w:szCs w:val="20"/>
                <w:lang w:val="pt-PT" w:eastAsia="es-ES"/>
              </w:rPr>
              <w:t>EFP</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OSC</w:t>
            </w:r>
            <w:proofErr w:type="spellEnd"/>
            <w:r w:rsidR="00B17BA8">
              <w:rPr>
                <w:rFonts w:ascii="Garamond" w:eastAsia="Times New Roman" w:hAnsi="Garamond" w:cs="Times New Roman"/>
                <w:color w:val="000000"/>
                <w:sz w:val="20"/>
                <w:szCs w:val="20"/>
                <w:lang w:val="pt-PT" w:eastAsia="es-ES"/>
              </w:rPr>
              <w:t xml:space="preserve">, </w:t>
            </w:r>
            <w:proofErr w:type="spellStart"/>
            <w:r w:rsidR="00B17BA8">
              <w:rPr>
                <w:rFonts w:ascii="Garamond" w:eastAsia="Times New Roman" w:hAnsi="Garamond" w:cs="Times New Roman"/>
                <w:color w:val="000000"/>
                <w:sz w:val="20"/>
                <w:szCs w:val="20"/>
                <w:lang w:val="pt-PT" w:eastAsia="es-ES"/>
              </w:rPr>
              <w:t>LuxDev</w:t>
            </w:r>
            <w:proofErr w:type="spellEnd"/>
          </w:p>
        </w:tc>
        <w:tc>
          <w:tcPr>
            <w:tcW w:w="220" w:type="dxa"/>
            <w:shd w:val="clear" w:color="auto" w:fill="F2F2F2" w:themeFill="background1" w:themeFillShade="F2"/>
            <w:vAlign w:val="center"/>
          </w:tcPr>
          <w:p w14:paraId="4CA0009B" w14:textId="77777777" w:rsidR="00432609" w:rsidRPr="003C0F9B" w:rsidRDefault="00432609" w:rsidP="00DF0B6E">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31442528"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E524A1F"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5F251E4"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C3C6E5F"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563047C"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2AFD7F3"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EFC4305"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EA3E412"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0715B70"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7CD8372"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2388940"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DF6381C"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9D37E89"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1AA2AFB"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83FB787"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0F706F71" w14:textId="7E6C5878" w:rsidR="00432609"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2 065 000</w:t>
            </w:r>
          </w:p>
        </w:tc>
      </w:tr>
      <w:tr w:rsidR="00DF0B6E" w:rsidRPr="00D21977" w14:paraId="68DB98A9" w14:textId="77777777" w:rsidTr="001D3D65">
        <w:trPr>
          <w:trHeight w:val="615"/>
        </w:trPr>
        <w:tc>
          <w:tcPr>
            <w:tcW w:w="1739" w:type="dxa"/>
            <w:vMerge/>
            <w:shd w:val="clear" w:color="auto" w:fill="FFFFFF" w:themeFill="background1"/>
          </w:tcPr>
          <w:p w14:paraId="4DF444A9" w14:textId="77777777" w:rsidR="00432609" w:rsidRPr="00D21977" w:rsidRDefault="00432609" w:rsidP="00DF0B6E">
            <w:pPr>
              <w:spacing w:after="240"/>
              <w:rPr>
                <w:rFonts w:ascii="Garamond" w:hAnsi="Garamond"/>
                <w:sz w:val="20"/>
                <w:szCs w:val="20"/>
              </w:rPr>
            </w:pPr>
          </w:p>
        </w:tc>
        <w:tc>
          <w:tcPr>
            <w:tcW w:w="4849" w:type="dxa"/>
            <w:shd w:val="clear" w:color="auto" w:fill="FFFFFF" w:themeFill="background1"/>
          </w:tcPr>
          <w:p w14:paraId="2EFAF338" w14:textId="77777777" w:rsidR="00432609" w:rsidRPr="00084515" w:rsidRDefault="00432609" w:rsidP="00DF0B6E">
            <w:pPr>
              <w:spacing w:after="60"/>
              <w:rPr>
                <w:rFonts w:ascii="Garamond" w:eastAsia="Times New Roman" w:hAnsi="Garamond" w:cs="Times New Roman"/>
                <w:color w:val="000000"/>
                <w:sz w:val="20"/>
                <w:szCs w:val="20"/>
                <w:lang w:val="pt-PT" w:eastAsia="es-ES"/>
              </w:rPr>
            </w:pPr>
            <w:r w:rsidRPr="00084515">
              <w:rPr>
                <w:rFonts w:ascii="Garamond" w:hAnsi="Garamond"/>
                <w:sz w:val="20"/>
                <w:szCs w:val="20"/>
                <w:lang w:val="pt-PT"/>
              </w:rPr>
              <w:t>1.2.5. Elaborar uma análise de género do perfil dos recém-formados desempregados e desempregados de longa duração, que informe a definição dos respectivos programas.</w:t>
            </w:r>
          </w:p>
        </w:tc>
        <w:tc>
          <w:tcPr>
            <w:tcW w:w="1365" w:type="dxa"/>
            <w:shd w:val="clear" w:color="auto" w:fill="FFFFFF" w:themeFill="background1"/>
            <w:vAlign w:val="center"/>
          </w:tcPr>
          <w:p w14:paraId="6C516D6E" w14:textId="77777777" w:rsidR="00432609" w:rsidRPr="00D21977" w:rsidRDefault="00432609" w:rsidP="00DF0B6E">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IEFP</w:t>
            </w:r>
          </w:p>
        </w:tc>
        <w:tc>
          <w:tcPr>
            <w:tcW w:w="2123" w:type="dxa"/>
            <w:shd w:val="clear" w:color="auto" w:fill="FFFFFF" w:themeFill="background1"/>
            <w:vAlign w:val="center"/>
          </w:tcPr>
          <w:p w14:paraId="0ADFF6BF" w14:textId="77777777" w:rsidR="00432609" w:rsidRPr="00D21977" w:rsidRDefault="00432609" w:rsidP="00DF0B6E">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OSC</w:t>
            </w:r>
            <w:proofErr w:type="spellEnd"/>
          </w:p>
        </w:tc>
        <w:tc>
          <w:tcPr>
            <w:tcW w:w="220" w:type="dxa"/>
            <w:shd w:val="clear" w:color="auto" w:fill="F2F2F2" w:themeFill="background1" w:themeFillShade="F2"/>
            <w:vAlign w:val="center"/>
          </w:tcPr>
          <w:p w14:paraId="4D09B283" w14:textId="77777777" w:rsidR="00432609" w:rsidRPr="003C0F9B" w:rsidRDefault="00432609" w:rsidP="00DF0B6E">
            <w:pPr>
              <w:jc w:val="center"/>
              <w:rPr>
                <w:rFonts w:ascii="Garamond" w:eastAsia="Times New Roman" w:hAnsi="Garamond" w:cs="Times New Roman"/>
                <w:b/>
                <w:bCs/>
                <w:color w:val="000000"/>
                <w:sz w:val="12"/>
                <w:szCs w:val="12"/>
                <w:lang w:eastAsia="es-ES"/>
              </w:rPr>
            </w:pPr>
          </w:p>
        </w:tc>
        <w:tc>
          <w:tcPr>
            <w:tcW w:w="198" w:type="dxa"/>
            <w:shd w:val="clear" w:color="auto" w:fill="F2F2F2" w:themeFill="background1" w:themeFillShade="F2"/>
            <w:vAlign w:val="center"/>
          </w:tcPr>
          <w:p w14:paraId="08121D1E"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9F3ACFD"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4403C60"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F59203E" w14:textId="28ED7DC5"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936BD8B"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412613A"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028BED7"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62E36F6"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5FF7B1F"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523227E"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FEEE12A" w14:textId="77777777" w:rsidR="00432609" w:rsidRPr="003C0F9B" w:rsidRDefault="00432609" w:rsidP="00DF0B6E">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A40D43B" w14:textId="39FEC064"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41AE2AE"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67701CE"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E8D1873" w14:textId="77777777" w:rsidR="00432609" w:rsidRPr="003C0F9B" w:rsidRDefault="00432609" w:rsidP="00DF0B6E">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55EFBABC" w14:textId="2DC519B8" w:rsidR="00432609" w:rsidRPr="001D3D65"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710 000</w:t>
            </w:r>
          </w:p>
        </w:tc>
      </w:tr>
      <w:tr w:rsidR="001D3D65" w:rsidRPr="00D21977" w14:paraId="3A28A341" w14:textId="77777777" w:rsidTr="00922684">
        <w:trPr>
          <w:trHeight w:val="615"/>
        </w:trPr>
        <w:tc>
          <w:tcPr>
            <w:tcW w:w="1739" w:type="dxa"/>
            <w:vMerge/>
            <w:shd w:val="clear" w:color="auto" w:fill="FFFFFF" w:themeFill="background1"/>
          </w:tcPr>
          <w:p w14:paraId="4B7C677B"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7E9ABC96"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1.2.6. Assegurar o seguimento e avaliação da aplicação da abordagem de género nas políticas </w:t>
            </w:r>
            <w:proofErr w:type="spellStart"/>
            <w:r w:rsidRPr="00EB750A">
              <w:rPr>
                <w:rFonts w:ascii="Garamond" w:hAnsi="Garamond"/>
                <w:sz w:val="20"/>
                <w:szCs w:val="20"/>
                <w:lang w:val="pt-PT"/>
              </w:rPr>
              <w:t>ativas</w:t>
            </w:r>
            <w:proofErr w:type="spellEnd"/>
            <w:r w:rsidRPr="00EB750A">
              <w:rPr>
                <w:rFonts w:ascii="Garamond" w:hAnsi="Garamond"/>
                <w:sz w:val="20"/>
                <w:szCs w:val="20"/>
                <w:lang w:val="pt-PT"/>
              </w:rPr>
              <w:t xml:space="preserve"> de emprego</w:t>
            </w:r>
          </w:p>
        </w:tc>
        <w:tc>
          <w:tcPr>
            <w:tcW w:w="1365" w:type="dxa"/>
            <w:shd w:val="clear" w:color="auto" w:fill="FFFFFF" w:themeFill="background1"/>
            <w:vAlign w:val="center"/>
          </w:tcPr>
          <w:p w14:paraId="1141BDB5"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IEFP</w:t>
            </w:r>
          </w:p>
        </w:tc>
        <w:tc>
          <w:tcPr>
            <w:tcW w:w="2123" w:type="dxa"/>
            <w:shd w:val="clear" w:color="auto" w:fill="FFFFFF" w:themeFill="background1"/>
            <w:vAlign w:val="center"/>
          </w:tcPr>
          <w:p w14:paraId="22177BEF" w14:textId="41CDA31E" w:rsidR="001D3D65" w:rsidRPr="00B17BA8" w:rsidRDefault="001D3D65" w:rsidP="001D3D65">
            <w:pPr>
              <w:jc w:val="center"/>
              <w:rPr>
                <w:rFonts w:ascii="Garamond" w:eastAsia="Times New Roman" w:hAnsi="Garamond" w:cs="Times New Roman"/>
                <w:color w:val="000000"/>
                <w:sz w:val="20"/>
                <w:szCs w:val="20"/>
                <w:lang w:val="pt-PT" w:eastAsia="es-ES"/>
              </w:rPr>
            </w:pPr>
            <w:r w:rsidRPr="00B17BA8">
              <w:rPr>
                <w:rFonts w:ascii="Garamond" w:eastAsia="Times New Roman" w:hAnsi="Garamond" w:cs="Times New Roman"/>
                <w:color w:val="000000"/>
                <w:sz w:val="20"/>
                <w:szCs w:val="20"/>
                <w:lang w:val="pt-PT" w:eastAsia="es-ES"/>
              </w:rPr>
              <w:t xml:space="preserve">Entidades </w:t>
            </w:r>
            <w:proofErr w:type="spellStart"/>
            <w:r w:rsidRPr="00B17BA8">
              <w:rPr>
                <w:rFonts w:ascii="Garamond" w:eastAsia="Times New Roman" w:hAnsi="Garamond" w:cs="Times New Roman"/>
                <w:color w:val="000000"/>
                <w:sz w:val="20"/>
                <w:szCs w:val="20"/>
                <w:lang w:val="pt-PT" w:eastAsia="es-ES"/>
              </w:rPr>
              <w:t>recetoras</w:t>
            </w:r>
            <w:proofErr w:type="spellEnd"/>
            <w:r w:rsidRPr="00B17BA8">
              <w:rPr>
                <w:rFonts w:ascii="Garamond" w:eastAsia="Times New Roman" w:hAnsi="Garamond" w:cs="Times New Roman"/>
                <w:color w:val="000000"/>
                <w:sz w:val="20"/>
                <w:szCs w:val="20"/>
                <w:lang w:val="pt-PT" w:eastAsia="es-ES"/>
              </w:rPr>
              <w:t xml:space="preserve"> de estagiários</w:t>
            </w:r>
          </w:p>
        </w:tc>
        <w:tc>
          <w:tcPr>
            <w:tcW w:w="220" w:type="dxa"/>
            <w:shd w:val="clear" w:color="auto" w:fill="F2F2F2" w:themeFill="background1" w:themeFillShade="F2"/>
            <w:vAlign w:val="center"/>
          </w:tcPr>
          <w:p w14:paraId="79FA359F" w14:textId="77777777" w:rsidR="001D3D65" w:rsidRPr="00B17BA8"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0EE7FEA4" w14:textId="77777777" w:rsidR="001D3D65" w:rsidRPr="00B17BA8"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7520800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ADBFA4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41CA9E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AAE69A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01896C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A5DC32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A13E3F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81C604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3A75C5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68D49F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55A9D6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05680F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19E752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701F31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20D8D9CF" w14:textId="1C4B2019"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0</w:t>
            </w:r>
          </w:p>
        </w:tc>
      </w:tr>
      <w:tr w:rsidR="001D3D65" w:rsidRPr="00D21977" w14:paraId="38C666C2" w14:textId="77777777" w:rsidTr="00E1150C">
        <w:trPr>
          <w:trHeight w:val="615"/>
        </w:trPr>
        <w:tc>
          <w:tcPr>
            <w:tcW w:w="1739" w:type="dxa"/>
            <w:vMerge w:val="restart"/>
            <w:shd w:val="clear" w:color="auto" w:fill="FFFFFF" w:themeFill="background1"/>
          </w:tcPr>
          <w:p w14:paraId="440BD246" w14:textId="77777777" w:rsidR="001D3D65" w:rsidRPr="00EB750A" w:rsidRDefault="001D3D65" w:rsidP="001D3D65">
            <w:pPr>
              <w:spacing w:after="240"/>
              <w:rPr>
                <w:rFonts w:ascii="Garamond" w:hAnsi="Garamond" w:cs="Times New Roman"/>
                <w:sz w:val="20"/>
                <w:szCs w:val="20"/>
                <w:lang w:val="pt-PT"/>
              </w:rPr>
            </w:pPr>
            <w:r w:rsidRPr="00EB750A">
              <w:rPr>
                <w:rFonts w:ascii="Garamond" w:hAnsi="Garamond" w:cs="Times New Roman"/>
                <w:sz w:val="20"/>
                <w:szCs w:val="20"/>
                <w:lang w:val="pt-PT"/>
              </w:rPr>
              <w:t>1.3. Atenuada a pobreza de tempo das mulheres e melhoradas as condições de conciliação da vida pessoal, laboral e familiar</w:t>
            </w:r>
          </w:p>
        </w:tc>
        <w:tc>
          <w:tcPr>
            <w:tcW w:w="4849" w:type="dxa"/>
            <w:shd w:val="clear" w:color="auto" w:fill="FFFFFF" w:themeFill="background1"/>
          </w:tcPr>
          <w:p w14:paraId="148EA338" w14:textId="77777777" w:rsidR="001D3D65" w:rsidRPr="00C83A02" w:rsidRDefault="001D3D65" w:rsidP="001D3D65">
            <w:pPr>
              <w:spacing w:after="60"/>
              <w:rPr>
                <w:rFonts w:ascii="Garamond" w:hAnsi="Garamond"/>
                <w:sz w:val="20"/>
                <w:szCs w:val="20"/>
                <w:lang w:val="pt-PT"/>
              </w:rPr>
            </w:pPr>
            <w:r w:rsidRPr="00C83A02">
              <w:rPr>
                <w:rFonts w:ascii="Garamond" w:hAnsi="Garamond"/>
                <w:sz w:val="20"/>
                <w:szCs w:val="20"/>
                <w:lang w:val="pt-PT"/>
              </w:rPr>
              <w:t>1.3.1. Dar continuidade à montagem do Sistema Nacional de Cuidados, através da implementação do Plano Nacional de Cuidados (2017-2021).</w:t>
            </w:r>
          </w:p>
        </w:tc>
        <w:tc>
          <w:tcPr>
            <w:tcW w:w="1365" w:type="dxa"/>
            <w:shd w:val="clear" w:color="auto" w:fill="FFFFFF" w:themeFill="background1"/>
            <w:vAlign w:val="center"/>
          </w:tcPr>
          <w:p w14:paraId="3F186260"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2582DE35" w14:textId="01C1ECC4" w:rsidR="001D3D65"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MSS</w:t>
            </w:r>
            <w:proofErr w:type="spellEnd"/>
            <w:r>
              <w:rPr>
                <w:rFonts w:ascii="Garamond" w:eastAsia="Times New Roman" w:hAnsi="Garamond" w:cs="Times New Roman"/>
                <w:color w:val="000000"/>
                <w:sz w:val="20"/>
                <w:szCs w:val="20"/>
                <w:lang w:eastAsia="es-ES"/>
              </w:rPr>
              <w:t xml:space="preserve">, ME, </w:t>
            </w:r>
            <w:proofErr w:type="spellStart"/>
            <w:r>
              <w:rPr>
                <w:rFonts w:ascii="Garamond" w:eastAsia="Times New Roman" w:hAnsi="Garamond" w:cs="Times New Roman"/>
                <w:color w:val="000000"/>
                <w:sz w:val="20"/>
                <w:szCs w:val="20"/>
                <w:lang w:eastAsia="es-ES"/>
              </w:rPr>
              <w:t>DGEFPEP</w:t>
            </w:r>
            <w:proofErr w:type="spellEnd"/>
            <w:r w:rsidR="00B17BA8">
              <w:rPr>
                <w:rFonts w:ascii="Garamond" w:eastAsia="Times New Roman" w:hAnsi="Garamond" w:cs="Times New Roman"/>
                <w:color w:val="000000"/>
                <w:sz w:val="20"/>
                <w:szCs w:val="20"/>
                <w:lang w:eastAsia="es-ES"/>
              </w:rPr>
              <w:t>, BM</w:t>
            </w:r>
          </w:p>
        </w:tc>
        <w:tc>
          <w:tcPr>
            <w:tcW w:w="220" w:type="dxa"/>
            <w:shd w:val="clear" w:color="auto" w:fill="F2F2F2" w:themeFill="background1" w:themeFillShade="F2"/>
            <w:vAlign w:val="center"/>
          </w:tcPr>
          <w:p w14:paraId="28936F39"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3B1E9AA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01EB97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5BD5C0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C7F431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93CBF9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A8DCFBA"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D66F94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276B39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ED3D58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FB2C48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82A42E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854E23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B7668E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8A491B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C75BFF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tcPr>
          <w:p w14:paraId="3C5234F5" w14:textId="00F7124C" w:rsidR="001D3D65" w:rsidRPr="00D21977" w:rsidRDefault="001D3D65" w:rsidP="001D3D65">
            <w:pP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Orçamento</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específico</w:t>
            </w:r>
            <w:proofErr w:type="spellEnd"/>
            <w:r>
              <w:rPr>
                <w:rFonts w:ascii="Garamond" w:eastAsia="Times New Roman" w:hAnsi="Garamond" w:cs="Times New Roman"/>
                <w:color w:val="000000"/>
                <w:sz w:val="20"/>
                <w:szCs w:val="20"/>
                <w:lang w:eastAsia="es-ES"/>
              </w:rPr>
              <w:t xml:space="preserve"> MFIS (PNC)</w:t>
            </w:r>
          </w:p>
        </w:tc>
      </w:tr>
      <w:tr w:rsidR="001D3D65" w:rsidRPr="00D21977" w14:paraId="2982B327" w14:textId="77777777" w:rsidTr="001D3D65">
        <w:trPr>
          <w:trHeight w:val="615"/>
        </w:trPr>
        <w:tc>
          <w:tcPr>
            <w:tcW w:w="1739" w:type="dxa"/>
            <w:vMerge/>
            <w:shd w:val="clear" w:color="auto" w:fill="FFFFFF" w:themeFill="background1"/>
          </w:tcPr>
          <w:p w14:paraId="2E60EC75"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575BFF06" w14:textId="77777777" w:rsidR="001D3D65" w:rsidRPr="00C83A02" w:rsidRDefault="001D3D65" w:rsidP="001D3D65">
            <w:pPr>
              <w:spacing w:after="60"/>
              <w:rPr>
                <w:rFonts w:ascii="Garamond" w:hAnsi="Garamond"/>
                <w:sz w:val="20"/>
                <w:szCs w:val="20"/>
                <w:lang w:val="pt-PT"/>
              </w:rPr>
            </w:pPr>
            <w:r w:rsidRPr="00C83A02">
              <w:rPr>
                <w:rFonts w:ascii="Garamond" w:hAnsi="Garamond"/>
                <w:sz w:val="20"/>
                <w:szCs w:val="20"/>
                <w:lang w:val="pt-PT"/>
              </w:rPr>
              <w:t xml:space="preserve">1.3.2. Elaborar e generalizar o uso de instrumentos de rastreio das necessidades de conciliação da vida laboral/familiar em todos os programas e projectos que trabalham para a inserção laboral de mulheres, e apoiar soluções de base comunitárias sempre que necessário </w:t>
            </w:r>
          </w:p>
        </w:tc>
        <w:tc>
          <w:tcPr>
            <w:tcW w:w="1365" w:type="dxa"/>
            <w:shd w:val="clear" w:color="auto" w:fill="FFFFFF" w:themeFill="background1"/>
            <w:vAlign w:val="center"/>
          </w:tcPr>
          <w:p w14:paraId="7F535DB2" w14:textId="77777777" w:rsidR="001D3D65"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3C3E71AC" w14:textId="77777777" w:rsidR="001D3D65" w:rsidRPr="00EB750A" w:rsidRDefault="001D3D65" w:rsidP="001D3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Entidades do Sistema Nacional de Cuidados,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de base comunitária, IEFP, Centros de EFE, Pro-Empresa, Câmaras</w:t>
            </w:r>
          </w:p>
        </w:tc>
        <w:tc>
          <w:tcPr>
            <w:tcW w:w="220" w:type="dxa"/>
            <w:shd w:val="clear" w:color="auto" w:fill="F2F2F2" w:themeFill="background1" w:themeFillShade="F2"/>
            <w:vAlign w:val="center"/>
          </w:tcPr>
          <w:p w14:paraId="429B9EA3"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6721B42C"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309D77A"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B9C0E7A"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CE45023"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DE32542"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E1926F3"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5F8072D"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7382D73"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1348865"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7614894"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A2A5750"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5649A82"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F88767F"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136B6FD"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B16BB03"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42113749" w14:textId="36090F67"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2 043 000</w:t>
            </w:r>
          </w:p>
        </w:tc>
      </w:tr>
      <w:tr w:rsidR="001D3D65" w:rsidRPr="00D21977" w14:paraId="06C44B84" w14:textId="77777777" w:rsidTr="00E1150C">
        <w:trPr>
          <w:trHeight w:val="615"/>
        </w:trPr>
        <w:tc>
          <w:tcPr>
            <w:tcW w:w="1739" w:type="dxa"/>
            <w:vMerge/>
            <w:shd w:val="clear" w:color="auto" w:fill="FFFFFF" w:themeFill="background1"/>
          </w:tcPr>
          <w:p w14:paraId="161FAB86"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5803EAAD" w14:textId="77777777" w:rsidR="001D3D65" w:rsidRPr="00C83A02" w:rsidRDefault="001D3D65" w:rsidP="001D3D65">
            <w:pPr>
              <w:spacing w:after="60"/>
              <w:rPr>
                <w:rFonts w:ascii="Garamond" w:hAnsi="Garamond"/>
                <w:sz w:val="20"/>
                <w:szCs w:val="20"/>
                <w:lang w:val="pt-PT"/>
              </w:rPr>
            </w:pPr>
            <w:r w:rsidRPr="00C83A02">
              <w:rPr>
                <w:rFonts w:ascii="Garamond" w:hAnsi="Garamond"/>
                <w:sz w:val="20"/>
                <w:szCs w:val="20"/>
                <w:lang w:val="pt-PT"/>
              </w:rPr>
              <w:t>1.3.3. Garantir o monitoramento continuo da implementação dos serviços do Sistema Nacional de Cuidados (disponibilidade, cobertura e qualidade dos serviços a cuidado-dependentes).</w:t>
            </w:r>
          </w:p>
        </w:tc>
        <w:tc>
          <w:tcPr>
            <w:tcW w:w="1365" w:type="dxa"/>
            <w:shd w:val="clear" w:color="auto" w:fill="FFFFFF" w:themeFill="background1"/>
            <w:vAlign w:val="center"/>
          </w:tcPr>
          <w:p w14:paraId="294ED520"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50530424" w14:textId="59CF82B4" w:rsidR="001D3D65" w:rsidRPr="00EB750A" w:rsidRDefault="001D3D65" w:rsidP="001D3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Entidades do Sistema Nacional de Cuidados</w:t>
            </w:r>
            <w:r w:rsidR="00B17BA8">
              <w:rPr>
                <w:rFonts w:ascii="Garamond" w:eastAsia="Times New Roman" w:hAnsi="Garamond" w:cs="Times New Roman"/>
                <w:color w:val="000000"/>
                <w:sz w:val="20"/>
                <w:szCs w:val="20"/>
                <w:lang w:val="pt-PT" w:eastAsia="es-ES"/>
              </w:rPr>
              <w:t>, BM</w:t>
            </w:r>
          </w:p>
        </w:tc>
        <w:tc>
          <w:tcPr>
            <w:tcW w:w="220" w:type="dxa"/>
            <w:shd w:val="clear" w:color="auto" w:fill="F2F2F2" w:themeFill="background1" w:themeFillShade="F2"/>
            <w:vAlign w:val="center"/>
          </w:tcPr>
          <w:p w14:paraId="1BD2B8EA"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7E0CA8B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6B09DA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09C627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A7B1AF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FC57EF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6A4D94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D2F7D0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1DD233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B9C66AA"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A1B93B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EFF05B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88BDBD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87E433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EE65D7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69C840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tcPr>
          <w:p w14:paraId="5D830784" w14:textId="1CAD0FBF" w:rsidR="001D3D65" w:rsidRPr="00D21977" w:rsidRDefault="001D3D65" w:rsidP="001D3D65">
            <w:pP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Orçamento</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específico</w:t>
            </w:r>
            <w:proofErr w:type="spellEnd"/>
            <w:r>
              <w:rPr>
                <w:rFonts w:ascii="Garamond" w:eastAsia="Times New Roman" w:hAnsi="Garamond" w:cs="Times New Roman"/>
                <w:color w:val="000000"/>
                <w:sz w:val="20"/>
                <w:szCs w:val="20"/>
                <w:lang w:eastAsia="es-ES"/>
              </w:rPr>
              <w:t xml:space="preserve"> MFIS (PNC</w:t>
            </w:r>
          </w:p>
        </w:tc>
      </w:tr>
      <w:tr w:rsidR="001D3D65" w:rsidRPr="00D21977" w14:paraId="20C54998" w14:textId="77777777" w:rsidTr="00922684">
        <w:trPr>
          <w:trHeight w:val="615"/>
        </w:trPr>
        <w:tc>
          <w:tcPr>
            <w:tcW w:w="1739" w:type="dxa"/>
            <w:vMerge/>
            <w:shd w:val="clear" w:color="auto" w:fill="FFFFFF" w:themeFill="background1"/>
          </w:tcPr>
          <w:p w14:paraId="3391C465"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7A282E6E" w14:textId="77777777" w:rsidR="001D3D65" w:rsidRPr="00C83A02" w:rsidRDefault="001D3D65" w:rsidP="001D3D65">
            <w:pPr>
              <w:spacing w:after="60"/>
              <w:rPr>
                <w:rFonts w:ascii="Garamond" w:hAnsi="Garamond"/>
                <w:sz w:val="20"/>
                <w:szCs w:val="20"/>
                <w:lang w:val="pt-PT"/>
              </w:rPr>
            </w:pPr>
            <w:r w:rsidRPr="00C83A02">
              <w:rPr>
                <w:rFonts w:ascii="Garamond" w:hAnsi="Garamond"/>
                <w:sz w:val="20"/>
                <w:szCs w:val="20"/>
                <w:lang w:val="pt-PT"/>
              </w:rPr>
              <w:t>1.3.4. Desenhar e implementar uma campanha sobre conciliação da vida familiar e laboral e medidas facilitadoras previstas no Código Laboral.</w:t>
            </w:r>
          </w:p>
        </w:tc>
        <w:tc>
          <w:tcPr>
            <w:tcW w:w="1365" w:type="dxa"/>
            <w:shd w:val="clear" w:color="auto" w:fill="FFFFFF" w:themeFill="background1"/>
            <w:vAlign w:val="center"/>
          </w:tcPr>
          <w:p w14:paraId="728A26B2"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38FB7ADE" w14:textId="77777777" w:rsidR="001D3D65" w:rsidRPr="00EB750A" w:rsidRDefault="001D3D65" w:rsidP="001D3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IGT</w:t>
            </w:r>
            <w:proofErr w:type="spellEnd"/>
            <w:r w:rsidRPr="00EB750A">
              <w:rPr>
                <w:rFonts w:ascii="Garamond" w:eastAsia="Times New Roman" w:hAnsi="Garamond" w:cs="Times New Roman"/>
                <w:color w:val="000000"/>
                <w:sz w:val="20"/>
                <w:szCs w:val="20"/>
                <w:lang w:val="pt-PT" w:eastAsia="es-ES"/>
              </w:rPr>
              <w:t xml:space="preserve">, sindicatos, </w:t>
            </w:r>
            <w:proofErr w:type="spellStart"/>
            <w:r w:rsidRPr="00EB750A">
              <w:rPr>
                <w:rFonts w:ascii="Garamond" w:eastAsia="Times New Roman" w:hAnsi="Garamond" w:cs="Times New Roman"/>
                <w:color w:val="000000"/>
                <w:sz w:val="20"/>
                <w:szCs w:val="20"/>
                <w:lang w:val="pt-PT" w:eastAsia="es-ES"/>
              </w:rPr>
              <w:t>DGIS</w:t>
            </w:r>
            <w:proofErr w:type="spellEnd"/>
          </w:p>
        </w:tc>
        <w:tc>
          <w:tcPr>
            <w:tcW w:w="220" w:type="dxa"/>
            <w:shd w:val="clear" w:color="auto" w:fill="F2F2F2" w:themeFill="background1" w:themeFillShade="F2"/>
            <w:vAlign w:val="center"/>
          </w:tcPr>
          <w:p w14:paraId="22A56866"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3EA2CB0D"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06547BD5"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721F4024"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33EC93E6"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15F2AAE9"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199363A5"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466270DB" w14:textId="77777777" w:rsidR="001D3D65" w:rsidRPr="003C0F9B" w:rsidRDefault="001D3D65" w:rsidP="001D3D65">
            <w:pP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4990591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1B60DB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039CB5A"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43AFE4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63AE28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C116EB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3D1779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5E5A12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2564A2C6" w14:textId="5B0320E3"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2 110 000</w:t>
            </w:r>
          </w:p>
        </w:tc>
      </w:tr>
      <w:tr w:rsidR="001D3D65" w:rsidRPr="00D21977" w14:paraId="14195284" w14:textId="77777777" w:rsidTr="00922684">
        <w:trPr>
          <w:trHeight w:val="615"/>
        </w:trPr>
        <w:tc>
          <w:tcPr>
            <w:tcW w:w="1739" w:type="dxa"/>
            <w:vMerge/>
            <w:shd w:val="clear" w:color="auto" w:fill="FFFFFF" w:themeFill="background1"/>
          </w:tcPr>
          <w:p w14:paraId="4BA50085"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1411BFEB" w14:textId="77777777" w:rsidR="001D3D65" w:rsidRPr="00C83A02" w:rsidRDefault="001D3D65" w:rsidP="001D3D65">
            <w:pPr>
              <w:spacing w:after="60"/>
              <w:rPr>
                <w:rFonts w:ascii="Garamond" w:hAnsi="Garamond"/>
                <w:sz w:val="20"/>
                <w:szCs w:val="20"/>
                <w:lang w:val="pt-PT"/>
              </w:rPr>
            </w:pPr>
            <w:r w:rsidRPr="00C83A02">
              <w:rPr>
                <w:rFonts w:ascii="Garamond" w:hAnsi="Garamond"/>
                <w:sz w:val="20"/>
                <w:szCs w:val="20"/>
                <w:lang w:val="pt-PT"/>
              </w:rPr>
              <w:t xml:space="preserve">1.3.5. Analisar os custos-benefícios de implementar mais medidas de conciliação da vida familiar e laboral (aumento da licença de maternidade, implementação de licença de paternidade, etc.) e advogar </w:t>
            </w:r>
            <w:proofErr w:type="spellStart"/>
            <w:r w:rsidRPr="00C83A02">
              <w:rPr>
                <w:rFonts w:ascii="Garamond" w:hAnsi="Garamond"/>
                <w:sz w:val="20"/>
                <w:szCs w:val="20"/>
                <w:lang w:val="pt-PT"/>
              </w:rPr>
              <w:t>pela</w:t>
            </w:r>
            <w:proofErr w:type="spellEnd"/>
            <w:r w:rsidRPr="00C83A02">
              <w:rPr>
                <w:rFonts w:ascii="Garamond" w:hAnsi="Garamond"/>
                <w:sz w:val="20"/>
                <w:szCs w:val="20"/>
                <w:lang w:val="pt-PT"/>
              </w:rPr>
              <w:t xml:space="preserve"> sua implementação</w:t>
            </w:r>
          </w:p>
        </w:tc>
        <w:tc>
          <w:tcPr>
            <w:tcW w:w="1365" w:type="dxa"/>
            <w:shd w:val="clear" w:color="auto" w:fill="FFFFFF" w:themeFill="background1"/>
            <w:vAlign w:val="center"/>
          </w:tcPr>
          <w:p w14:paraId="07FC466F"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7426BC4E" w14:textId="77777777" w:rsidR="001D3D65" w:rsidRPr="00EB750A" w:rsidRDefault="001D3D65" w:rsidP="001D3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INPS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CIGEF</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IGT</w:t>
            </w:r>
            <w:proofErr w:type="spellEnd"/>
            <w:r w:rsidRPr="00EB750A">
              <w:rPr>
                <w:rFonts w:ascii="Garamond" w:eastAsia="Times New Roman" w:hAnsi="Garamond" w:cs="Times New Roman"/>
                <w:color w:val="000000"/>
                <w:sz w:val="20"/>
                <w:szCs w:val="20"/>
                <w:lang w:val="pt-PT" w:eastAsia="es-ES"/>
              </w:rPr>
              <w:t xml:space="preserve">, sindicatos, </w:t>
            </w:r>
            <w:proofErr w:type="spellStart"/>
            <w:r w:rsidRPr="00EB750A">
              <w:rPr>
                <w:rFonts w:ascii="Garamond" w:eastAsia="Times New Roman" w:hAnsi="Garamond" w:cs="Times New Roman"/>
                <w:color w:val="000000"/>
                <w:sz w:val="20"/>
                <w:szCs w:val="20"/>
                <w:lang w:val="pt-PT" w:eastAsia="es-ES"/>
              </w:rPr>
              <w:t>DGIS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p>
        </w:tc>
        <w:tc>
          <w:tcPr>
            <w:tcW w:w="220" w:type="dxa"/>
            <w:shd w:val="clear" w:color="auto" w:fill="F2F2F2" w:themeFill="background1" w:themeFillShade="F2"/>
            <w:vAlign w:val="center"/>
          </w:tcPr>
          <w:p w14:paraId="0D12EE15"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2A4444EB"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1814A212"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6A9A56F1"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3E06438D"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115A5690"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51B779B9"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06C59CE1"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6620221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9C837E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1155C3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B7F153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55E1FD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6F8904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8C4332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9EB824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5AF214EB" w14:textId="2211904A"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740 000</w:t>
            </w:r>
          </w:p>
        </w:tc>
      </w:tr>
      <w:tr w:rsidR="001D3D65" w:rsidRPr="00D21977" w14:paraId="436D9AEF" w14:textId="77777777" w:rsidTr="00922684">
        <w:trPr>
          <w:trHeight w:val="615"/>
        </w:trPr>
        <w:tc>
          <w:tcPr>
            <w:tcW w:w="1739" w:type="dxa"/>
            <w:vMerge w:val="restart"/>
            <w:shd w:val="clear" w:color="auto" w:fill="FFFFFF" w:themeFill="background1"/>
          </w:tcPr>
          <w:p w14:paraId="2A7F4EF2" w14:textId="77777777" w:rsidR="001D3D65" w:rsidRPr="00EB750A" w:rsidRDefault="001D3D65" w:rsidP="001D3D65">
            <w:pPr>
              <w:spacing w:after="240"/>
              <w:rPr>
                <w:rFonts w:ascii="Garamond" w:hAnsi="Garamond" w:cs="Times New Roman"/>
                <w:sz w:val="20"/>
                <w:szCs w:val="20"/>
                <w:lang w:val="pt-PT"/>
              </w:rPr>
            </w:pPr>
            <w:r w:rsidRPr="00EB750A">
              <w:rPr>
                <w:rFonts w:ascii="Garamond" w:hAnsi="Garamond" w:cs="Times New Roman"/>
                <w:color w:val="000000" w:themeColor="text1"/>
                <w:lang w:val="pt-PT"/>
              </w:rPr>
              <w:t>1.4. Aumentadas as oportunidades e segurança económica para mulheres em situação de pobreza no meio rural e urbano</w:t>
            </w:r>
          </w:p>
        </w:tc>
        <w:tc>
          <w:tcPr>
            <w:tcW w:w="4849" w:type="dxa"/>
            <w:shd w:val="clear" w:color="auto" w:fill="FFFFFF" w:themeFill="background1"/>
          </w:tcPr>
          <w:p w14:paraId="71046E35"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D21977">
              <w:rPr>
                <w:rFonts w:ascii="Garamond" w:hAnsi="Garamond" w:cs="Arial"/>
                <w:sz w:val="20"/>
                <w:szCs w:val="20"/>
                <w:lang w:val="pt-BR"/>
              </w:rPr>
              <w:t>1.</w:t>
            </w:r>
            <w:r>
              <w:rPr>
                <w:rFonts w:ascii="Garamond" w:hAnsi="Garamond" w:cs="Arial"/>
                <w:sz w:val="20"/>
                <w:szCs w:val="20"/>
                <w:lang w:val="pt-BR"/>
              </w:rPr>
              <w:t>4</w:t>
            </w:r>
            <w:r w:rsidRPr="00D21977">
              <w:rPr>
                <w:rFonts w:ascii="Garamond" w:hAnsi="Garamond" w:cs="Arial"/>
                <w:sz w:val="20"/>
                <w:szCs w:val="20"/>
                <w:lang w:val="pt-BR"/>
              </w:rPr>
              <w:t xml:space="preserve">.1. Aprofundar a abordagem de género nas iniciativas de combate à pobreza rural </w:t>
            </w:r>
            <w:r w:rsidRPr="005F6540">
              <w:rPr>
                <w:rFonts w:ascii="Garamond" w:hAnsi="Garamond" w:cs="Arial"/>
                <w:sz w:val="20"/>
                <w:szCs w:val="20"/>
                <w:lang w:val="pt-BR"/>
              </w:rPr>
              <w:t>e</w:t>
            </w:r>
            <w:r>
              <w:rPr>
                <w:rFonts w:ascii="Garamond" w:hAnsi="Garamond" w:cs="Arial"/>
                <w:sz w:val="20"/>
                <w:szCs w:val="20"/>
                <w:lang w:val="pt-BR"/>
              </w:rPr>
              <w:t xml:space="preserve"> a</w:t>
            </w:r>
            <w:r w:rsidRPr="005F6540">
              <w:rPr>
                <w:rFonts w:ascii="Garamond" w:hAnsi="Garamond" w:cs="Arial"/>
                <w:sz w:val="20"/>
                <w:szCs w:val="20"/>
                <w:lang w:val="pt-BR"/>
              </w:rPr>
              <w:t xml:space="preserve"> insegurança alimentar e nutricional</w:t>
            </w:r>
            <w:r w:rsidRPr="00D21977">
              <w:rPr>
                <w:rFonts w:ascii="Garamond" w:hAnsi="Garamond" w:cs="Arial"/>
                <w:sz w:val="20"/>
                <w:szCs w:val="20"/>
                <w:lang w:val="pt-BR"/>
              </w:rPr>
              <w:t xml:space="preserve"> (análise de género, estratégias sensíveis ao género e/ou direcionadas, seguimento e avaliação sensível ao género).</w:t>
            </w:r>
          </w:p>
        </w:tc>
        <w:tc>
          <w:tcPr>
            <w:tcW w:w="1365" w:type="dxa"/>
            <w:shd w:val="clear" w:color="auto" w:fill="FFFFFF" w:themeFill="background1"/>
            <w:vAlign w:val="center"/>
          </w:tcPr>
          <w:p w14:paraId="5204CE5B" w14:textId="77777777" w:rsidR="001D3D65" w:rsidRPr="00D21977" w:rsidRDefault="001D3D65" w:rsidP="001D3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MAA</w:t>
            </w:r>
          </w:p>
        </w:tc>
        <w:tc>
          <w:tcPr>
            <w:tcW w:w="2123" w:type="dxa"/>
            <w:shd w:val="clear" w:color="auto" w:fill="FFFFFF" w:themeFill="background1"/>
            <w:vAlign w:val="center"/>
          </w:tcPr>
          <w:p w14:paraId="1D6D5081"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Câmaras</w:t>
            </w:r>
            <w:proofErr w:type="spellEnd"/>
          </w:p>
        </w:tc>
        <w:tc>
          <w:tcPr>
            <w:tcW w:w="220" w:type="dxa"/>
            <w:shd w:val="clear" w:color="auto" w:fill="F2F2F2" w:themeFill="background1" w:themeFillShade="F2"/>
            <w:vAlign w:val="center"/>
          </w:tcPr>
          <w:p w14:paraId="05B6175E"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35AB34F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41B839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E949AAA"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5FE3EE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5C0FBC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78756B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E173D8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CA0CFC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04F7CF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47A568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455DBB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CDC076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014CC2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8E947B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870226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0E384E1" w14:textId="16D928F9"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2 650 000</w:t>
            </w:r>
          </w:p>
        </w:tc>
      </w:tr>
      <w:tr w:rsidR="001D3D65" w:rsidRPr="00D21977" w14:paraId="22104022" w14:textId="77777777" w:rsidTr="00922684">
        <w:trPr>
          <w:trHeight w:val="615"/>
        </w:trPr>
        <w:tc>
          <w:tcPr>
            <w:tcW w:w="1739" w:type="dxa"/>
            <w:vMerge/>
            <w:shd w:val="clear" w:color="auto" w:fill="FFFFFF" w:themeFill="background1"/>
          </w:tcPr>
          <w:p w14:paraId="5EDD8B94"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744094EA" w14:textId="77777777" w:rsidR="001D3D65" w:rsidRPr="00D21977" w:rsidRDefault="001D3D65" w:rsidP="001D3D65">
            <w:pPr>
              <w:spacing w:after="60"/>
              <w:rPr>
                <w:rFonts w:ascii="Garamond" w:hAnsi="Garamond" w:cs="Arial"/>
                <w:sz w:val="20"/>
                <w:szCs w:val="20"/>
                <w:lang w:val="pt-BR"/>
              </w:rPr>
            </w:pPr>
            <w:r>
              <w:rPr>
                <w:rFonts w:ascii="Garamond" w:hAnsi="Garamond" w:cs="Arial"/>
                <w:sz w:val="20"/>
                <w:szCs w:val="20"/>
                <w:lang w:val="pt-BR"/>
              </w:rPr>
              <w:t>1.4.2.</w:t>
            </w:r>
            <w:r w:rsidRPr="00975ED0">
              <w:rPr>
                <w:rFonts w:ascii="Garamond" w:hAnsi="Garamond" w:cs="Arial"/>
                <w:sz w:val="20"/>
                <w:szCs w:val="20"/>
                <w:lang w:val="pt-BR"/>
              </w:rPr>
              <w:t xml:space="preserve"> </w:t>
            </w:r>
            <w:r>
              <w:rPr>
                <w:rFonts w:ascii="Garamond" w:hAnsi="Garamond" w:cs="Arial"/>
                <w:sz w:val="20"/>
                <w:szCs w:val="20"/>
                <w:lang w:val="pt-BR"/>
              </w:rPr>
              <w:t>D</w:t>
            </w:r>
            <w:r w:rsidRPr="00975ED0">
              <w:rPr>
                <w:rFonts w:ascii="Garamond" w:hAnsi="Garamond" w:cs="Arial"/>
                <w:sz w:val="20"/>
                <w:szCs w:val="20"/>
                <w:lang w:val="pt-BR"/>
              </w:rPr>
              <w:t>inamiza</w:t>
            </w:r>
            <w:r>
              <w:rPr>
                <w:rFonts w:ascii="Garamond" w:hAnsi="Garamond" w:cs="Arial"/>
                <w:sz w:val="20"/>
                <w:szCs w:val="20"/>
                <w:lang w:val="pt-BR"/>
              </w:rPr>
              <w:t>r</w:t>
            </w:r>
            <w:r w:rsidRPr="00975ED0">
              <w:rPr>
                <w:rFonts w:ascii="Garamond" w:hAnsi="Garamond" w:cs="Arial"/>
                <w:sz w:val="20"/>
                <w:szCs w:val="20"/>
                <w:lang w:val="pt-BR"/>
              </w:rPr>
              <w:t xml:space="preserve"> cadeias de valor de produtos identificados por mulheres, cooperativas de mulheres </w:t>
            </w:r>
            <w:r>
              <w:rPr>
                <w:rFonts w:ascii="Garamond" w:hAnsi="Garamond" w:cs="Arial"/>
                <w:sz w:val="20"/>
                <w:szCs w:val="20"/>
                <w:lang w:val="pt-BR"/>
              </w:rPr>
              <w:t>e</w:t>
            </w:r>
            <w:r w:rsidRPr="00975ED0">
              <w:rPr>
                <w:rFonts w:ascii="Garamond" w:hAnsi="Garamond" w:cs="Arial"/>
                <w:sz w:val="20"/>
                <w:szCs w:val="20"/>
                <w:lang w:val="pt-BR"/>
              </w:rPr>
              <w:t xml:space="preserve"> </w:t>
            </w:r>
            <w:r>
              <w:rPr>
                <w:rFonts w:ascii="Garamond" w:hAnsi="Garamond" w:cs="Arial"/>
                <w:sz w:val="20"/>
                <w:szCs w:val="20"/>
                <w:lang w:val="pt-BR"/>
              </w:rPr>
              <w:t xml:space="preserve">estabelecer </w:t>
            </w:r>
            <w:r w:rsidRPr="00975ED0">
              <w:rPr>
                <w:rFonts w:ascii="Garamond" w:hAnsi="Garamond" w:cs="Arial"/>
                <w:sz w:val="20"/>
                <w:szCs w:val="20"/>
                <w:lang w:val="pt-BR"/>
              </w:rPr>
              <w:t>mecanismos e plataformas de facilitação do</w:t>
            </w:r>
            <w:r>
              <w:rPr>
                <w:rFonts w:ascii="Garamond" w:hAnsi="Garamond" w:cs="Arial"/>
                <w:sz w:val="20"/>
                <w:szCs w:val="20"/>
                <w:lang w:val="pt-BR"/>
              </w:rPr>
              <w:t xml:space="preserve"> seu</w:t>
            </w:r>
            <w:r w:rsidRPr="00975ED0">
              <w:rPr>
                <w:rFonts w:ascii="Garamond" w:hAnsi="Garamond" w:cs="Arial"/>
                <w:sz w:val="20"/>
                <w:szCs w:val="20"/>
                <w:lang w:val="pt-BR"/>
              </w:rPr>
              <w:t xml:space="preserve"> acesso a financiamentos e mercados</w:t>
            </w:r>
          </w:p>
        </w:tc>
        <w:tc>
          <w:tcPr>
            <w:tcW w:w="1365" w:type="dxa"/>
            <w:shd w:val="clear" w:color="auto" w:fill="FFFFFF" w:themeFill="background1"/>
            <w:vAlign w:val="center"/>
          </w:tcPr>
          <w:p w14:paraId="6C9DC147"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7B0CACC3"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Câmaras</w:t>
            </w:r>
            <w:proofErr w:type="spellEnd"/>
          </w:p>
        </w:tc>
        <w:tc>
          <w:tcPr>
            <w:tcW w:w="220" w:type="dxa"/>
            <w:shd w:val="clear" w:color="auto" w:fill="F2F2F2" w:themeFill="background1" w:themeFillShade="F2"/>
            <w:vAlign w:val="center"/>
          </w:tcPr>
          <w:p w14:paraId="304CAB4E"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0854898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E2DEB9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2B40C5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04A7BE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48081B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0FD552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1B85C7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8BFE38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489530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343970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305ACB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BBF41F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35292F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1DE1A8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0AD6BD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480FD2A1" w14:textId="240593E1"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4 000 000</w:t>
            </w:r>
          </w:p>
        </w:tc>
      </w:tr>
      <w:tr w:rsidR="001D3D65" w:rsidRPr="00D21977" w14:paraId="1A3FB02B" w14:textId="77777777" w:rsidTr="00922684">
        <w:trPr>
          <w:trHeight w:val="615"/>
        </w:trPr>
        <w:tc>
          <w:tcPr>
            <w:tcW w:w="1739" w:type="dxa"/>
            <w:vMerge/>
            <w:shd w:val="clear" w:color="auto" w:fill="FFFFFF" w:themeFill="background1"/>
          </w:tcPr>
          <w:p w14:paraId="6479236E"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16510CF4"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D21977">
              <w:rPr>
                <w:rFonts w:ascii="Garamond" w:hAnsi="Garamond" w:cs="Arial"/>
                <w:sz w:val="20"/>
                <w:szCs w:val="20"/>
                <w:lang w:val="pt-BR"/>
              </w:rPr>
              <w:t>1.</w:t>
            </w:r>
            <w:r>
              <w:rPr>
                <w:rFonts w:ascii="Garamond" w:hAnsi="Garamond" w:cs="Arial"/>
                <w:sz w:val="20"/>
                <w:szCs w:val="20"/>
                <w:lang w:val="pt-BR"/>
              </w:rPr>
              <w:t>4</w:t>
            </w:r>
            <w:r w:rsidRPr="00D21977">
              <w:rPr>
                <w:rFonts w:ascii="Garamond" w:hAnsi="Garamond" w:cs="Arial"/>
                <w:sz w:val="20"/>
                <w:szCs w:val="20"/>
                <w:lang w:val="pt-BR"/>
              </w:rPr>
              <w:t>.</w:t>
            </w:r>
            <w:r>
              <w:rPr>
                <w:rFonts w:ascii="Garamond" w:hAnsi="Garamond" w:cs="Arial"/>
                <w:sz w:val="20"/>
                <w:szCs w:val="20"/>
                <w:lang w:val="pt-BR"/>
              </w:rPr>
              <w:t>3</w:t>
            </w:r>
            <w:r w:rsidRPr="00D21977">
              <w:rPr>
                <w:rFonts w:ascii="Garamond" w:hAnsi="Garamond" w:cs="Arial"/>
                <w:sz w:val="20"/>
                <w:szCs w:val="20"/>
                <w:lang w:val="pt-BR"/>
              </w:rPr>
              <w:t>. Seguir os PEMDS dos municípios em que a pobreza tem um rosto feminino e prestar assitência técnica para a sua consolidação e implementação.</w:t>
            </w:r>
          </w:p>
        </w:tc>
        <w:tc>
          <w:tcPr>
            <w:tcW w:w="1365" w:type="dxa"/>
            <w:shd w:val="clear" w:color="auto" w:fill="FFFFFF" w:themeFill="background1"/>
            <w:vAlign w:val="center"/>
          </w:tcPr>
          <w:p w14:paraId="3E6AA5E3"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1C6AC69D" w14:textId="79F50C21" w:rsidR="001D3D65" w:rsidRPr="00EB750A" w:rsidRDefault="001D3D65" w:rsidP="001D3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Plataformas locais de desenvolvimento, CM, </w:t>
            </w:r>
            <w:proofErr w:type="spellStart"/>
            <w:r w:rsidRPr="00EB750A">
              <w:rPr>
                <w:rFonts w:ascii="Garamond" w:eastAsia="Times New Roman" w:hAnsi="Garamond" w:cs="Times New Roman"/>
                <w:color w:val="000000"/>
                <w:sz w:val="20"/>
                <w:szCs w:val="20"/>
                <w:lang w:val="pt-PT" w:eastAsia="es-ES"/>
              </w:rPr>
              <w:t>DGAL</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AMNCV</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00B17BA8">
              <w:rPr>
                <w:rFonts w:ascii="Garamond" w:eastAsia="Times New Roman" w:hAnsi="Garamond" w:cs="Times New Roman"/>
                <w:color w:val="000000"/>
                <w:sz w:val="20"/>
                <w:szCs w:val="20"/>
                <w:lang w:val="pt-PT" w:eastAsia="es-ES"/>
              </w:rPr>
              <w:t>, PNUD</w:t>
            </w:r>
          </w:p>
        </w:tc>
        <w:tc>
          <w:tcPr>
            <w:tcW w:w="220" w:type="dxa"/>
            <w:shd w:val="clear" w:color="auto" w:fill="F2F2F2" w:themeFill="background1" w:themeFillShade="F2"/>
            <w:vAlign w:val="center"/>
          </w:tcPr>
          <w:p w14:paraId="47524402"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3A07EBC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CEDE09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CCE589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328D713"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0CF94F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691E5B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626EAE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E0FAEE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AB6038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3B3091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66FD10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AB1E8B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6393D5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CF25D6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8F6713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1613BCB" w14:textId="026B06A8"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5 640 000</w:t>
            </w:r>
          </w:p>
        </w:tc>
      </w:tr>
      <w:tr w:rsidR="001D3D65" w:rsidRPr="00D21977" w14:paraId="525BFC84" w14:textId="77777777" w:rsidTr="00922684">
        <w:trPr>
          <w:trHeight w:val="615"/>
        </w:trPr>
        <w:tc>
          <w:tcPr>
            <w:tcW w:w="1739" w:type="dxa"/>
            <w:vMerge/>
            <w:shd w:val="clear" w:color="auto" w:fill="FFFFFF" w:themeFill="background1"/>
          </w:tcPr>
          <w:p w14:paraId="185617CC" w14:textId="77777777" w:rsidR="001D3D65" w:rsidRPr="00D21977" w:rsidRDefault="001D3D65" w:rsidP="001D3D65">
            <w:pPr>
              <w:spacing w:after="240"/>
              <w:rPr>
                <w:rFonts w:ascii="Garamond" w:hAnsi="Garamond" w:cs="Times New Roman"/>
                <w:sz w:val="20"/>
                <w:szCs w:val="20"/>
              </w:rPr>
            </w:pPr>
          </w:p>
        </w:tc>
        <w:tc>
          <w:tcPr>
            <w:tcW w:w="4849" w:type="dxa"/>
            <w:shd w:val="clear" w:color="auto" w:fill="FFFFFF" w:themeFill="background1"/>
          </w:tcPr>
          <w:p w14:paraId="39DBAD19"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D21977">
              <w:rPr>
                <w:rFonts w:ascii="Garamond" w:hAnsi="Garamond" w:cs="Arial"/>
                <w:sz w:val="20"/>
                <w:szCs w:val="20"/>
                <w:lang w:val="pt-BR"/>
              </w:rPr>
              <w:t>1.</w:t>
            </w:r>
            <w:r>
              <w:rPr>
                <w:rFonts w:ascii="Garamond" w:hAnsi="Garamond" w:cs="Arial"/>
                <w:sz w:val="20"/>
                <w:szCs w:val="20"/>
                <w:lang w:val="pt-BR"/>
              </w:rPr>
              <w:t>4</w:t>
            </w:r>
            <w:r w:rsidRPr="00D21977">
              <w:rPr>
                <w:rFonts w:ascii="Garamond" w:hAnsi="Garamond" w:cs="Arial"/>
                <w:sz w:val="20"/>
                <w:szCs w:val="20"/>
                <w:lang w:val="pt-BR"/>
              </w:rPr>
              <w:t>.</w:t>
            </w:r>
            <w:r>
              <w:rPr>
                <w:rFonts w:ascii="Garamond" w:hAnsi="Garamond" w:cs="Arial"/>
                <w:sz w:val="20"/>
                <w:szCs w:val="20"/>
                <w:lang w:val="pt-BR"/>
              </w:rPr>
              <w:t>4</w:t>
            </w:r>
            <w:r w:rsidRPr="00D21977">
              <w:rPr>
                <w:rFonts w:ascii="Garamond" w:hAnsi="Garamond" w:cs="Arial"/>
                <w:sz w:val="20"/>
                <w:szCs w:val="20"/>
                <w:lang w:val="pt-BR"/>
              </w:rPr>
              <w:t>. Documentar, divulgar e generalizar boas práticas de inclusão pelo rendimento de mulheres (rural e urbano) junto dos atores implicados no combate à pobreza a nível nacional e local.</w:t>
            </w:r>
          </w:p>
        </w:tc>
        <w:tc>
          <w:tcPr>
            <w:tcW w:w="1365" w:type="dxa"/>
            <w:shd w:val="clear" w:color="auto" w:fill="FFFFFF" w:themeFill="background1"/>
            <w:vAlign w:val="center"/>
          </w:tcPr>
          <w:p w14:paraId="3B8C7691"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16AD7464"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Câmaras</w:t>
            </w:r>
            <w:proofErr w:type="spellEnd"/>
          </w:p>
        </w:tc>
        <w:tc>
          <w:tcPr>
            <w:tcW w:w="220" w:type="dxa"/>
            <w:shd w:val="clear" w:color="auto" w:fill="F2F2F2" w:themeFill="background1" w:themeFillShade="F2"/>
            <w:vAlign w:val="center"/>
          </w:tcPr>
          <w:p w14:paraId="1756E065" w14:textId="77777777" w:rsidR="001D3D65" w:rsidRPr="003C0F9B" w:rsidRDefault="001D3D65" w:rsidP="001D3D65">
            <w:pPr>
              <w:jc w:val="center"/>
              <w:rPr>
                <w:rFonts w:ascii="Garamond" w:eastAsia="Times New Roman" w:hAnsi="Garamond" w:cs="Times New Roman"/>
                <w:b/>
                <w:bCs/>
                <w:color w:val="000000"/>
                <w:sz w:val="12"/>
                <w:szCs w:val="12"/>
                <w:lang w:eastAsia="es-ES"/>
              </w:rPr>
            </w:pPr>
          </w:p>
        </w:tc>
        <w:tc>
          <w:tcPr>
            <w:tcW w:w="198" w:type="dxa"/>
            <w:shd w:val="clear" w:color="auto" w:fill="F2F2F2" w:themeFill="background1" w:themeFillShade="F2"/>
            <w:vAlign w:val="center"/>
          </w:tcPr>
          <w:p w14:paraId="7AEB41C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E476D40"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536F0C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7BF51B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1AFA4E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A558183"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D5671E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385C99B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382B3F0"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83DD49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7111C2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6724E6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A36826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835CA7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2A411C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3B4B49D3" w14:textId="5EEB0D75"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1 550 000</w:t>
            </w:r>
          </w:p>
        </w:tc>
      </w:tr>
      <w:tr w:rsidR="001D3D65" w:rsidRPr="00D21977" w14:paraId="5264A4F3" w14:textId="77777777" w:rsidTr="00922684">
        <w:trPr>
          <w:trHeight w:val="615"/>
        </w:trPr>
        <w:tc>
          <w:tcPr>
            <w:tcW w:w="1739" w:type="dxa"/>
            <w:vMerge/>
            <w:shd w:val="clear" w:color="auto" w:fill="FFFFFF" w:themeFill="background1"/>
          </w:tcPr>
          <w:p w14:paraId="2DF33E21"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67A33A39"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1.4.5. Generalizar a avaliação de impactos de género nas respostas pós-crise e dar continuidade à integração do género nos programas de redução do risco de desastres, resiliência e mitigação dos efeitos das mudanças climáticas</w:t>
            </w:r>
          </w:p>
        </w:tc>
        <w:tc>
          <w:tcPr>
            <w:tcW w:w="1365" w:type="dxa"/>
            <w:shd w:val="clear" w:color="auto" w:fill="FFFFFF" w:themeFill="background1"/>
            <w:vAlign w:val="center"/>
          </w:tcPr>
          <w:p w14:paraId="7BFD8C6C"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SNPC</w:t>
            </w:r>
            <w:proofErr w:type="spellEnd"/>
            <w:r>
              <w:rPr>
                <w:rFonts w:ascii="Garamond" w:eastAsia="Times New Roman" w:hAnsi="Garamond" w:cs="Times New Roman"/>
                <w:color w:val="000000"/>
                <w:sz w:val="20"/>
                <w:szCs w:val="20"/>
                <w:lang w:eastAsia="es-ES"/>
              </w:rPr>
              <w:t xml:space="preserve">/ </w:t>
            </w:r>
            <w:r w:rsidRPr="00D21977">
              <w:rPr>
                <w:rFonts w:ascii="Garamond" w:eastAsia="Times New Roman" w:hAnsi="Garamond" w:cs="Times New Roman"/>
                <w:color w:val="000000"/>
                <w:sz w:val="20"/>
                <w:szCs w:val="20"/>
                <w:lang w:eastAsia="es-ES"/>
              </w:rPr>
              <w:t>MAA</w:t>
            </w:r>
          </w:p>
        </w:tc>
        <w:tc>
          <w:tcPr>
            <w:tcW w:w="2123" w:type="dxa"/>
            <w:shd w:val="clear" w:color="auto" w:fill="FFFFFF" w:themeFill="background1"/>
            <w:vAlign w:val="center"/>
          </w:tcPr>
          <w:p w14:paraId="490104C5"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DNS, </w:t>
            </w:r>
            <w:proofErr w:type="spellStart"/>
            <w:r>
              <w:rPr>
                <w:rFonts w:ascii="Garamond" w:eastAsia="Times New Roman" w:hAnsi="Garamond" w:cs="Times New Roman"/>
                <w:color w:val="000000"/>
                <w:sz w:val="20"/>
                <w:szCs w:val="20"/>
                <w:lang w:eastAsia="es-ES"/>
              </w:rPr>
              <w:t>OSC</w:t>
            </w:r>
            <w:proofErr w:type="spellEnd"/>
          </w:p>
        </w:tc>
        <w:tc>
          <w:tcPr>
            <w:tcW w:w="220" w:type="dxa"/>
            <w:shd w:val="clear" w:color="auto" w:fill="F2F2F2" w:themeFill="background1" w:themeFillShade="F2"/>
            <w:vAlign w:val="center"/>
          </w:tcPr>
          <w:p w14:paraId="4720C505"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4F33274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876E68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47675B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F8E37C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DFDDE4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F440FB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11CEBB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D8B1FA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D49F32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902F75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1D69C7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13D6A5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C25F8E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7CA999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272663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09C7D5E0" w14:textId="7A7024B5"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756 000</w:t>
            </w:r>
          </w:p>
        </w:tc>
      </w:tr>
      <w:tr w:rsidR="001D3D65" w:rsidRPr="00D21977" w14:paraId="21FFA246" w14:textId="77777777" w:rsidTr="00922684">
        <w:trPr>
          <w:trHeight w:val="615"/>
        </w:trPr>
        <w:tc>
          <w:tcPr>
            <w:tcW w:w="1739" w:type="dxa"/>
            <w:vMerge w:val="restart"/>
            <w:shd w:val="clear" w:color="auto" w:fill="FFFFFF" w:themeFill="background1"/>
          </w:tcPr>
          <w:p w14:paraId="7A18EF6A" w14:textId="77777777" w:rsidR="001D3D65" w:rsidRPr="00EB750A" w:rsidRDefault="001D3D65" w:rsidP="001D3D65">
            <w:pPr>
              <w:spacing w:after="240"/>
              <w:rPr>
                <w:rFonts w:ascii="Garamond" w:hAnsi="Garamond"/>
                <w:sz w:val="20"/>
                <w:szCs w:val="20"/>
                <w:lang w:val="pt-PT"/>
              </w:rPr>
            </w:pPr>
            <w:r w:rsidRPr="00EB750A">
              <w:rPr>
                <w:rFonts w:ascii="Garamond" w:hAnsi="Garamond"/>
                <w:sz w:val="20"/>
                <w:szCs w:val="20"/>
                <w:lang w:val="pt-PT"/>
              </w:rPr>
              <w:t xml:space="preserve">1.5. Melhorado o acesso ao emprego e condições de trabalho de grupos específicos de mulheres (mulheres no emprego doméstico, mulheres do </w:t>
            </w:r>
            <w:proofErr w:type="spellStart"/>
            <w:r w:rsidRPr="00EB750A">
              <w:rPr>
                <w:rFonts w:ascii="Garamond" w:hAnsi="Garamond"/>
                <w:sz w:val="20"/>
                <w:szCs w:val="20"/>
                <w:lang w:val="pt-PT"/>
              </w:rPr>
              <w:t>setor</w:t>
            </w:r>
            <w:proofErr w:type="spellEnd"/>
            <w:r w:rsidRPr="00EB750A">
              <w:rPr>
                <w:rFonts w:ascii="Garamond" w:hAnsi="Garamond"/>
                <w:sz w:val="20"/>
                <w:szCs w:val="20"/>
                <w:lang w:val="pt-PT"/>
              </w:rPr>
              <w:t xml:space="preserve"> informal, mulheres com deficiência)</w:t>
            </w:r>
          </w:p>
        </w:tc>
        <w:tc>
          <w:tcPr>
            <w:tcW w:w="4849" w:type="dxa"/>
            <w:shd w:val="clear" w:color="auto" w:fill="FFFFFF" w:themeFill="background1"/>
          </w:tcPr>
          <w:p w14:paraId="29A5C05A"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1.5.1. Divulgar o quadro legal em vigor em matéria de emprego doméstico e promover a inscrição das trabalhadoras domésticas no </w:t>
            </w:r>
            <w:proofErr w:type="spellStart"/>
            <w:r w:rsidRPr="00EB750A">
              <w:rPr>
                <w:rFonts w:ascii="Garamond" w:hAnsi="Garamond"/>
                <w:sz w:val="20"/>
                <w:szCs w:val="20"/>
                <w:lang w:val="pt-PT"/>
              </w:rPr>
              <w:t>INPS</w:t>
            </w:r>
            <w:proofErr w:type="spellEnd"/>
            <w:r w:rsidRPr="00EB750A">
              <w:rPr>
                <w:rFonts w:ascii="Garamond" w:hAnsi="Garamond"/>
                <w:sz w:val="20"/>
                <w:szCs w:val="20"/>
                <w:lang w:val="pt-PT"/>
              </w:rPr>
              <w:t>.</w:t>
            </w:r>
          </w:p>
        </w:tc>
        <w:tc>
          <w:tcPr>
            <w:tcW w:w="1365" w:type="dxa"/>
            <w:shd w:val="clear" w:color="auto" w:fill="FFFFFF" w:themeFill="background1"/>
            <w:vAlign w:val="center"/>
          </w:tcPr>
          <w:p w14:paraId="56D10680"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2BF3331E" w14:textId="77777777" w:rsidR="001D3D65" w:rsidRPr="00EB750A" w:rsidRDefault="001D3D65" w:rsidP="001D3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Associação ED, </w:t>
            </w:r>
            <w:proofErr w:type="spellStart"/>
            <w:r w:rsidRPr="00EB750A">
              <w:rPr>
                <w:rFonts w:ascii="Garamond" w:eastAsia="Times New Roman" w:hAnsi="Garamond" w:cs="Times New Roman"/>
                <w:color w:val="000000"/>
                <w:sz w:val="20"/>
                <w:szCs w:val="20"/>
                <w:lang w:val="pt-PT" w:eastAsia="es-ES"/>
              </w:rPr>
              <w:t>SNTCDS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INPS</w:t>
            </w:r>
            <w:proofErr w:type="spellEnd"/>
          </w:p>
        </w:tc>
        <w:tc>
          <w:tcPr>
            <w:tcW w:w="220" w:type="dxa"/>
            <w:shd w:val="clear" w:color="auto" w:fill="F2F2F2" w:themeFill="background1" w:themeFillShade="F2"/>
            <w:vAlign w:val="center"/>
          </w:tcPr>
          <w:p w14:paraId="2BFCDED7"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1EFDA8E3"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0444CA9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E1C7FDB" w14:textId="6D4D8B6B"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661EA93"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570C01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1866FDA" w14:textId="133BA62F"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D7DBFE9" w14:textId="52EA7052"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C380C95" w14:textId="582AB3EB"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D47ABA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190D6C0" w14:textId="0E37402B"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C8B3640" w14:textId="06E3DBB9"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3AD1F6D" w14:textId="477979F6"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39B5AE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9FB6CF8" w14:textId="6211DB59"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D903524" w14:textId="251D65BF"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00539820" w14:textId="3B3D377A"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5 720 000</w:t>
            </w:r>
          </w:p>
        </w:tc>
      </w:tr>
      <w:tr w:rsidR="001D3D65" w:rsidRPr="00D21977" w14:paraId="78FCAACC" w14:textId="77777777" w:rsidTr="00922684">
        <w:trPr>
          <w:trHeight w:val="615"/>
        </w:trPr>
        <w:tc>
          <w:tcPr>
            <w:tcW w:w="1739" w:type="dxa"/>
            <w:vMerge/>
            <w:shd w:val="clear" w:color="auto" w:fill="FFFFFF" w:themeFill="background1"/>
          </w:tcPr>
          <w:p w14:paraId="67011612"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2FB89312"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1.5.2. Advogar </w:t>
            </w:r>
            <w:proofErr w:type="spellStart"/>
            <w:r w:rsidRPr="00EB750A">
              <w:rPr>
                <w:rFonts w:ascii="Garamond" w:hAnsi="Garamond"/>
                <w:sz w:val="20"/>
                <w:szCs w:val="20"/>
                <w:lang w:val="pt-PT"/>
              </w:rPr>
              <w:t>pela</w:t>
            </w:r>
            <w:proofErr w:type="spellEnd"/>
            <w:r w:rsidRPr="00EB750A">
              <w:rPr>
                <w:rFonts w:ascii="Garamond" w:hAnsi="Garamond"/>
                <w:sz w:val="20"/>
                <w:szCs w:val="20"/>
                <w:lang w:val="pt-PT"/>
              </w:rPr>
              <w:t xml:space="preserve"> aprovação e implementação do Regulamento do Trabalho Doméstico e inclusão do emprego doméstico no subsídio de desemprego.</w:t>
            </w:r>
          </w:p>
        </w:tc>
        <w:tc>
          <w:tcPr>
            <w:tcW w:w="1365" w:type="dxa"/>
            <w:shd w:val="clear" w:color="auto" w:fill="FFFFFF" w:themeFill="background1"/>
            <w:vAlign w:val="center"/>
          </w:tcPr>
          <w:p w14:paraId="56EEEDE8"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2729CB5A" w14:textId="77777777" w:rsidR="001D3D65" w:rsidRPr="00EB750A" w:rsidRDefault="001D3D65" w:rsidP="001D3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Associação ED, </w:t>
            </w:r>
            <w:proofErr w:type="spellStart"/>
            <w:r w:rsidRPr="00EB750A">
              <w:rPr>
                <w:rFonts w:ascii="Garamond" w:eastAsia="Times New Roman" w:hAnsi="Garamond" w:cs="Times New Roman"/>
                <w:color w:val="000000"/>
                <w:sz w:val="20"/>
                <w:szCs w:val="20"/>
                <w:lang w:val="pt-PT" w:eastAsia="es-ES"/>
              </w:rPr>
              <w:t>SNTCDS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-CV</w:t>
            </w:r>
          </w:p>
        </w:tc>
        <w:tc>
          <w:tcPr>
            <w:tcW w:w="220" w:type="dxa"/>
            <w:shd w:val="clear" w:color="auto" w:fill="F2F2F2" w:themeFill="background1" w:themeFillShade="F2"/>
            <w:vAlign w:val="center"/>
          </w:tcPr>
          <w:p w14:paraId="096B0F05"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6B2BE5B1"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0E179DF5"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3B136DC9"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207" w:type="dxa"/>
            <w:shd w:val="clear" w:color="auto" w:fill="FFFFFF" w:themeFill="background1"/>
            <w:vAlign w:val="center"/>
          </w:tcPr>
          <w:p w14:paraId="7367912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73997C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77FC5A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BCF02F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FB0BEE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A9783CC"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1A7FCA7"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49480D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01E85D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E01D150"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6C7D116"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AAD2FD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0110B501" w14:textId="368629C0"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965 000</w:t>
            </w:r>
          </w:p>
        </w:tc>
      </w:tr>
      <w:tr w:rsidR="001D3D65" w:rsidRPr="00D21977" w14:paraId="33D91C79" w14:textId="77777777" w:rsidTr="00922684">
        <w:trPr>
          <w:trHeight w:val="615"/>
        </w:trPr>
        <w:tc>
          <w:tcPr>
            <w:tcW w:w="1739" w:type="dxa"/>
            <w:vMerge/>
            <w:shd w:val="clear" w:color="auto" w:fill="FFFFFF" w:themeFill="background1"/>
          </w:tcPr>
          <w:p w14:paraId="1031403C"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4C7A0102"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1.5.3. Definir e pôr em prática procedimentos para a fiscalização da implementação do quadro legal em vigor (e a ser aprovado) em matéria de emprego doméstico.</w:t>
            </w:r>
          </w:p>
        </w:tc>
        <w:tc>
          <w:tcPr>
            <w:tcW w:w="1365" w:type="dxa"/>
            <w:shd w:val="clear" w:color="auto" w:fill="FFFFFF" w:themeFill="background1"/>
            <w:vAlign w:val="center"/>
          </w:tcPr>
          <w:p w14:paraId="7F8580F1"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IGT</w:t>
            </w:r>
            <w:proofErr w:type="spellEnd"/>
          </w:p>
        </w:tc>
        <w:tc>
          <w:tcPr>
            <w:tcW w:w="2123" w:type="dxa"/>
            <w:shd w:val="clear" w:color="auto" w:fill="FFFFFF" w:themeFill="background1"/>
            <w:vAlign w:val="center"/>
          </w:tcPr>
          <w:p w14:paraId="3FB087E0" w14:textId="77777777" w:rsidR="001D3D65" w:rsidRPr="00EB750A" w:rsidRDefault="001D3D65" w:rsidP="001D3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INPS</w:t>
            </w:r>
            <w:proofErr w:type="spellEnd"/>
            <w:r w:rsidRPr="00EB750A">
              <w:rPr>
                <w:rFonts w:ascii="Garamond" w:eastAsia="Times New Roman" w:hAnsi="Garamond" w:cs="Times New Roman"/>
                <w:color w:val="000000"/>
                <w:sz w:val="20"/>
                <w:szCs w:val="20"/>
                <w:lang w:val="pt-PT" w:eastAsia="es-ES"/>
              </w:rPr>
              <w:t xml:space="preserve">, Associação ED, </w:t>
            </w:r>
            <w:proofErr w:type="spellStart"/>
            <w:r w:rsidRPr="00EB750A">
              <w:rPr>
                <w:rFonts w:ascii="Garamond" w:eastAsia="Times New Roman" w:hAnsi="Garamond" w:cs="Times New Roman"/>
                <w:color w:val="000000"/>
                <w:sz w:val="20"/>
                <w:szCs w:val="20"/>
                <w:lang w:val="pt-PT" w:eastAsia="es-ES"/>
              </w:rPr>
              <w:t>SNTCDS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220" w:type="dxa"/>
            <w:shd w:val="clear" w:color="auto" w:fill="F2F2F2" w:themeFill="background1" w:themeFillShade="F2"/>
            <w:vAlign w:val="center"/>
          </w:tcPr>
          <w:p w14:paraId="72596C9F" w14:textId="77777777" w:rsidR="001D3D65" w:rsidRPr="003C0F9B" w:rsidRDefault="001D3D65" w:rsidP="001D3D65">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6BA8FE34"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4D2D0734" w14:textId="77777777" w:rsidR="001D3D65" w:rsidRPr="003C0F9B" w:rsidRDefault="001D3D65" w:rsidP="001D3D65">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537A2889"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071F706"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F1E6031"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B5D2EC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0D8BFF1" w14:textId="09608C13"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648621C" w14:textId="6764F9E6"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1E892AE"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24FF422"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20556471" w14:textId="673CBD40"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6FAFD59" w14:textId="27D3E62A"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5D5FEF2"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DA26BE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B1306B0" w14:textId="648542EA"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63F4727D" w14:textId="53FC69D7"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940 000</w:t>
            </w:r>
          </w:p>
        </w:tc>
      </w:tr>
      <w:tr w:rsidR="001D3D65" w:rsidRPr="00D21977" w14:paraId="37A61A47" w14:textId="77777777" w:rsidTr="00922684">
        <w:trPr>
          <w:trHeight w:val="615"/>
        </w:trPr>
        <w:tc>
          <w:tcPr>
            <w:tcW w:w="1739" w:type="dxa"/>
            <w:vMerge/>
            <w:shd w:val="clear" w:color="auto" w:fill="FFFFFF" w:themeFill="background1"/>
          </w:tcPr>
          <w:p w14:paraId="2B26197D"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6FAC877B"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1.5.4. Apoiar a implementação do Roteiro para a melhoria da situação laboral das Trabalhadoras(</w:t>
            </w:r>
            <w:proofErr w:type="spellStart"/>
            <w:r w:rsidRPr="00EB750A">
              <w:rPr>
                <w:rFonts w:ascii="Garamond" w:hAnsi="Garamond"/>
                <w:sz w:val="20"/>
                <w:szCs w:val="20"/>
                <w:lang w:val="pt-PT"/>
              </w:rPr>
              <w:t>es</w:t>
            </w:r>
            <w:proofErr w:type="spellEnd"/>
            <w:r w:rsidRPr="00EB750A">
              <w:rPr>
                <w:rFonts w:ascii="Garamond" w:hAnsi="Garamond"/>
                <w:sz w:val="20"/>
                <w:szCs w:val="20"/>
                <w:lang w:val="pt-PT"/>
              </w:rPr>
              <w:t xml:space="preserve">) Domésticas(os) em Cabo Verde (2018)  </w:t>
            </w:r>
          </w:p>
        </w:tc>
        <w:tc>
          <w:tcPr>
            <w:tcW w:w="1365" w:type="dxa"/>
            <w:shd w:val="clear" w:color="auto" w:fill="FFFFFF" w:themeFill="background1"/>
            <w:vAlign w:val="center"/>
          </w:tcPr>
          <w:p w14:paraId="48D666EE"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64378C01"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Ass.ED</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SNTCDS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xml:space="preserve">, DGT, </w:t>
            </w:r>
            <w:proofErr w:type="spellStart"/>
            <w:r w:rsidRPr="00D21977">
              <w:rPr>
                <w:rFonts w:ascii="Garamond" w:eastAsia="Times New Roman" w:hAnsi="Garamond" w:cs="Times New Roman"/>
                <w:color w:val="000000"/>
                <w:sz w:val="20"/>
                <w:szCs w:val="20"/>
                <w:lang w:eastAsia="es-ES"/>
              </w:rPr>
              <w:t>IGT</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INPS</w:t>
            </w:r>
            <w:proofErr w:type="spellEnd"/>
            <w:r w:rsidRPr="00D21977">
              <w:rPr>
                <w:rFonts w:ascii="Garamond" w:eastAsia="Times New Roman" w:hAnsi="Garamond" w:cs="Times New Roman"/>
                <w:color w:val="000000"/>
                <w:sz w:val="20"/>
                <w:szCs w:val="20"/>
                <w:lang w:eastAsia="es-ES"/>
              </w:rPr>
              <w:t xml:space="preserve">, IEFP, </w:t>
            </w:r>
            <w:proofErr w:type="spellStart"/>
            <w:r w:rsidRPr="00D21977">
              <w:rPr>
                <w:rFonts w:ascii="Garamond" w:eastAsia="Times New Roman" w:hAnsi="Garamond" w:cs="Times New Roman"/>
                <w:color w:val="000000"/>
                <w:sz w:val="20"/>
                <w:szCs w:val="20"/>
                <w:lang w:eastAsia="es-ES"/>
              </w:rPr>
              <w:t>SNQ</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DGEFPEP</w:t>
            </w:r>
            <w:proofErr w:type="spellEnd"/>
          </w:p>
        </w:tc>
        <w:tc>
          <w:tcPr>
            <w:tcW w:w="220" w:type="dxa"/>
            <w:shd w:val="clear" w:color="auto" w:fill="F2F2F2" w:themeFill="background1" w:themeFillShade="F2"/>
            <w:vAlign w:val="center"/>
          </w:tcPr>
          <w:p w14:paraId="4202F082"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05D1858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1FBEE1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8E90F91"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006FE2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750D4C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300332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9B857D6"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00E645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32C2EE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11030D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52E257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660D22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B6BD0C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2363B1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5869DE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08657780" w14:textId="157534B3"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4 000 000</w:t>
            </w:r>
          </w:p>
        </w:tc>
      </w:tr>
      <w:tr w:rsidR="001D3D65" w:rsidRPr="00D21977" w14:paraId="573BCF4E" w14:textId="77777777" w:rsidTr="00922684">
        <w:trPr>
          <w:trHeight w:val="615"/>
        </w:trPr>
        <w:tc>
          <w:tcPr>
            <w:tcW w:w="1739" w:type="dxa"/>
            <w:vMerge/>
            <w:shd w:val="clear" w:color="auto" w:fill="FFFFFF" w:themeFill="background1"/>
          </w:tcPr>
          <w:p w14:paraId="7A4AF925"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2944FB1A"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1.5.5. Promover a participação significativa das mulheres do </w:t>
            </w:r>
            <w:proofErr w:type="spellStart"/>
            <w:r w:rsidRPr="00EB750A">
              <w:rPr>
                <w:rFonts w:ascii="Garamond" w:hAnsi="Garamond"/>
                <w:sz w:val="20"/>
                <w:szCs w:val="20"/>
                <w:lang w:val="pt-PT"/>
              </w:rPr>
              <w:t>setor</w:t>
            </w:r>
            <w:proofErr w:type="spellEnd"/>
            <w:r w:rsidRPr="00EB750A">
              <w:rPr>
                <w:rFonts w:ascii="Garamond" w:hAnsi="Garamond"/>
                <w:sz w:val="20"/>
                <w:szCs w:val="20"/>
                <w:lang w:val="pt-PT"/>
              </w:rPr>
              <w:t xml:space="preserve"> informal, e associações que as representam, na definição de programas e apoios à transição para o formal</w:t>
            </w:r>
          </w:p>
        </w:tc>
        <w:tc>
          <w:tcPr>
            <w:tcW w:w="1365" w:type="dxa"/>
            <w:shd w:val="clear" w:color="auto" w:fill="FFFFFF" w:themeFill="background1"/>
            <w:vAlign w:val="center"/>
          </w:tcPr>
          <w:p w14:paraId="5661D542"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GETIF</w:t>
            </w:r>
            <w:proofErr w:type="spellEnd"/>
          </w:p>
        </w:tc>
        <w:tc>
          <w:tcPr>
            <w:tcW w:w="2123" w:type="dxa"/>
            <w:shd w:val="clear" w:color="auto" w:fill="FFFFFF" w:themeFill="background1"/>
            <w:vAlign w:val="center"/>
          </w:tcPr>
          <w:p w14:paraId="023F2364" w14:textId="42716E6E" w:rsidR="001D3D65" w:rsidRPr="00B17BA8" w:rsidRDefault="001D3D65" w:rsidP="001D3D65">
            <w:pPr>
              <w:jc w:val="center"/>
              <w:rPr>
                <w:rFonts w:ascii="Garamond" w:eastAsia="Times New Roman" w:hAnsi="Garamond" w:cs="Times New Roman"/>
                <w:color w:val="000000"/>
                <w:sz w:val="20"/>
                <w:szCs w:val="20"/>
                <w:lang w:val="fr-FR" w:eastAsia="es-ES"/>
              </w:rPr>
            </w:pPr>
            <w:proofErr w:type="spellStart"/>
            <w:r w:rsidRPr="00B17BA8">
              <w:rPr>
                <w:rFonts w:ascii="Garamond" w:eastAsia="Times New Roman" w:hAnsi="Garamond" w:cs="Times New Roman"/>
                <w:color w:val="000000"/>
                <w:sz w:val="20"/>
                <w:szCs w:val="20"/>
                <w:lang w:val="fr-FR" w:eastAsia="es-ES"/>
              </w:rPr>
              <w:t>ICIEG</w:t>
            </w:r>
            <w:proofErr w:type="spellEnd"/>
            <w:r w:rsidRPr="00B17BA8">
              <w:rPr>
                <w:rFonts w:ascii="Garamond" w:eastAsia="Times New Roman" w:hAnsi="Garamond" w:cs="Times New Roman"/>
                <w:color w:val="000000"/>
                <w:sz w:val="20"/>
                <w:szCs w:val="20"/>
                <w:lang w:val="fr-FR" w:eastAsia="es-ES"/>
              </w:rPr>
              <w:t xml:space="preserve">, </w:t>
            </w:r>
            <w:proofErr w:type="spellStart"/>
            <w:r w:rsidRPr="00B17BA8">
              <w:rPr>
                <w:rFonts w:ascii="Garamond" w:eastAsia="Times New Roman" w:hAnsi="Garamond" w:cs="Times New Roman"/>
                <w:color w:val="000000"/>
                <w:sz w:val="20"/>
                <w:szCs w:val="20"/>
                <w:lang w:val="fr-FR" w:eastAsia="es-ES"/>
              </w:rPr>
              <w:t>SNTCDS</w:t>
            </w:r>
            <w:proofErr w:type="spellEnd"/>
            <w:r w:rsidRPr="00B17BA8">
              <w:rPr>
                <w:rFonts w:ascii="Garamond" w:eastAsia="Times New Roman" w:hAnsi="Garamond" w:cs="Times New Roman"/>
                <w:color w:val="000000"/>
                <w:sz w:val="20"/>
                <w:szCs w:val="20"/>
                <w:lang w:val="fr-FR" w:eastAsia="es-ES"/>
              </w:rPr>
              <w:t xml:space="preserve">, </w:t>
            </w:r>
            <w:proofErr w:type="spellStart"/>
            <w:r w:rsidRPr="00B17BA8">
              <w:rPr>
                <w:rFonts w:ascii="Garamond" w:eastAsia="Times New Roman" w:hAnsi="Garamond" w:cs="Times New Roman"/>
                <w:color w:val="000000"/>
                <w:sz w:val="20"/>
                <w:szCs w:val="20"/>
                <w:lang w:val="fr-FR" w:eastAsia="es-ES"/>
              </w:rPr>
              <w:t>OSC</w:t>
            </w:r>
            <w:proofErr w:type="spellEnd"/>
            <w:r w:rsidRPr="00B17BA8">
              <w:rPr>
                <w:rFonts w:ascii="Garamond" w:eastAsia="Times New Roman" w:hAnsi="Garamond" w:cs="Times New Roman"/>
                <w:color w:val="000000"/>
                <w:sz w:val="20"/>
                <w:szCs w:val="20"/>
                <w:lang w:val="fr-FR" w:eastAsia="es-ES"/>
              </w:rPr>
              <w:t>, AMES</w:t>
            </w:r>
            <w:r w:rsidR="00B17BA8" w:rsidRPr="00B17BA8">
              <w:rPr>
                <w:rFonts w:ascii="Garamond" w:eastAsia="Times New Roman" w:hAnsi="Garamond" w:cs="Times New Roman"/>
                <w:color w:val="000000"/>
                <w:sz w:val="20"/>
                <w:szCs w:val="20"/>
                <w:lang w:val="fr-FR" w:eastAsia="es-ES"/>
              </w:rPr>
              <w:t xml:space="preserve">, </w:t>
            </w:r>
            <w:r w:rsidR="00B17BA8">
              <w:rPr>
                <w:rFonts w:ascii="Garamond" w:eastAsia="Times New Roman" w:hAnsi="Garamond" w:cs="Times New Roman"/>
                <w:color w:val="000000"/>
                <w:sz w:val="20"/>
                <w:szCs w:val="20"/>
                <w:lang w:val="fr-FR" w:eastAsia="es-ES"/>
              </w:rPr>
              <w:t>PNUD, OIT</w:t>
            </w:r>
          </w:p>
        </w:tc>
        <w:tc>
          <w:tcPr>
            <w:tcW w:w="220" w:type="dxa"/>
            <w:shd w:val="clear" w:color="auto" w:fill="F2F2F2" w:themeFill="background1" w:themeFillShade="F2"/>
            <w:vAlign w:val="center"/>
          </w:tcPr>
          <w:p w14:paraId="4B3D61B5" w14:textId="77777777" w:rsidR="001D3D65" w:rsidRPr="003C0F9B" w:rsidRDefault="001D3D65" w:rsidP="001D3D65">
            <w:pPr>
              <w:jc w:val="center"/>
              <w:rPr>
                <w:rFonts w:ascii="Garamond" w:eastAsia="Times New Roman" w:hAnsi="Garamond" w:cs="Times New Roman"/>
                <w:b/>
                <w:bCs/>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98" w:type="dxa"/>
            <w:shd w:val="clear" w:color="auto" w:fill="F2F2F2" w:themeFill="background1" w:themeFillShade="F2"/>
            <w:vAlign w:val="center"/>
          </w:tcPr>
          <w:p w14:paraId="0CDA474F"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CEE510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DA85822"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E49E63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411D25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ABEAE2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02B7BD0"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F39A12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0E7E65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1B7BEED9"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C86B57F"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6EDD1F4"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C9C718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8BD2E5A"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CA7FD8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43B6CF4F" w14:textId="4C737777"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590 000</w:t>
            </w:r>
          </w:p>
        </w:tc>
      </w:tr>
      <w:tr w:rsidR="001D3D65" w:rsidRPr="00D21977" w14:paraId="3F654AD2" w14:textId="77777777" w:rsidTr="00922684">
        <w:trPr>
          <w:trHeight w:val="615"/>
        </w:trPr>
        <w:tc>
          <w:tcPr>
            <w:tcW w:w="1739" w:type="dxa"/>
            <w:vMerge/>
            <w:shd w:val="clear" w:color="auto" w:fill="FFFFFF" w:themeFill="background1"/>
          </w:tcPr>
          <w:p w14:paraId="2C8CD9B9"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328967BF"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1.5.6. Maximizar e divulgar os programas de apoio à formalização junto dos diferentes grupos de mulheres do </w:t>
            </w:r>
            <w:proofErr w:type="spellStart"/>
            <w:r w:rsidRPr="00EB750A">
              <w:rPr>
                <w:rFonts w:ascii="Garamond" w:hAnsi="Garamond"/>
                <w:sz w:val="20"/>
                <w:szCs w:val="20"/>
                <w:lang w:val="pt-PT"/>
              </w:rPr>
              <w:t>setor</w:t>
            </w:r>
            <w:proofErr w:type="spellEnd"/>
            <w:r w:rsidRPr="00EB750A">
              <w:rPr>
                <w:rFonts w:ascii="Garamond" w:hAnsi="Garamond"/>
                <w:sz w:val="20"/>
                <w:szCs w:val="20"/>
                <w:lang w:val="pt-PT"/>
              </w:rPr>
              <w:t xml:space="preserve"> informal e estimular o seu acesso </w:t>
            </w:r>
          </w:p>
        </w:tc>
        <w:tc>
          <w:tcPr>
            <w:tcW w:w="1365" w:type="dxa"/>
            <w:shd w:val="clear" w:color="auto" w:fill="FFFFFF" w:themeFill="background1"/>
            <w:vAlign w:val="center"/>
          </w:tcPr>
          <w:p w14:paraId="5C5DE68C"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GETIF</w:t>
            </w:r>
            <w:proofErr w:type="spellEnd"/>
          </w:p>
        </w:tc>
        <w:tc>
          <w:tcPr>
            <w:tcW w:w="2123" w:type="dxa"/>
            <w:shd w:val="clear" w:color="auto" w:fill="FFFFFF" w:themeFill="background1"/>
            <w:vAlign w:val="center"/>
          </w:tcPr>
          <w:p w14:paraId="196272BC" w14:textId="64A35FE8" w:rsidR="001D3D65" w:rsidRPr="00B17BA8" w:rsidRDefault="001D3D65" w:rsidP="001D3D65">
            <w:pPr>
              <w:jc w:val="center"/>
              <w:rPr>
                <w:rFonts w:ascii="Garamond" w:eastAsia="Times New Roman" w:hAnsi="Garamond" w:cs="Times New Roman"/>
                <w:color w:val="000000"/>
                <w:sz w:val="20"/>
                <w:szCs w:val="20"/>
                <w:lang w:val="fr-FR" w:eastAsia="es-ES"/>
              </w:rPr>
            </w:pPr>
            <w:proofErr w:type="spellStart"/>
            <w:r w:rsidRPr="00B17BA8">
              <w:rPr>
                <w:rFonts w:ascii="Garamond" w:eastAsia="Times New Roman" w:hAnsi="Garamond" w:cs="Times New Roman"/>
                <w:color w:val="000000"/>
                <w:sz w:val="20"/>
                <w:szCs w:val="20"/>
                <w:lang w:val="fr-FR" w:eastAsia="es-ES"/>
              </w:rPr>
              <w:t>ICIEG</w:t>
            </w:r>
            <w:proofErr w:type="spellEnd"/>
            <w:r w:rsidRPr="00B17BA8">
              <w:rPr>
                <w:rFonts w:ascii="Garamond" w:eastAsia="Times New Roman" w:hAnsi="Garamond" w:cs="Times New Roman"/>
                <w:color w:val="000000"/>
                <w:sz w:val="20"/>
                <w:szCs w:val="20"/>
                <w:lang w:val="fr-FR" w:eastAsia="es-ES"/>
              </w:rPr>
              <w:t xml:space="preserve">, </w:t>
            </w:r>
            <w:proofErr w:type="spellStart"/>
            <w:r w:rsidRPr="00B17BA8">
              <w:rPr>
                <w:rFonts w:ascii="Garamond" w:eastAsia="Times New Roman" w:hAnsi="Garamond" w:cs="Times New Roman"/>
                <w:color w:val="000000"/>
                <w:sz w:val="20"/>
                <w:szCs w:val="20"/>
                <w:lang w:val="fr-FR" w:eastAsia="es-ES"/>
              </w:rPr>
              <w:t>SNTCDS</w:t>
            </w:r>
            <w:proofErr w:type="spellEnd"/>
            <w:r w:rsidRPr="00B17BA8">
              <w:rPr>
                <w:rFonts w:ascii="Garamond" w:eastAsia="Times New Roman" w:hAnsi="Garamond" w:cs="Times New Roman"/>
                <w:color w:val="000000"/>
                <w:sz w:val="20"/>
                <w:szCs w:val="20"/>
                <w:lang w:val="fr-FR" w:eastAsia="es-ES"/>
              </w:rPr>
              <w:t xml:space="preserve">, </w:t>
            </w:r>
            <w:proofErr w:type="spellStart"/>
            <w:r w:rsidRPr="00B17BA8">
              <w:rPr>
                <w:rFonts w:ascii="Garamond" w:eastAsia="Times New Roman" w:hAnsi="Garamond" w:cs="Times New Roman"/>
                <w:color w:val="000000"/>
                <w:sz w:val="20"/>
                <w:szCs w:val="20"/>
                <w:lang w:val="fr-FR" w:eastAsia="es-ES"/>
              </w:rPr>
              <w:t>OSC</w:t>
            </w:r>
            <w:proofErr w:type="spellEnd"/>
            <w:r w:rsidRPr="00B17BA8">
              <w:rPr>
                <w:rFonts w:ascii="Garamond" w:eastAsia="Times New Roman" w:hAnsi="Garamond" w:cs="Times New Roman"/>
                <w:color w:val="000000"/>
                <w:sz w:val="20"/>
                <w:szCs w:val="20"/>
                <w:lang w:val="fr-FR" w:eastAsia="es-ES"/>
              </w:rPr>
              <w:t>, AMES</w:t>
            </w:r>
            <w:r w:rsidR="00B17BA8" w:rsidRPr="00B17BA8">
              <w:rPr>
                <w:rFonts w:ascii="Garamond" w:eastAsia="Times New Roman" w:hAnsi="Garamond" w:cs="Times New Roman"/>
                <w:color w:val="000000"/>
                <w:sz w:val="20"/>
                <w:szCs w:val="20"/>
                <w:lang w:val="fr-FR" w:eastAsia="es-ES"/>
              </w:rPr>
              <w:t xml:space="preserve">, </w:t>
            </w:r>
            <w:r w:rsidR="00B17BA8">
              <w:rPr>
                <w:rFonts w:ascii="Garamond" w:eastAsia="Times New Roman" w:hAnsi="Garamond" w:cs="Times New Roman"/>
                <w:color w:val="000000"/>
                <w:sz w:val="20"/>
                <w:szCs w:val="20"/>
                <w:lang w:val="fr-FR" w:eastAsia="es-ES"/>
              </w:rPr>
              <w:t>PNUD, OIT</w:t>
            </w:r>
          </w:p>
        </w:tc>
        <w:tc>
          <w:tcPr>
            <w:tcW w:w="220" w:type="dxa"/>
            <w:shd w:val="clear" w:color="auto" w:fill="F2F2F2" w:themeFill="background1" w:themeFillShade="F2"/>
            <w:vAlign w:val="center"/>
          </w:tcPr>
          <w:p w14:paraId="70D86305" w14:textId="77777777" w:rsidR="001D3D65" w:rsidRPr="00B17BA8" w:rsidRDefault="001D3D65" w:rsidP="001D3D65">
            <w:pPr>
              <w:jc w:val="center"/>
              <w:rPr>
                <w:rFonts w:ascii="Garamond" w:eastAsia="Times New Roman" w:hAnsi="Garamond" w:cs="Times New Roman"/>
                <w:b/>
                <w:bCs/>
                <w:color w:val="000000"/>
                <w:sz w:val="12"/>
                <w:szCs w:val="12"/>
                <w:lang w:val="fr-FR" w:eastAsia="es-ES"/>
              </w:rPr>
            </w:pPr>
          </w:p>
        </w:tc>
        <w:tc>
          <w:tcPr>
            <w:tcW w:w="198" w:type="dxa"/>
            <w:shd w:val="clear" w:color="auto" w:fill="F2F2F2" w:themeFill="background1" w:themeFillShade="F2"/>
            <w:vAlign w:val="center"/>
          </w:tcPr>
          <w:p w14:paraId="385BB705" w14:textId="77777777" w:rsidR="001D3D65" w:rsidRPr="00B17BA8" w:rsidRDefault="001D3D65" w:rsidP="001D3D65">
            <w:pPr>
              <w:jc w:val="center"/>
              <w:rPr>
                <w:rFonts w:ascii="Garamond" w:eastAsia="Times New Roman" w:hAnsi="Garamond" w:cs="Times New Roman"/>
                <w:color w:val="000000"/>
                <w:sz w:val="12"/>
                <w:szCs w:val="12"/>
                <w:lang w:val="fr-FR" w:eastAsia="es-ES"/>
              </w:rPr>
            </w:pPr>
          </w:p>
        </w:tc>
        <w:tc>
          <w:tcPr>
            <w:tcW w:w="207" w:type="dxa"/>
            <w:shd w:val="clear" w:color="auto" w:fill="F2F2F2" w:themeFill="background1" w:themeFillShade="F2"/>
            <w:vAlign w:val="center"/>
          </w:tcPr>
          <w:p w14:paraId="31890C9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1B3D0A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A59209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8440D0E"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15B5C7E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9C1A48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4D1CC2D"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F929B0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6519290"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2707B4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036FC6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87E0DE8"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6E834F3"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5444CE7"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8473912" w14:textId="04BAF22A"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1 830 000</w:t>
            </w:r>
          </w:p>
        </w:tc>
      </w:tr>
      <w:tr w:rsidR="001D3D65" w:rsidRPr="00D21977" w14:paraId="4310046A" w14:textId="77777777" w:rsidTr="001D3D65">
        <w:trPr>
          <w:trHeight w:val="615"/>
        </w:trPr>
        <w:tc>
          <w:tcPr>
            <w:tcW w:w="1739" w:type="dxa"/>
            <w:vMerge/>
            <w:shd w:val="clear" w:color="auto" w:fill="FFFFFF" w:themeFill="background1"/>
          </w:tcPr>
          <w:p w14:paraId="2BF4279E"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50A09D42"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1.5.7. Estabelecer sistemas de </w:t>
            </w:r>
            <w:proofErr w:type="spellStart"/>
            <w:r w:rsidRPr="00EB750A">
              <w:rPr>
                <w:rFonts w:ascii="Garamond" w:hAnsi="Garamond"/>
                <w:sz w:val="20"/>
                <w:szCs w:val="20"/>
                <w:lang w:val="pt-PT"/>
              </w:rPr>
              <w:t>S&amp;A</w:t>
            </w:r>
            <w:proofErr w:type="spellEnd"/>
            <w:r w:rsidRPr="00EB750A">
              <w:rPr>
                <w:rFonts w:ascii="Garamond" w:hAnsi="Garamond"/>
                <w:sz w:val="20"/>
                <w:szCs w:val="20"/>
                <w:lang w:val="pt-PT"/>
              </w:rPr>
              <w:t xml:space="preserve"> dos programas de formalização sensíveis ao género, incluindo o seguimento do acesso ao financiamento e a serviços de apoio.</w:t>
            </w:r>
          </w:p>
        </w:tc>
        <w:tc>
          <w:tcPr>
            <w:tcW w:w="1365" w:type="dxa"/>
            <w:shd w:val="clear" w:color="auto" w:fill="FFFFFF" w:themeFill="background1"/>
            <w:vAlign w:val="center"/>
          </w:tcPr>
          <w:p w14:paraId="3CBDC40B"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GETIF</w:t>
            </w:r>
            <w:proofErr w:type="spellEnd"/>
          </w:p>
        </w:tc>
        <w:tc>
          <w:tcPr>
            <w:tcW w:w="2123" w:type="dxa"/>
            <w:shd w:val="clear" w:color="auto" w:fill="FFFFFF" w:themeFill="background1"/>
            <w:vAlign w:val="center"/>
          </w:tcPr>
          <w:p w14:paraId="5716B662" w14:textId="1EEF13C1"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SNTCDS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xml:space="preserve">, </w:t>
            </w:r>
            <w:proofErr w:type="spellStart"/>
            <w:r w:rsidR="00B17BA8">
              <w:rPr>
                <w:rFonts w:ascii="Garamond" w:eastAsia="Times New Roman" w:hAnsi="Garamond" w:cs="Times New Roman"/>
                <w:color w:val="000000"/>
                <w:sz w:val="20"/>
                <w:szCs w:val="20"/>
                <w:lang w:eastAsia="es-ES"/>
              </w:rPr>
              <w:t>PNUD</w:t>
            </w:r>
            <w:proofErr w:type="spellEnd"/>
            <w:r w:rsidR="00B17BA8">
              <w:rPr>
                <w:rFonts w:ascii="Garamond" w:eastAsia="Times New Roman" w:hAnsi="Garamond" w:cs="Times New Roman"/>
                <w:color w:val="000000"/>
                <w:sz w:val="20"/>
                <w:szCs w:val="20"/>
                <w:lang w:eastAsia="es-ES"/>
              </w:rPr>
              <w:t xml:space="preserve">, </w:t>
            </w:r>
            <w:proofErr w:type="spellStart"/>
            <w:r w:rsidR="00B17BA8">
              <w:rPr>
                <w:rFonts w:ascii="Garamond" w:eastAsia="Times New Roman" w:hAnsi="Garamond" w:cs="Times New Roman"/>
                <w:color w:val="000000"/>
                <w:sz w:val="20"/>
                <w:szCs w:val="20"/>
                <w:lang w:eastAsia="es-ES"/>
              </w:rPr>
              <w:t>OIT</w:t>
            </w:r>
            <w:proofErr w:type="spellEnd"/>
          </w:p>
        </w:tc>
        <w:tc>
          <w:tcPr>
            <w:tcW w:w="220" w:type="dxa"/>
            <w:shd w:val="clear" w:color="auto" w:fill="F2F2F2" w:themeFill="background1" w:themeFillShade="F2"/>
            <w:vAlign w:val="center"/>
          </w:tcPr>
          <w:p w14:paraId="1D5FA605" w14:textId="77777777" w:rsidR="001D3D65" w:rsidRPr="003C0F9B" w:rsidRDefault="001D3D65" w:rsidP="001D3D65">
            <w:pPr>
              <w:jc w:val="center"/>
              <w:rPr>
                <w:rFonts w:ascii="Garamond" w:eastAsia="Times New Roman" w:hAnsi="Garamond" w:cs="Times New Roman"/>
                <w:b/>
                <w:bCs/>
                <w:color w:val="000000"/>
                <w:sz w:val="12"/>
                <w:szCs w:val="12"/>
                <w:lang w:eastAsia="es-ES"/>
              </w:rPr>
            </w:pPr>
          </w:p>
        </w:tc>
        <w:tc>
          <w:tcPr>
            <w:tcW w:w="198" w:type="dxa"/>
            <w:shd w:val="clear" w:color="auto" w:fill="F2F2F2" w:themeFill="background1" w:themeFillShade="F2"/>
            <w:vAlign w:val="center"/>
          </w:tcPr>
          <w:p w14:paraId="7970CE2D"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7A295A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354D51B"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8803CC2"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AA7B10C"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E3FF9A5"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758F214"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A4BB983"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618C508"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F4BBA12"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672E092C"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C22C582"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0CFFF4FB"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265F243" w14:textId="77777777" w:rsidR="001D3D65" w:rsidRPr="003C0F9B" w:rsidRDefault="001D3D65" w:rsidP="001D3D65">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2C0BCD35" w14:textId="77777777" w:rsidR="001D3D65" w:rsidRPr="003C0F9B" w:rsidRDefault="001D3D65" w:rsidP="001D3D65">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5BCC2E10" w14:textId="47805DDF" w:rsidR="001D3D65" w:rsidRPr="00D21977" w:rsidRDefault="001D3D65" w:rsidP="001D3D65">
            <w:pPr>
              <w:jc w:val="center"/>
              <w:rPr>
                <w:rFonts w:ascii="Garamond" w:eastAsia="Times New Roman" w:hAnsi="Garamond" w:cs="Times New Roman"/>
                <w:color w:val="000000"/>
                <w:sz w:val="20"/>
                <w:szCs w:val="20"/>
                <w:lang w:eastAsia="es-ES"/>
              </w:rPr>
            </w:pPr>
            <w:r w:rsidRPr="001D3D65">
              <w:rPr>
                <w:rFonts w:ascii="Garamond" w:eastAsia="Times New Roman" w:hAnsi="Garamond" w:cs="Times New Roman"/>
                <w:color w:val="000000"/>
                <w:sz w:val="20"/>
                <w:szCs w:val="20"/>
                <w:lang w:eastAsia="es-ES"/>
              </w:rPr>
              <w:t>596 000</w:t>
            </w:r>
          </w:p>
        </w:tc>
      </w:tr>
      <w:tr w:rsidR="001D3D65" w:rsidRPr="000C4F50" w14:paraId="073A2A86" w14:textId="77777777" w:rsidTr="00E1150C">
        <w:trPr>
          <w:trHeight w:val="615"/>
        </w:trPr>
        <w:tc>
          <w:tcPr>
            <w:tcW w:w="1739" w:type="dxa"/>
            <w:vMerge/>
            <w:shd w:val="clear" w:color="auto" w:fill="FFFFFF" w:themeFill="background1"/>
          </w:tcPr>
          <w:p w14:paraId="58861FDD" w14:textId="77777777" w:rsidR="001D3D65" w:rsidRPr="00D21977" w:rsidRDefault="001D3D65" w:rsidP="001D3D65">
            <w:pPr>
              <w:spacing w:after="240"/>
              <w:rPr>
                <w:rFonts w:ascii="Garamond" w:hAnsi="Garamond"/>
                <w:sz w:val="20"/>
                <w:szCs w:val="20"/>
              </w:rPr>
            </w:pPr>
          </w:p>
        </w:tc>
        <w:tc>
          <w:tcPr>
            <w:tcW w:w="4849" w:type="dxa"/>
            <w:shd w:val="clear" w:color="auto" w:fill="FFFFFF" w:themeFill="background1"/>
          </w:tcPr>
          <w:p w14:paraId="2C813475" w14:textId="77777777" w:rsidR="001D3D65" w:rsidRPr="00EB750A" w:rsidRDefault="001D3D65" w:rsidP="001D3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1.5.8. Operacionalizar o seguimento das mulheres e homens com deficiência que trabalham na Administração Pública e tomar medidas para o cumprimento das metas estabelecidas.</w:t>
            </w:r>
          </w:p>
        </w:tc>
        <w:tc>
          <w:tcPr>
            <w:tcW w:w="1365" w:type="dxa"/>
            <w:shd w:val="clear" w:color="auto" w:fill="FFFFFF" w:themeFill="background1"/>
            <w:vAlign w:val="center"/>
          </w:tcPr>
          <w:p w14:paraId="73C637CE" w14:textId="77777777" w:rsidR="001D3D65" w:rsidRPr="00D21977" w:rsidRDefault="001D3D65" w:rsidP="001D3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DNAP</w:t>
            </w:r>
            <w:proofErr w:type="spellEnd"/>
          </w:p>
        </w:tc>
        <w:tc>
          <w:tcPr>
            <w:tcW w:w="2123" w:type="dxa"/>
            <w:shd w:val="clear" w:color="auto" w:fill="FFFFFF" w:themeFill="background1"/>
            <w:vAlign w:val="center"/>
          </w:tcPr>
          <w:p w14:paraId="1657C8BC" w14:textId="77777777" w:rsidR="001D3D65" w:rsidRPr="00D21977" w:rsidRDefault="001D3D65" w:rsidP="001D3D65">
            <w:pPr>
              <w:jc w:val="center"/>
              <w:rPr>
                <w:rFonts w:ascii="Garamond" w:eastAsia="Times New Roman" w:hAnsi="Garamond" w:cs="Times New Roman"/>
                <w:color w:val="000000"/>
                <w:sz w:val="20"/>
                <w:szCs w:val="20"/>
                <w:lang w:val="en-GB" w:eastAsia="es-ES"/>
              </w:rPr>
            </w:pPr>
            <w:proofErr w:type="spellStart"/>
            <w:r w:rsidRPr="00D21977">
              <w:rPr>
                <w:rFonts w:ascii="Garamond" w:eastAsia="Times New Roman" w:hAnsi="Garamond" w:cs="Times New Roman"/>
                <w:color w:val="000000"/>
                <w:sz w:val="20"/>
                <w:szCs w:val="20"/>
                <w:lang w:val="en-GB" w:eastAsia="es-ES"/>
              </w:rPr>
              <w:t>DGIS</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APIMUD</w:t>
            </w:r>
            <w:proofErr w:type="spellEnd"/>
            <w:r w:rsidRPr="00D21977">
              <w:rPr>
                <w:rFonts w:ascii="Garamond" w:eastAsia="Times New Roman" w:hAnsi="Garamond" w:cs="Times New Roman"/>
                <w:color w:val="000000"/>
                <w:sz w:val="20"/>
                <w:szCs w:val="20"/>
                <w:lang w:val="en-GB" w:eastAsia="es-ES"/>
              </w:rPr>
              <w:t xml:space="preserve">, Ass. </w:t>
            </w:r>
            <w:proofErr w:type="spellStart"/>
            <w:r w:rsidRPr="00D21977">
              <w:rPr>
                <w:rFonts w:ascii="Garamond" w:eastAsia="Times New Roman" w:hAnsi="Garamond" w:cs="Times New Roman"/>
                <w:color w:val="000000"/>
                <w:sz w:val="20"/>
                <w:szCs w:val="20"/>
                <w:lang w:val="en-GB" w:eastAsia="es-ES"/>
              </w:rPr>
              <w:t>PcD</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OSC</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ICIEG</w:t>
            </w:r>
            <w:proofErr w:type="spellEnd"/>
          </w:p>
        </w:tc>
        <w:tc>
          <w:tcPr>
            <w:tcW w:w="220" w:type="dxa"/>
            <w:shd w:val="clear" w:color="auto" w:fill="F2F2F2" w:themeFill="background1" w:themeFillShade="F2"/>
            <w:vAlign w:val="center"/>
          </w:tcPr>
          <w:p w14:paraId="40BC812E" w14:textId="77777777" w:rsidR="001D3D65" w:rsidRPr="003C0F9B" w:rsidRDefault="001D3D65" w:rsidP="001D3D65">
            <w:pPr>
              <w:jc w:val="center"/>
              <w:rPr>
                <w:rFonts w:ascii="Garamond" w:eastAsia="Times New Roman" w:hAnsi="Garamond" w:cs="Times New Roman"/>
                <w:b/>
                <w:bCs/>
                <w:color w:val="000000"/>
                <w:sz w:val="12"/>
                <w:szCs w:val="12"/>
                <w:lang w:val="en-GB" w:eastAsia="es-ES"/>
              </w:rPr>
            </w:pPr>
          </w:p>
        </w:tc>
        <w:tc>
          <w:tcPr>
            <w:tcW w:w="198" w:type="dxa"/>
            <w:shd w:val="clear" w:color="auto" w:fill="F2F2F2" w:themeFill="background1" w:themeFillShade="F2"/>
            <w:vAlign w:val="center"/>
          </w:tcPr>
          <w:p w14:paraId="1AB493FC"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1C9DEEF5" w14:textId="77777777" w:rsidR="001D3D65" w:rsidRPr="003C0F9B" w:rsidRDefault="001D3D65" w:rsidP="001D3D65">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1E5009F" w14:textId="77777777" w:rsidR="001D3D65" w:rsidRPr="003C0F9B" w:rsidRDefault="001D3D65" w:rsidP="001D3D65">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955C8DF"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6B080F9D"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2F4BFCF0"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11334341" w14:textId="77777777" w:rsidR="001D3D65" w:rsidRPr="003C0F9B" w:rsidRDefault="001D3D65" w:rsidP="001D3D65">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6A7D3B3"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1F7177FC"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5F14BF0F"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39F28B59" w14:textId="77777777" w:rsidR="001D3D65" w:rsidRPr="003C0F9B" w:rsidRDefault="001D3D65" w:rsidP="001D3D65">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8D8BA90"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1D79E900"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68EC71CD" w14:textId="77777777" w:rsidR="001D3D65" w:rsidRPr="003C0F9B" w:rsidRDefault="001D3D65" w:rsidP="001D3D65">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51D6A647" w14:textId="77777777" w:rsidR="001D3D65" w:rsidRPr="003C0F9B" w:rsidRDefault="001D3D65" w:rsidP="001D3D65">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tcPr>
          <w:p w14:paraId="270A18E6" w14:textId="77777777" w:rsidR="001D3D65" w:rsidRDefault="001D3D65" w:rsidP="001D3D65">
            <w:pPr>
              <w:rPr>
                <w:rFonts w:ascii="Garamond" w:hAnsi="Garamond"/>
                <w:i/>
                <w:iCs/>
                <w:sz w:val="20"/>
                <w:szCs w:val="20"/>
                <w:lang w:val="pt-PT"/>
              </w:rPr>
            </w:pPr>
            <w:r w:rsidRPr="00390034">
              <w:rPr>
                <w:rFonts w:ascii="Garamond" w:hAnsi="Garamond"/>
                <w:i/>
                <w:iCs/>
                <w:sz w:val="20"/>
                <w:szCs w:val="20"/>
                <w:lang w:val="pt-PT"/>
              </w:rPr>
              <w:t xml:space="preserve">junto com </w:t>
            </w:r>
            <w:r>
              <w:rPr>
                <w:rFonts w:ascii="Garamond" w:hAnsi="Garamond"/>
                <w:i/>
                <w:iCs/>
                <w:sz w:val="20"/>
                <w:szCs w:val="20"/>
                <w:lang w:val="pt-PT"/>
              </w:rPr>
              <w:t>5</w:t>
            </w:r>
            <w:r w:rsidRPr="00390034">
              <w:rPr>
                <w:rFonts w:ascii="Garamond" w:hAnsi="Garamond"/>
                <w:i/>
                <w:iCs/>
                <w:sz w:val="20"/>
                <w:szCs w:val="20"/>
                <w:lang w:val="pt-PT"/>
              </w:rPr>
              <w:t>.</w:t>
            </w:r>
            <w:r>
              <w:rPr>
                <w:rFonts w:ascii="Garamond" w:hAnsi="Garamond"/>
                <w:i/>
                <w:iCs/>
                <w:sz w:val="20"/>
                <w:szCs w:val="20"/>
                <w:lang w:val="pt-PT"/>
              </w:rPr>
              <w:t>2.4</w:t>
            </w:r>
          </w:p>
          <w:p w14:paraId="32B5E5B5" w14:textId="578BF87D" w:rsidR="001D3D65" w:rsidRPr="001D3D65" w:rsidRDefault="001D3D65" w:rsidP="001D3D65">
            <w:pPr>
              <w:jc w:val="center"/>
              <w:rPr>
                <w:rFonts w:ascii="Calibri" w:hAnsi="Calibri" w:cs="Calibri"/>
                <w:color w:val="000000"/>
                <w:sz w:val="22"/>
                <w:szCs w:val="22"/>
              </w:rPr>
            </w:pPr>
            <w:r w:rsidRPr="001D3D65">
              <w:rPr>
                <w:rFonts w:ascii="Garamond" w:eastAsia="Times New Roman" w:hAnsi="Garamond" w:cs="Times New Roman"/>
                <w:color w:val="000000"/>
                <w:sz w:val="20"/>
                <w:szCs w:val="20"/>
                <w:lang w:eastAsia="es-ES"/>
              </w:rPr>
              <w:t>1</w:t>
            </w:r>
            <w:r w:rsidR="00536F60">
              <w:rPr>
                <w:rFonts w:ascii="Garamond" w:eastAsia="Times New Roman" w:hAnsi="Garamond" w:cs="Times New Roman"/>
                <w:color w:val="000000"/>
                <w:sz w:val="20"/>
                <w:szCs w:val="20"/>
                <w:lang w:eastAsia="es-ES"/>
              </w:rPr>
              <w:t> </w:t>
            </w:r>
            <w:r w:rsidRPr="001D3D65">
              <w:rPr>
                <w:rFonts w:ascii="Garamond" w:eastAsia="Times New Roman" w:hAnsi="Garamond" w:cs="Times New Roman"/>
                <w:color w:val="000000"/>
                <w:sz w:val="20"/>
                <w:szCs w:val="20"/>
                <w:lang w:eastAsia="es-ES"/>
              </w:rPr>
              <w:t>160</w:t>
            </w:r>
            <w:r w:rsidR="00536F60">
              <w:rPr>
                <w:rFonts w:ascii="Garamond" w:eastAsia="Times New Roman" w:hAnsi="Garamond" w:cs="Times New Roman"/>
                <w:color w:val="000000"/>
                <w:sz w:val="20"/>
                <w:szCs w:val="20"/>
                <w:lang w:eastAsia="es-ES"/>
              </w:rPr>
              <w:t xml:space="preserve"> </w:t>
            </w:r>
            <w:r w:rsidRPr="001D3D65">
              <w:rPr>
                <w:rFonts w:ascii="Garamond" w:eastAsia="Times New Roman" w:hAnsi="Garamond" w:cs="Times New Roman"/>
                <w:color w:val="000000"/>
                <w:sz w:val="20"/>
                <w:szCs w:val="20"/>
                <w:lang w:eastAsia="es-ES"/>
              </w:rPr>
              <w:t>000</w:t>
            </w:r>
          </w:p>
        </w:tc>
      </w:tr>
      <w:tr w:rsidR="00536F60" w:rsidRPr="000C4F50" w14:paraId="00997960" w14:textId="77777777" w:rsidTr="00922684">
        <w:trPr>
          <w:trHeight w:val="615"/>
        </w:trPr>
        <w:tc>
          <w:tcPr>
            <w:tcW w:w="1739" w:type="dxa"/>
            <w:vMerge/>
            <w:shd w:val="clear" w:color="auto" w:fill="FFFFFF" w:themeFill="background1"/>
          </w:tcPr>
          <w:p w14:paraId="5D7DFB05" w14:textId="77777777" w:rsidR="00536F60" w:rsidRPr="00D21977" w:rsidRDefault="00536F60" w:rsidP="00536F60">
            <w:pPr>
              <w:spacing w:after="240"/>
              <w:rPr>
                <w:rFonts w:ascii="Garamond" w:hAnsi="Garamond"/>
                <w:sz w:val="20"/>
                <w:szCs w:val="20"/>
                <w:lang w:val="en-GB"/>
              </w:rPr>
            </w:pPr>
          </w:p>
        </w:tc>
        <w:tc>
          <w:tcPr>
            <w:tcW w:w="4849" w:type="dxa"/>
            <w:shd w:val="clear" w:color="auto" w:fill="FFFFFF" w:themeFill="background1"/>
          </w:tcPr>
          <w:p w14:paraId="4513CC54"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1.5.9. Simplificar os procedimentos para a obtenção dos incentivos atribuídos às empresas que contratam mulheres e homens com deficiência e estabelecer um sistema sensível ao género para o seu seguimento.</w:t>
            </w:r>
          </w:p>
        </w:tc>
        <w:tc>
          <w:tcPr>
            <w:tcW w:w="1365" w:type="dxa"/>
            <w:shd w:val="clear" w:color="auto" w:fill="FFFFFF" w:themeFill="background1"/>
            <w:vAlign w:val="center"/>
          </w:tcPr>
          <w:p w14:paraId="2392805E" w14:textId="77777777" w:rsidR="00536F60" w:rsidRDefault="00536F60" w:rsidP="00536F60">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DNRE</w:t>
            </w:r>
            <w:proofErr w:type="spellEnd"/>
            <w:r>
              <w:rPr>
                <w:rFonts w:ascii="Garamond" w:eastAsia="Times New Roman" w:hAnsi="Garamond" w:cs="Times New Roman"/>
                <w:color w:val="000000"/>
                <w:sz w:val="20"/>
                <w:szCs w:val="20"/>
                <w:lang w:eastAsia="es-ES"/>
              </w:rPr>
              <w:t>/</w:t>
            </w:r>
          </w:p>
          <w:p w14:paraId="4653656C" w14:textId="77777777" w:rsidR="00536F60" w:rsidRDefault="00536F60" w:rsidP="00536F60">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DNOCP</w:t>
            </w:r>
            <w:proofErr w:type="spellEnd"/>
            <w:r>
              <w:rPr>
                <w:rFonts w:ascii="Garamond" w:eastAsia="Times New Roman" w:hAnsi="Garamond" w:cs="Times New Roman"/>
                <w:color w:val="000000"/>
                <w:sz w:val="20"/>
                <w:szCs w:val="20"/>
                <w:lang w:eastAsia="es-ES"/>
              </w:rPr>
              <w:t>/</w:t>
            </w:r>
          </w:p>
          <w:p w14:paraId="0866C0D2" w14:textId="77777777" w:rsidR="00536F60" w:rsidRPr="00D21977" w:rsidRDefault="00536F60" w:rsidP="00536F60">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MF</w:t>
            </w:r>
          </w:p>
        </w:tc>
        <w:tc>
          <w:tcPr>
            <w:tcW w:w="2123" w:type="dxa"/>
            <w:shd w:val="clear" w:color="auto" w:fill="FFFFFF" w:themeFill="background1"/>
            <w:vAlign w:val="center"/>
          </w:tcPr>
          <w:p w14:paraId="68FFF0EF" w14:textId="77777777" w:rsidR="00536F60" w:rsidRPr="00EB750A" w:rsidRDefault="00536F60" w:rsidP="00536F60">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DGIS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APIMUD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PcD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Câmaras do Comércio, associações de empregadores</w:t>
            </w:r>
          </w:p>
        </w:tc>
        <w:tc>
          <w:tcPr>
            <w:tcW w:w="220" w:type="dxa"/>
            <w:shd w:val="clear" w:color="auto" w:fill="F2F2F2" w:themeFill="background1" w:themeFillShade="F2"/>
            <w:vAlign w:val="center"/>
          </w:tcPr>
          <w:p w14:paraId="3DCAE6F4" w14:textId="77777777" w:rsidR="00536F60" w:rsidRPr="003C0F9B" w:rsidRDefault="00536F60" w:rsidP="00536F60">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2C0AE839"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397B946B"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4F9B22C"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A353201"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35CC190B"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71E99C2D"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2A195ABE"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9BAF02F"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039D07A8"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3A3B5D92"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128183F5"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DB00049"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34079F6D"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237BE733"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636157C2"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28708B37" w14:textId="63A166C8" w:rsidR="00536F60" w:rsidRPr="00536F60"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426 000</w:t>
            </w:r>
          </w:p>
        </w:tc>
      </w:tr>
      <w:tr w:rsidR="00536F60" w:rsidRPr="000C4F50" w14:paraId="106F143D" w14:textId="77777777" w:rsidTr="00922684">
        <w:trPr>
          <w:trHeight w:val="615"/>
        </w:trPr>
        <w:tc>
          <w:tcPr>
            <w:tcW w:w="1739" w:type="dxa"/>
            <w:vMerge/>
            <w:shd w:val="clear" w:color="auto" w:fill="FFFFFF" w:themeFill="background1"/>
          </w:tcPr>
          <w:p w14:paraId="1AD21ACA" w14:textId="77777777" w:rsidR="00536F60" w:rsidRPr="00D21977" w:rsidRDefault="00536F60" w:rsidP="00536F60">
            <w:pPr>
              <w:spacing w:after="240"/>
              <w:rPr>
                <w:rFonts w:ascii="Garamond" w:hAnsi="Garamond"/>
                <w:sz w:val="20"/>
                <w:szCs w:val="20"/>
                <w:lang w:val="en-GB"/>
              </w:rPr>
            </w:pPr>
          </w:p>
        </w:tc>
        <w:tc>
          <w:tcPr>
            <w:tcW w:w="4849" w:type="dxa"/>
            <w:shd w:val="clear" w:color="auto" w:fill="FFFFFF" w:themeFill="background1"/>
          </w:tcPr>
          <w:p w14:paraId="095A72BB"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1.5.10. Garantir e seguir a participação de mulheres e homens com deficiência nos programas de inserção profissional.</w:t>
            </w:r>
          </w:p>
        </w:tc>
        <w:tc>
          <w:tcPr>
            <w:tcW w:w="1365" w:type="dxa"/>
            <w:shd w:val="clear" w:color="auto" w:fill="FFFFFF" w:themeFill="background1"/>
            <w:vAlign w:val="center"/>
          </w:tcPr>
          <w:p w14:paraId="6DF02983"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31758A47" w14:textId="77777777" w:rsidR="00536F60" w:rsidRPr="00D21977" w:rsidRDefault="00536F60" w:rsidP="00536F60">
            <w:pPr>
              <w:jc w:val="center"/>
              <w:rPr>
                <w:rFonts w:ascii="Garamond" w:eastAsia="Times New Roman" w:hAnsi="Garamond" w:cs="Times New Roman"/>
                <w:color w:val="000000"/>
                <w:sz w:val="20"/>
                <w:szCs w:val="20"/>
                <w:lang w:val="en-GB" w:eastAsia="es-ES"/>
              </w:rPr>
            </w:pPr>
            <w:proofErr w:type="spellStart"/>
            <w:r w:rsidRPr="00CA34D3">
              <w:rPr>
                <w:rFonts w:ascii="Garamond" w:eastAsia="Times New Roman" w:hAnsi="Garamond" w:cs="Times New Roman"/>
                <w:color w:val="000000"/>
                <w:sz w:val="20"/>
                <w:szCs w:val="20"/>
                <w:lang w:val="en-GB" w:eastAsia="es-ES"/>
              </w:rPr>
              <w:t>IEFP</w:t>
            </w:r>
            <w:proofErr w:type="spellEnd"/>
            <w:r w:rsidRPr="00CA34D3">
              <w:rPr>
                <w:rFonts w:ascii="Garamond" w:eastAsia="Times New Roman" w:hAnsi="Garamond" w:cs="Times New Roman"/>
                <w:color w:val="000000"/>
                <w:sz w:val="20"/>
                <w:szCs w:val="20"/>
                <w:lang w:val="en-GB" w:eastAsia="es-ES"/>
              </w:rPr>
              <w:t xml:space="preserve">, </w:t>
            </w:r>
            <w:proofErr w:type="spellStart"/>
            <w:r w:rsidRPr="00CA34D3">
              <w:rPr>
                <w:rFonts w:ascii="Garamond" w:eastAsia="Times New Roman" w:hAnsi="Garamond" w:cs="Times New Roman"/>
                <w:color w:val="000000"/>
                <w:sz w:val="20"/>
                <w:szCs w:val="20"/>
                <w:lang w:val="en-GB" w:eastAsia="es-ES"/>
              </w:rPr>
              <w:t>DEGEFPEP</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APIMUD</w:t>
            </w:r>
            <w:proofErr w:type="spellEnd"/>
            <w:r w:rsidRPr="00D21977">
              <w:rPr>
                <w:rFonts w:ascii="Garamond" w:eastAsia="Times New Roman" w:hAnsi="Garamond" w:cs="Times New Roman"/>
                <w:color w:val="000000"/>
                <w:sz w:val="20"/>
                <w:szCs w:val="20"/>
                <w:lang w:val="en-GB" w:eastAsia="es-ES"/>
              </w:rPr>
              <w:t xml:space="preserve">, Ass. </w:t>
            </w:r>
            <w:proofErr w:type="spellStart"/>
            <w:r w:rsidRPr="00D21977">
              <w:rPr>
                <w:rFonts w:ascii="Garamond" w:eastAsia="Times New Roman" w:hAnsi="Garamond" w:cs="Times New Roman"/>
                <w:color w:val="000000"/>
                <w:sz w:val="20"/>
                <w:szCs w:val="20"/>
                <w:lang w:val="en-GB" w:eastAsia="es-ES"/>
              </w:rPr>
              <w:t>PcD</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OSC</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ICIEG</w:t>
            </w:r>
            <w:proofErr w:type="spellEnd"/>
          </w:p>
        </w:tc>
        <w:tc>
          <w:tcPr>
            <w:tcW w:w="220" w:type="dxa"/>
            <w:shd w:val="clear" w:color="auto" w:fill="F2F2F2" w:themeFill="background1" w:themeFillShade="F2"/>
            <w:vAlign w:val="center"/>
          </w:tcPr>
          <w:p w14:paraId="05469572" w14:textId="77777777" w:rsidR="00536F60" w:rsidRPr="003C0F9B" w:rsidRDefault="00536F60" w:rsidP="00536F60">
            <w:pPr>
              <w:jc w:val="center"/>
              <w:rPr>
                <w:rFonts w:ascii="Garamond" w:eastAsia="Times New Roman" w:hAnsi="Garamond" w:cs="Times New Roman"/>
                <w:b/>
                <w:bCs/>
                <w:color w:val="000000"/>
                <w:sz w:val="12"/>
                <w:szCs w:val="12"/>
                <w:lang w:val="en-GB" w:eastAsia="es-ES"/>
              </w:rPr>
            </w:pPr>
          </w:p>
        </w:tc>
        <w:tc>
          <w:tcPr>
            <w:tcW w:w="198" w:type="dxa"/>
            <w:shd w:val="clear" w:color="auto" w:fill="F2F2F2" w:themeFill="background1" w:themeFillShade="F2"/>
            <w:vAlign w:val="center"/>
          </w:tcPr>
          <w:p w14:paraId="7FDFED1C"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4C983BF0"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7404E44"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490745A5"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37079499"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38DC7A43"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7D4B3D85"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4A8407B5"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46289647"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1E19EE5F"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63DA7E6A"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5030826C"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700841DF"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07D403A6"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6B9C9FB0"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72A71F77" w14:textId="41F0FB05" w:rsidR="00536F60" w:rsidRPr="00536F60"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0</w:t>
            </w:r>
          </w:p>
        </w:tc>
      </w:tr>
      <w:tr w:rsidR="00536F60" w:rsidRPr="000C4F50" w14:paraId="7489482A" w14:textId="77777777" w:rsidTr="00922684">
        <w:trPr>
          <w:trHeight w:val="615"/>
        </w:trPr>
        <w:tc>
          <w:tcPr>
            <w:tcW w:w="1739" w:type="dxa"/>
            <w:vMerge/>
            <w:shd w:val="clear" w:color="auto" w:fill="FFFFFF" w:themeFill="background1"/>
          </w:tcPr>
          <w:p w14:paraId="10683351" w14:textId="77777777" w:rsidR="00536F60" w:rsidRPr="00D21977" w:rsidRDefault="00536F60" w:rsidP="00536F60">
            <w:pPr>
              <w:spacing w:after="240"/>
              <w:rPr>
                <w:rFonts w:ascii="Garamond" w:hAnsi="Garamond"/>
                <w:sz w:val="20"/>
                <w:szCs w:val="20"/>
                <w:lang w:val="en-GB"/>
              </w:rPr>
            </w:pPr>
          </w:p>
        </w:tc>
        <w:tc>
          <w:tcPr>
            <w:tcW w:w="4849" w:type="dxa"/>
            <w:shd w:val="clear" w:color="auto" w:fill="FFFFFF" w:themeFill="background1"/>
          </w:tcPr>
          <w:p w14:paraId="08856506"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1.5.11. Apoiar </w:t>
            </w:r>
            <w:proofErr w:type="spellStart"/>
            <w:r w:rsidRPr="00EB750A">
              <w:rPr>
                <w:rFonts w:ascii="Garamond" w:hAnsi="Garamond"/>
                <w:sz w:val="20"/>
                <w:szCs w:val="20"/>
                <w:lang w:val="pt-PT"/>
              </w:rPr>
              <w:t>projetos</w:t>
            </w:r>
            <w:proofErr w:type="spellEnd"/>
            <w:r w:rsidRPr="00EB750A">
              <w:rPr>
                <w:rFonts w:ascii="Garamond" w:hAnsi="Garamond"/>
                <w:sz w:val="20"/>
                <w:szCs w:val="20"/>
                <w:lang w:val="pt-PT"/>
              </w:rPr>
              <w:t xml:space="preserve"> de associações que trabalham com mulheres com deficiência na área da inclusão </w:t>
            </w:r>
            <w:proofErr w:type="spellStart"/>
            <w:r w:rsidRPr="00EB750A">
              <w:rPr>
                <w:rFonts w:ascii="Garamond" w:hAnsi="Garamond"/>
                <w:sz w:val="20"/>
                <w:szCs w:val="20"/>
                <w:lang w:val="pt-PT"/>
              </w:rPr>
              <w:t>pelo</w:t>
            </w:r>
            <w:proofErr w:type="spellEnd"/>
            <w:r w:rsidRPr="00EB750A">
              <w:rPr>
                <w:rFonts w:ascii="Garamond" w:hAnsi="Garamond"/>
                <w:sz w:val="20"/>
                <w:szCs w:val="20"/>
                <w:lang w:val="pt-PT"/>
              </w:rPr>
              <w:t xml:space="preserve"> rendimento</w:t>
            </w:r>
          </w:p>
        </w:tc>
        <w:tc>
          <w:tcPr>
            <w:tcW w:w="1365" w:type="dxa"/>
            <w:shd w:val="clear" w:color="auto" w:fill="FFFFFF" w:themeFill="background1"/>
            <w:vAlign w:val="center"/>
          </w:tcPr>
          <w:p w14:paraId="00814C4F"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DGIS</w:t>
            </w:r>
            <w:proofErr w:type="spellEnd"/>
          </w:p>
        </w:tc>
        <w:tc>
          <w:tcPr>
            <w:tcW w:w="2123" w:type="dxa"/>
            <w:shd w:val="clear" w:color="auto" w:fill="FFFFFF" w:themeFill="background1"/>
            <w:vAlign w:val="center"/>
          </w:tcPr>
          <w:p w14:paraId="7B591DDB" w14:textId="77777777" w:rsidR="00536F60" w:rsidRPr="00D21977" w:rsidRDefault="00536F60" w:rsidP="00536F60">
            <w:pPr>
              <w:jc w:val="center"/>
              <w:rPr>
                <w:rFonts w:ascii="Garamond" w:eastAsia="Times New Roman" w:hAnsi="Garamond" w:cs="Times New Roman"/>
                <w:color w:val="000000"/>
                <w:sz w:val="20"/>
                <w:szCs w:val="20"/>
                <w:lang w:val="en-GB" w:eastAsia="es-ES"/>
              </w:rPr>
            </w:pPr>
            <w:proofErr w:type="spellStart"/>
            <w:r w:rsidRPr="00D21977">
              <w:rPr>
                <w:rFonts w:ascii="Garamond" w:eastAsia="Times New Roman" w:hAnsi="Garamond" w:cs="Times New Roman"/>
                <w:color w:val="000000"/>
                <w:sz w:val="20"/>
                <w:szCs w:val="20"/>
                <w:lang w:val="en-GB" w:eastAsia="es-ES"/>
              </w:rPr>
              <w:t>IEFP</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DEGEFPEP</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APIMUD</w:t>
            </w:r>
            <w:proofErr w:type="spellEnd"/>
            <w:r w:rsidRPr="00D21977">
              <w:rPr>
                <w:rFonts w:ascii="Garamond" w:eastAsia="Times New Roman" w:hAnsi="Garamond" w:cs="Times New Roman"/>
                <w:color w:val="000000"/>
                <w:sz w:val="20"/>
                <w:szCs w:val="20"/>
                <w:lang w:val="en-GB" w:eastAsia="es-ES"/>
              </w:rPr>
              <w:t xml:space="preserve">, Ass. </w:t>
            </w:r>
            <w:proofErr w:type="spellStart"/>
            <w:r w:rsidRPr="00D21977">
              <w:rPr>
                <w:rFonts w:ascii="Garamond" w:eastAsia="Times New Roman" w:hAnsi="Garamond" w:cs="Times New Roman"/>
                <w:color w:val="000000"/>
                <w:sz w:val="20"/>
                <w:szCs w:val="20"/>
                <w:lang w:val="en-GB" w:eastAsia="es-ES"/>
              </w:rPr>
              <w:t>PcD</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OSC</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ICIEG</w:t>
            </w:r>
            <w:proofErr w:type="spellEnd"/>
          </w:p>
        </w:tc>
        <w:tc>
          <w:tcPr>
            <w:tcW w:w="220" w:type="dxa"/>
            <w:shd w:val="clear" w:color="auto" w:fill="F2F2F2" w:themeFill="background1" w:themeFillShade="F2"/>
            <w:vAlign w:val="center"/>
          </w:tcPr>
          <w:p w14:paraId="24DB4C61" w14:textId="77777777" w:rsidR="00536F60" w:rsidRPr="003C0F9B" w:rsidRDefault="00536F60" w:rsidP="00536F60">
            <w:pPr>
              <w:jc w:val="center"/>
              <w:rPr>
                <w:rFonts w:ascii="Garamond" w:eastAsia="Times New Roman" w:hAnsi="Garamond" w:cs="Times New Roman"/>
                <w:b/>
                <w:bCs/>
                <w:color w:val="000000"/>
                <w:sz w:val="12"/>
                <w:szCs w:val="12"/>
                <w:lang w:val="en-GB" w:eastAsia="es-ES"/>
              </w:rPr>
            </w:pPr>
          </w:p>
        </w:tc>
        <w:tc>
          <w:tcPr>
            <w:tcW w:w="198" w:type="dxa"/>
            <w:shd w:val="clear" w:color="auto" w:fill="F2F2F2" w:themeFill="background1" w:themeFillShade="F2"/>
            <w:vAlign w:val="center"/>
          </w:tcPr>
          <w:p w14:paraId="0C0DE0F6"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0B7BE7EE"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2B7D4F88"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160E57C"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7D5067B0"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10A6BA23"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673F7EA5"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09EA670C"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007FE871"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4604E98D"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2F2F2" w:themeFill="background1" w:themeFillShade="F2"/>
            <w:vAlign w:val="center"/>
          </w:tcPr>
          <w:p w14:paraId="4580B066"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4FC06C1"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039C01D1"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12FE7164" w14:textId="77777777" w:rsidR="00536F60" w:rsidRPr="003C0F9B" w:rsidRDefault="00536F60" w:rsidP="00536F60">
            <w:pPr>
              <w:jc w:val="center"/>
              <w:rPr>
                <w:rFonts w:ascii="Garamond" w:eastAsia="Times New Roman" w:hAnsi="Garamond" w:cs="Times New Roman"/>
                <w:color w:val="000000"/>
                <w:sz w:val="12"/>
                <w:szCs w:val="12"/>
                <w:lang w:val="en-GB" w:eastAsia="es-ES"/>
              </w:rPr>
            </w:pPr>
          </w:p>
        </w:tc>
        <w:tc>
          <w:tcPr>
            <w:tcW w:w="207" w:type="dxa"/>
            <w:shd w:val="clear" w:color="auto" w:fill="FFFFFF" w:themeFill="background1"/>
            <w:vAlign w:val="center"/>
          </w:tcPr>
          <w:p w14:paraId="4650C139" w14:textId="77777777" w:rsidR="00536F60" w:rsidRPr="003C0F9B" w:rsidRDefault="00536F60" w:rsidP="00536F60">
            <w:pPr>
              <w:jc w:val="center"/>
              <w:rPr>
                <w:rFonts w:ascii="Garamond" w:eastAsia="Times New Roman" w:hAnsi="Garamond" w:cs="Times New Roman"/>
                <w:color w:val="000000"/>
                <w:sz w:val="12"/>
                <w:szCs w:val="12"/>
                <w:lang w:val="en-GB"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231194E1" w14:textId="54DACC07" w:rsidR="00536F60" w:rsidRPr="00536F60"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4 000 000</w:t>
            </w:r>
          </w:p>
        </w:tc>
      </w:tr>
      <w:tr w:rsidR="00536F60" w:rsidRPr="00D21977" w14:paraId="3F35CEF8" w14:textId="77777777" w:rsidTr="00922684">
        <w:trPr>
          <w:trHeight w:val="615"/>
        </w:trPr>
        <w:tc>
          <w:tcPr>
            <w:tcW w:w="1739" w:type="dxa"/>
            <w:vMerge w:val="restart"/>
            <w:shd w:val="clear" w:color="auto" w:fill="FFFFFF" w:themeFill="background1"/>
          </w:tcPr>
          <w:p w14:paraId="51A25796" w14:textId="77777777" w:rsidR="00536F60" w:rsidRPr="00EB750A" w:rsidRDefault="00536F60" w:rsidP="00536F60">
            <w:pPr>
              <w:spacing w:after="240"/>
              <w:rPr>
                <w:rFonts w:ascii="Garamond" w:hAnsi="Garamond"/>
                <w:sz w:val="20"/>
                <w:szCs w:val="20"/>
                <w:lang w:val="pt-PT"/>
              </w:rPr>
            </w:pPr>
            <w:r w:rsidRPr="00EB750A">
              <w:rPr>
                <w:rFonts w:ascii="Garamond" w:hAnsi="Garamond" w:cs="Times New Roman"/>
                <w:sz w:val="20"/>
                <w:szCs w:val="20"/>
                <w:lang w:val="pt-PT"/>
              </w:rPr>
              <w:t>1.6. Aumentada a visibilidade e respostas a formas menos visíveis de discriminação de género no contexto laboral, tais como a discriminação salarial e o assédio sexual</w:t>
            </w:r>
          </w:p>
        </w:tc>
        <w:tc>
          <w:tcPr>
            <w:tcW w:w="4849" w:type="dxa"/>
            <w:shd w:val="clear" w:color="auto" w:fill="FFFFFF" w:themeFill="background1"/>
          </w:tcPr>
          <w:p w14:paraId="5C06F7B9"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1.6.1. Realizar um estudo sobre a discriminação salarial em razão do género em Cabo Verde e divulgar os resultados junto de diversos públicos alvo.</w:t>
            </w:r>
          </w:p>
        </w:tc>
        <w:tc>
          <w:tcPr>
            <w:tcW w:w="1365" w:type="dxa"/>
            <w:shd w:val="clear" w:color="auto" w:fill="FFFFFF" w:themeFill="background1"/>
            <w:vAlign w:val="center"/>
          </w:tcPr>
          <w:p w14:paraId="125A5312"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2E318B5E" w14:textId="77777777" w:rsidR="00536F60" w:rsidRPr="00EB750A" w:rsidRDefault="00536F60" w:rsidP="00536F60">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DNAP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-CV, Provedor da Justiça</w:t>
            </w:r>
          </w:p>
        </w:tc>
        <w:tc>
          <w:tcPr>
            <w:tcW w:w="220" w:type="dxa"/>
            <w:shd w:val="clear" w:color="auto" w:fill="F2F2F2" w:themeFill="background1" w:themeFillShade="F2"/>
            <w:vAlign w:val="center"/>
          </w:tcPr>
          <w:p w14:paraId="3DBC66F8" w14:textId="77777777" w:rsidR="00536F60" w:rsidRPr="003C0F9B" w:rsidRDefault="00536F60" w:rsidP="00536F60">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7FC71F6B"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150D3838"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373288FF"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8BE7182"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D155E05"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7C4BED5"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41D9C320"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A1F82FB"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5F0C7A8"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1281DCD"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7B0BE390"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225FDF5"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68C5B92"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1A1D963"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91D93A4"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1EB5CAE7" w14:textId="68D200E2" w:rsidR="00536F60" w:rsidRPr="00D21977"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470 000</w:t>
            </w:r>
          </w:p>
        </w:tc>
      </w:tr>
      <w:tr w:rsidR="00536F60" w:rsidRPr="00D21977" w14:paraId="736BD250" w14:textId="77777777" w:rsidTr="00E1150C">
        <w:trPr>
          <w:trHeight w:val="615"/>
        </w:trPr>
        <w:tc>
          <w:tcPr>
            <w:tcW w:w="1739" w:type="dxa"/>
            <w:vMerge/>
            <w:shd w:val="clear" w:color="auto" w:fill="FFFFFF" w:themeFill="background1"/>
          </w:tcPr>
          <w:p w14:paraId="0E51CBC6" w14:textId="77777777" w:rsidR="00536F60" w:rsidRPr="00D21977" w:rsidRDefault="00536F60" w:rsidP="00536F60">
            <w:pPr>
              <w:spacing w:after="240"/>
              <w:rPr>
                <w:rFonts w:ascii="Garamond" w:hAnsi="Garamond"/>
                <w:sz w:val="20"/>
                <w:szCs w:val="20"/>
              </w:rPr>
            </w:pPr>
          </w:p>
        </w:tc>
        <w:tc>
          <w:tcPr>
            <w:tcW w:w="4849" w:type="dxa"/>
            <w:shd w:val="clear" w:color="auto" w:fill="FFFFFF" w:themeFill="background1"/>
          </w:tcPr>
          <w:p w14:paraId="73032FF0"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1.6.2. Desenvolver um plano de </w:t>
            </w:r>
            <w:proofErr w:type="spellStart"/>
            <w:r w:rsidRPr="00EB750A">
              <w:rPr>
                <w:rFonts w:ascii="Garamond" w:hAnsi="Garamond"/>
                <w:sz w:val="20"/>
                <w:szCs w:val="20"/>
                <w:lang w:val="pt-PT"/>
              </w:rPr>
              <w:t>ação</w:t>
            </w:r>
            <w:proofErr w:type="spellEnd"/>
            <w:r w:rsidRPr="00EB750A">
              <w:rPr>
                <w:rFonts w:ascii="Garamond" w:hAnsi="Garamond"/>
                <w:sz w:val="20"/>
                <w:szCs w:val="20"/>
                <w:lang w:val="pt-PT"/>
              </w:rPr>
              <w:t xml:space="preserve"> e advocacia tendo em conta as recomendações do estudo e implementar medidas para a redução da discriminação salarial de género.</w:t>
            </w:r>
          </w:p>
        </w:tc>
        <w:tc>
          <w:tcPr>
            <w:tcW w:w="1365" w:type="dxa"/>
            <w:shd w:val="clear" w:color="auto" w:fill="FFFFFF" w:themeFill="background1"/>
            <w:vAlign w:val="center"/>
          </w:tcPr>
          <w:p w14:paraId="5C52EF30"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74AEFEF1" w14:textId="77777777" w:rsidR="00536F60" w:rsidRPr="00EB750A" w:rsidRDefault="00536F60" w:rsidP="00536F60">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DNAP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IGT</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-CV, Provedor da Justiça</w:t>
            </w:r>
          </w:p>
        </w:tc>
        <w:tc>
          <w:tcPr>
            <w:tcW w:w="220" w:type="dxa"/>
            <w:shd w:val="clear" w:color="auto" w:fill="F2F2F2" w:themeFill="background1" w:themeFillShade="F2"/>
            <w:vAlign w:val="center"/>
          </w:tcPr>
          <w:p w14:paraId="78776313" w14:textId="77777777" w:rsidR="00536F60" w:rsidRPr="003C0F9B" w:rsidRDefault="00536F60" w:rsidP="00536F60">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1720D61A"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61C26335"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7964D832"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CC6DE3E"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6448AF89"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538311C1"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664D0409"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33A0AED4"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65FC186"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2900899"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3AA6A408"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5EFA791"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75FC2549"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52F69E3"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66FE19C8"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3D2FF236" w14:textId="5B78BDDC" w:rsidR="00536F60" w:rsidRPr="00D21977"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590 000</w:t>
            </w:r>
          </w:p>
        </w:tc>
      </w:tr>
      <w:tr w:rsidR="00536F60" w:rsidRPr="00536F60" w14:paraId="168E1645" w14:textId="77777777" w:rsidTr="00922684">
        <w:trPr>
          <w:trHeight w:val="615"/>
        </w:trPr>
        <w:tc>
          <w:tcPr>
            <w:tcW w:w="1739" w:type="dxa"/>
            <w:vMerge/>
            <w:shd w:val="clear" w:color="auto" w:fill="FFFFFF" w:themeFill="background1"/>
          </w:tcPr>
          <w:p w14:paraId="0A7038F5" w14:textId="77777777" w:rsidR="00536F60" w:rsidRPr="00D21977" w:rsidRDefault="00536F60" w:rsidP="00536F60">
            <w:pPr>
              <w:spacing w:after="240"/>
              <w:rPr>
                <w:rFonts w:ascii="Garamond" w:eastAsia="Times New Roman" w:hAnsi="Garamond" w:cs="Times New Roman"/>
                <w:color w:val="000000"/>
                <w:sz w:val="20"/>
                <w:szCs w:val="20"/>
                <w:lang w:eastAsia="es-ES"/>
              </w:rPr>
            </w:pPr>
          </w:p>
        </w:tc>
        <w:tc>
          <w:tcPr>
            <w:tcW w:w="4849" w:type="dxa"/>
            <w:shd w:val="clear" w:color="auto" w:fill="FFFFFF" w:themeFill="background1"/>
          </w:tcPr>
          <w:p w14:paraId="0E45C614"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1.6.3. Integrar o princípio de salário igual por trabalho de igual valor no Código Laboral, alinhado à Convenção nº100 da OIT.</w:t>
            </w:r>
          </w:p>
        </w:tc>
        <w:tc>
          <w:tcPr>
            <w:tcW w:w="1365" w:type="dxa"/>
            <w:shd w:val="clear" w:color="auto" w:fill="FFFFFF" w:themeFill="background1"/>
            <w:vAlign w:val="center"/>
          </w:tcPr>
          <w:p w14:paraId="25CCB426"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RMP</w:t>
            </w:r>
            <w:proofErr w:type="spellEnd"/>
            <w:r w:rsidRPr="00D21977">
              <w:rPr>
                <w:rFonts w:ascii="Garamond" w:eastAsia="Times New Roman" w:hAnsi="Garamond" w:cs="Times New Roman"/>
                <w:color w:val="000000"/>
                <w:sz w:val="20"/>
                <w:szCs w:val="20"/>
                <w:lang w:eastAsia="es-ES"/>
              </w:rPr>
              <w:t>-CV</w:t>
            </w:r>
          </w:p>
        </w:tc>
        <w:tc>
          <w:tcPr>
            <w:tcW w:w="2123" w:type="dxa"/>
            <w:shd w:val="clear" w:color="auto" w:fill="FFFFFF" w:themeFill="background1"/>
            <w:vAlign w:val="center"/>
          </w:tcPr>
          <w:p w14:paraId="3927E933" w14:textId="2642C022" w:rsidR="00536F60" w:rsidRPr="00536F60" w:rsidRDefault="00536F60" w:rsidP="00536F60">
            <w:pPr>
              <w:jc w:val="center"/>
              <w:rPr>
                <w:rFonts w:ascii="Garamond" w:eastAsia="Times New Roman" w:hAnsi="Garamond" w:cs="Times New Roman"/>
                <w:color w:val="000000"/>
                <w:sz w:val="20"/>
                <w:szCs w:val="20"/>
                <w:lang w:val="pt-PT" w:eastAsia="es-ES"/>
              </w:rPr>
            </w:pPr>
            <w:proofErr w:type="spellStart"/>
            <w:r w:rsidRPr="00536F60">
              <w:rPr>
                <w:rFonts w:ascii="Garamond" w:eastAsia="Times New Roman" w:hAnsi="Garamond" w:cs="Times New Roman"/>
                <w:color w:val="000000"/>
                <w:sz w:val="20"/>
                <w:szCs w:val="20"/>
                <w:lang w:val="pt-PT" w:eastAsia="es-ES"/>
              </w:rPr>
              <w:t>ICIEG</w:t>
            </w:r>
            <w:proofErr w:type="spellEnd"/>
            <w:r w:rsidRPr="00536F60">
              <w:rPr>
                <w:rFonts w:ascii="Garamond" w:eastAsia="Times New Roman" w:hAnsi="Garamond" w:cs="Times New Roman"/>
                <w:color w:val="000000"/>
                <w:sz w:val="20"/>
                <w:szCs w:val="20"/>
                <w:lang w:val="pt-PT" w:eastAsia="es-ES"/>
              </w:rPr>
              <w:t xml:space="preserve">, </w:t>
            </w:r>
            <w:proofErr w:type="spellStart"/>
            <w:r w:rsidRPr="00536F60">
              <w:rPr>
                <w:rFonts w:ascii="Garamond" w:eastAsia="Times New Roman" w:hAnsi="Garamond" w:cs="Times New Roman"/>
                <w:color w:val="000000"/>
                <w:sz w:val="20"/>
                <w:szCs w:val="20"/>
                <w:lang w:val="pt-PT" w:eastAsia="es-ES"/>
              </w:rPr>
              <w:t>OSC</w:t>
            </w:r>
            <w:proofErr w:type="spellEnd"/>
            <w:r w:rsidRPr="00536F60">
              <w:rPr>
                <w:rFonts w:ascii="Garamond" w:eastAsia="Times New Roman" w:hAnsi="Garamond" w:cs="Times New Roman"/>
                <w:color w:val="FF0000"/>
                <w:sz w:val="20"/>
                <w:szCs w:val="20"/>
                <w:lang w:val="pt-PT" w:eastAsia="es-ES"/>
              </w:rPr>
              <w:t xml:space="preserve"> A verificar datas previstas</w:t>
            </w:r>
          </w:p>
        </w:tc>
        <w:tc>
          <w:tcPr>
            <w:tcW w:w="220" w:type="dxa"/>
            <w:shd w:val="clear" w:color="auto" w:fill="F2F2F2" w:themeFill="background1" w:themeFillShade="F2"/>
            <w:vAlign w:val="center"/>
          </w:tcPr>
          <w:p w14:paraId="4B2A29BC" w14:textId="77777777" w:rsidR="00536F60" w:rsidRPr="00536F60" w:rsidRDefault="00536F60" w:rsidP="00536F60">
            <w:pPr>
              <w:jc w:val="center"/>
              <w:rPr>
                <w:rFonts w:ascii="Garamond" w:eastAsia="Times New Roman" w:hAnsi="Garamond" w:cs="Times New Roman"/>
                <w:b/>
                <w:bCs/>
                <w:color w:val="000000"/>
                <w:sz w:val="12"/>
                <w:szCs w:val="12"/>
                <w:lang w:val="pt-PT" w:eastAsia="es-ES"/>
              </w:rPr>
            </w:pPr>
          </w:p>
        </w:tc>
        <w:tc>
          <w:tcPr>
            <w:tcW w:w="198" w:type="dxa"/>
            <w:shd w:val="clear" w:color="auto" w:fill="F2F2F2" w:themeFill="background1" w:themeFillShade="F2"/>
            <w:vAlign w:val="center"/>
          </w:tcPr>
          <w:p w14:paraId="2B8FF3D4"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4C89E062"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6071FDAB"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101D82CF"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572FF213"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6566A98D"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E838095"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05E89F5C"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48364DFC"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665A93E9"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3BE949E8"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7FC51135"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46322CD8"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0DEF276C"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2AC8229E" w14:textId="77777777" w:rsidR="00536F60" w:rsidRPr="00536F60" w:rsidRDefault="00536F60" w:rsidP="00536F60">
            <w:pPr>
              <w:jc w:val="center"/>
              <w:rPr>
                <w:rFonts w:ascii="Garamond" w:eastAsia="Times New Roman" w:hAnsi="Garamond" w:cs="Times New Roman"/>
                <w:color w:val="000000"/>
                <w:sz w:val="12"/>
                <w:szCs w:val="12"/>
                <w:lang w:val="pt-PT" w:eastAsia="es-ES"/>
              </w:rPr>
            </w:pPr>
          </w:p>
        </w:tc>
        <w:tc>
          <w:tcPr>
            <w:tcW w:w="1275" w:type="dxa"/>
            <w:shd w:val="clear" w:color="auto" w:fill="FFFFFF" w:themeFill="background1"/>
            <w:vAlign w:val="center"/>
          </w:tcPr>
          <w:p w14:paraId="5AE4CCB5" w14:textId="42188002" w:rsidR="00536F60" w:rsidRPr="00536F60"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0</w:t>
            </w:r>
          </w:p>
        </w:tc>
      </w:tr>
      <w:tr w:rsidR="00536F60" w:rsidRPr="00D21977" w14:paraId="63C04CFE" w14:textId="77777777" w:rsidTr="00922684">
        <w:trPr>
          <w:trHeight w:val="615"/>
        </w:trPr>
        <w:tc>
          <w:tcPr>
            <w:tcW w:w="1739" w:type="dxa"/>
            <w:vMerge/>
            <w:shd w:val="clear" w:color="auto" w:fill="FFFFFF" w:themeFill="background1"/>
          </w:tcPr>
          <w:p w14:paraId="63F918BA" w14:textId="77777777" w:rsidR="00536F60" w:rsidRPr="00536F60" w:rsidRDefault="00536F60" w:rsidP="00536F60">
            <w:pPr>
              <w:spacing w:after="240"/>
              <w:rPr>
                <w:rFonts w:ascii="Garamond" w:eastAsia="Times New Roman" w:hAnsi="Garamond" w:cs="Times New Roman"/>
                <w:color w:val="000000"/>
                <w:sz w:val="20"/>
                <w:szCs w:val="20"/>
                <w:lang w:val="pt-PT" w:eastAsia="es-ES"/>
              </w:rPr>
            </w:pPr>
          </w:p>
        </w:tc>
        <w:tc>
          <w:tcPr>
            <w:tcW w:w="4849" w:type="dxa"/>
            <w:shd w:val="clear" w:color="auto" w:fill="FFFFFF" w:themeFill="background1"/>
          </w:tcPr>
          <w:p w14:paraId="6636723B"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1.6.4. Desenhar uma campanha de informação e prevenção do assédio sexual no local de trabalho em parceria com todos os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relevantes.</w:t>
            </w:r>
          </w:p>
        </w:tc>
        <w:tc>
          <w:tcPr>
            <w:tcW w:w="1365" w:type="dxa"/>
            <w:shd w:val="clear" w:color="auto" w:fill="FFFFFF" w:themeFill="background1"/>
            <w:vAlign w:val="center"/>
          </w:tcPr>
          <w:p w14:paraId="51C93965"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123" w:type="dxa"/>
            <w:shd w:val="clear" w:color="auto" w:fill="FFFFFF" w:themeFill="background1"/>
            <w:vAlign w:val="center"/>
          </w:tcPr>
          <w:p w14:paraId="2FABAA1D"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sidRPr="00D21977">
              <w:rPr>
                <w:rFonts w:ascii="Garamond" w:hAnsi="Garamond"/>
                <w:sz w:val="20"/>
                <w:szCs w:val="20"/>
              </w:rPr>
              <w:t>DNAP</w:t>
            </w:r>
            <w:proofErr w:type="spellEnd"/>
            <w:r w:rsidRPr="00D21977">
              <w:rPr>
                <w:rFonts w:ascii="Garamond" w:hAnsi="Garamond"/>
                <w:sz w:val="20"/>
                <w:szCs w:val="20"/>
              </w:rPr>
              <w:t xml:space="preserve">, DGT, </w:t>
            </w:r>
            <w:proofErr w:type="spellStart"/>
            <w:r w:rsidRPr="00D21977">
              <w:rPr>
                <w:rFonts w:ascii="Garamond" w:hAnsi="Garamond"/>
                <w:sz w:val="20"/>
                <w:szCs w:val="20"/>
              </w:rPr>
              <w:t>IGT</w:t>
            </w:r>
            <w:proofErr w:type="spellEnd"/>
            <w:r w:rsidRPr="00D21977">
              <w:rPr>
                <w:rFonts w:ascii="Garamond" w:hAnsi="Garamond"/>
                <w:sz w:val="20"/>
                <w:szCs w:val="20"/>
              </w:rPr>
              <w:t>, ass</w:t>
            </w:r>
            <w:r>
              <w:rPr>
                <w:rFonts w:ascii="Garamond" w:hAnsi="Garamond"/>
                <w:sz w:val="20"/>
                <w:szCs w:val="20"/>
              </w:rPr>
              <w:t xml:space="preserve">. </w:t>
            </w:r>
            <w:proofErr w:type="spellStart"/>
            <w:r w:rsidRPr="00D21977">
              <w:rPr>
                <w:rFonts w:ascii="Garamond" w:hAnsi="Garamond"/>
                <w:sz w:val="20"/>
                <w:szCs w:val="20"/>
              </w:rPr>
              <w:t>profissionais</w:t>
            </w:r>
            <w:proofErr w:type="spellEnd"/>
            <w:r w:rsidRPr="00D21977">
              <w:rPr>
                <w:rFonts w:ascii="Garamond" w:hAnsi="Garamond"/>
                <w:sz w:val="20"/>
                <w:szCs w:val="20"/>
              </w:rPr>
              <w:t xml:space="preserve">, </w:t>
            </w:r>
            <w:proofErr w:type="spellStart"/>
            <w:r w:rsidRPr="00D21977">
              <w:rPr>
                <w:rFonts w:ascii="Garamond" w:hAnsi="Garamond"/>
                <w:sz w:val="20"/>
                <w:szCs w:val="20"/>
              </w:rPr>
              <w:t>sindicatos</w:t>
            </w:r>
            <w:proofErr w:type="spellEnd"/>
            <w:r>
              <w:rPr>
                <w:rFonts w:ascii="Garamond" w:hAnsi="Garamond"/>
                <w:sz w:val="20"/>
                <w:szCs w:val="20"/>
              </w:rPr>
              <w:t>,</w:t>
            </w:r>
            <w:r w:rsidRPr="00D21977">
              <w:rPr>
                <w:rFonts w:ascii="Garamond" w:hAnsi="Garamond"/>
                <w:sz w:val="20"/>
                <w:szCs w:val="20"/>
              </w:rPr>
              <w:t xml:space="preserve"> OCS</w:t>
            </w:r>
            <w:r>
              <w:rPr>
                <w:rFonts w:ascii="Garamond" w:hAnsi="Garamond"/>
                <w:sz w:val="20"/>
                <w:szCs w:val="20"/>
              </w:rPr>
              <w:t xml:space="preserve">, </w:t>
            </w:r>
            <w:proofErr w:type="spellStart"/>
            <w:r>
              <w:rPr>
                <w:rFonts w:ascii="Garamond" w:hAnsi="Garamond"/>
                <w:sz w:val="20"/>
                <w:szCs w:val="20"/>
              </w:rPr>
              <w:t>RMP</w:t>
            </w:r>
            <w:proofErr w:type="spellEnd"/>
            <w:r>
              <w:rPr>
                <w:rFonts w:ascii="Garamond" w:hAnsi="Garamond"/>
                <w:sz w:val="20"/>
                <w:szCs w:val="20"/>
              </w:rPr>
              <w:t>-CV</w:t>
            </w:r>
          </w:p>
        </w:tc>
        <w:tc>
          <w:tcPr>
            <w:tcW w:w="220" w:type="dxa"/>
            <w:shd w:val="clear" w:color="auto" w:fill="F2F2F2" w:themeFill="background1" w:themeFillShade="F2"/>
            <w:vAlign w:val="center"/>
          </w:tcPr>
          <w:p w14:paraId="67A9ECE1"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198" w:type="dxa"/>
            <w:shd w:val="clear" w:color="auto" w:fill="F2F2F2" w:themeFill="background1" w:themeFillShade="F2"/>
            <w:vAlign w:val="center"/>
          </w:tcPr>
          <w:p w14:paraId="7CF1657A"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3CEEF2E"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44BAAD46"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896300B"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4BDF920"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470B2661"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11CC2458" w14:textId="0731AB88"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F9AF3EC"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568C882A"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68508E85"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7578674B"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271FA66D"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044078F2"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86C8B1F"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FFFFF" w:themeFill="background1"/>
            <w:vAlign w:val="center"/>
          </w:tcPr>
          <w:p w14:paraId="3721E85F"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1275" w:type="dxa"/>
            <w:shd w:val="clear" w:color="auto" w:fill="FFFFFF" w:themeFill="background1"/>
            <w:vAlign w:val="center"/>
          </w:tcPr>
          <w:p w14:paraId="2ADC62A0" w14:textId="40F39376" w:rsidR="00536F60" w:rsidRPr="00D21977"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2 680 000</w:t>
            </w:r>
          </w:p>
        </w:tc>
      </w:tr>
      <w:tr w:rsidR="00536F60" w:rsidRPr="00D21977" w14:paraId="7076BBA3" w14:textId="77777777" w:rsidTr="00922684">
        <w:trPr>
          <w:trHeight w:val="615"/>
        </w:trPr>
        <w:tc>
          <w:tcPr>
            <w:tcW w:w="1739" w:type="dxa"/>
            <w:vMerge/>
            <w:shd w:val="clear" w:color="auto" w:fill="FFFFFF" w:themeFill="background1"/>
          </w:tcPr>
          <w:p w14:paraId="6356A74E" w14:textId="77777777" w:rsidR="00536F60" w:rsidRPr="00D21977" w:rsidRDefault="00536F60" w:rsidP="00536F60">
            <w:pPr>
              <w:spacing w:after="240"/>
              <w:rPr>
                <w:rFonts w:ascii="Garamond" w:eastAsia="Times New Roman" w:hAnsi="Garamond" w:cs="Times New Roman"/>
                <w:color w:val="000000"/>
                <w:sz w:val="20"/>
                <w:szCs w:val="20"/>
                <w:lang w:eastAsia="es-ES"/>
              </w:rPr>
            </w:pPr>
          </w:p>
        </w:tc>
        <w:tc>
          <w:tcPr>
            <w:tcW w:w="4849" w:type="dxa"/>
            <w:shd w:val="clear" w:color="auto" w:fill="FFFFFF" w:themeFill="background1"/>
          </w:tcPr>
          <w:p w14:paraId="0E5D3EEB" w14:textId="77777777" w:rsidR="00536F60" w:rsidRPr="00EB750A" w:rsidRDefault="00536F60" w:rsidP="00536F60">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1.6.5. Estabelecer directrizes para a sinalização de situações de assédio sexual no local de trabalho e mecanismos de protecção</w:t>
            </w:r>
          </w:p>
        </w:tc>
        <w:tc>
          <w:tcPr>
            <w:tcW w:w="1365" w:type="dxa"/>
            <w:shd w:val="clear" w:color="auto" w:fill="FFFFFF" w:themeFill="background1"/>
            <w:vAlign w:val="center"/>
          </w:tcPr>
          <w:p w14:paraId="2A438035" w14:textId="77777777" w:rsidR="00536F60" w:rsidRPr="00D21977" w:rsidRDefault="00536F60" w:rsidP="00536F60">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DNAP</w:t>
            </w:r>
            <w:proofErr w:type="spellEnd"/>
          </w:p>
        </w:tc>
        <w:tc>
          <w:tcPr>
            <w:tcW w:w="2123" w:type="dxa"/>
            <w:shd w:val="clear" w:color="auto" w:fill="FFFFFF" w:themeFill="background1"/>
            <w:vAlign w:val="center"/>
          </w:tcPr>
          <w:p w14:paraId="7A9A4BFD" w14:textId="77777777" w:rsidR="00536F60" w:rsidRPr="00EB750A" w:rsidRDefault="00536F60" w:rsidP="00536F60">
            <w:pPr>
              <w:jc w:val="center"/>
              <w:rPr>
                <w:rFonts w:ascii="Garamond" w:eastAsia="Times New Roman" w:hAnsi="Garamond" w:cs="Times New Roman"/>
                <w:color w:val="000000"/>
                <w:sz w:val="20"/>
                <w:szCs w:val="20"/>
                <w:lang w:val="pt-PT" w:eastAsia="es-ES"/>
              </w:rPr>
            </w:pPr>
            <w:proofErr w:type="spellStart"/>
            <w:r w:rsidRPr="00EB750A">
              <w:rPr>
                <w:rFonts w:ascii="Garamond" w:hAnsi="Garamond"/>
                <w:sz w:val="20"/>
                <w:szCs w:val="20"/>
                <w:lang w:val="pt-PT"/>
              </w:rPr>
              <w:t>DGT</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IGT</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ICIEG</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ass</w:t>
            </w:r>
            <w:proofErr w:type="spellEnd"/>
            <w:r w:rsidRPr="00EB750A">
              <w:rPr>
                <w:rFonts w:ascii="Garamond" w:hAnsi="Garamond"/>
                <w:sz w:val="20"/>
                <w:szCs w:val="20"/>
                <w:lang w:val="pt-PT"/>
              </w:rPr>
              <w:t>. profissionais, sindicatos</w:t>
            </w:r>
          </w:p>
        </w:tc>
        <w:tc>
          <w:tcPr>
            <w:tcW w:w="220" w:type="dxa"/>
            <w:shd w:val="clear" w:color="auto" w:fill="F2F2F2" w:themeFill="background1" w:themeFillShade="F2"/>
            <w:vAlign w:val="center"/>
          </w:tcPr>
          <w:p w14:paraId="0C6227D8"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198" w:type="dxa"/>
            <w:shd w:val="clear" w:color="auto" w:fill="F2F2F2" w:themeFill="background1" w:themeFillShade="F2"/>
            <w:vAlign w:val="center"/>
          </w:tcPr>
          <w:p w14:paraId="2C9F318F"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723CF53E"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27993181"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3B0CDD95"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779D6E0C"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6D93C927" w14:textId="77777777" w:rsidR="00536F60" w:rsidRPr="003C0F9B"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FFFFF" w:themeFill="background1"/>
            <w:vAlign w:val="center"/>
          </w:tcPr>
          <w:p w14:paraId="5998D4AD" w14:textId="178E44D2" w:rsidR="00536F60" w:rsidRPr="005808D4" w:rsidRDefault="00536F60" w:rsidP="00536F60">
            <w:pPr>
              <w:jc w:val="center"/>
              <w:rPr>
                <w:rFonts w:ascii="Garamond" w:eastAsia="Times New Roman" w:hAnsi="Garamond" w:cs="Times New Roman"/>
                <w:color w:val="000000"/>
                <w:sz w:val="12"/>
                <w:szCs w:val="12"/>
                <w:lang w:val="pt-PT" w:eastAsia="es-ES"/>
              </w:rPr>
            </w:pPr>
          </w:p>
        </w:tc>
        <w:tc>
          <w:tcPr>
            <w:tcW w:w="207" w:type="dxa"/>
            <w:shd w:val="clear" w:color="auto" w:fill="F2F2F2" w:themeFill="background1" w:themeFillShade="F2"/>
            <w:vAlign w:val="center"/>
          </w:tcPr>
          <w:p w14:paraId="5723E642" w14:textId="77777777" w:rsidR="00536F60" w:rsidRPr="003C0F9B" w:rsidRDefault="00536F60" w:rsidP="00536F60">
            <w:pPr>
              <w:jc w:val="center"/>
              <w:rPr>
                <w:rFonts w:ascii="Garamond" w:eastAsia="Times New Roman" w:hAnsi="Garamond" w:cs="Times New Roman"/>
                <w:color w:val="000000"/>
                <w:sz w:val="12"/>
                <w:szCs w:val="12"/>
                <w:lang w:eastAsia="es-ES"/>
              </w:rPr>
            </w:pPr>
            <w:r w:rsidRPr="003C0F9B">
              <w:rPr>
                <w:rFonts w:ascii="Garamond" w:eastAsia="Times New Roman" w:hAnsi="Garamond" w:cs="Times New Roman"/>
                <w:b/>
                <w:bCs/>
                <w:color w:val="000000"/>
                <w:sz w:val="12"/>
                <w:szCs w:val="12"/>
                <w:lang w:eastAsia="es-ES"/>
              </w:rPr>
              <w:t>X</w:t>
            </w:r>
          </w:p>
        </w:tc>
        <w:tc>
          <w:tcPr>
            <w:tcW w:w="207" w:type="dxa"/>
            <w:shd w:val="clear" w:color="auto" w:fill="F2F2F2" w:themeFill="background1" w:themeFillShade="F2"/>
            <w:vAlign w:val="center"/>
          </w:tcPr>
          <w:p w14:paraId="17456405"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5C1AD8D3"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2F2F2" w:themeFill="background1" w:themeFillShade="F2"/>
            <w:vAlign w:val="center"/>
          </w:tcPr>
          <w:p w14:paraId="0CFCFBA9"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604F302D"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58F80783"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3E450C46"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207" w:type="dxa"/>
            <w:shd w:val="clear" w:color="auto" w:fill="FFFFFF" w:themeFill="background1"/>
            <w:vAlign w:val="center"/>
          </w:tcPr>
          <w:p w14:paraId="79F4B18B" w14:textId="77777777" w:rsidR="00536F60" w:rsidRPr="003C0F9B" w:rsidRDefault="00536F60" w:rsidP="00536F60">
            <w:pPr>
              <w:jc w:val="center"/>
              <w:rPr>
                <w:rFonts w:ascii="Garamond" w:eastAsia="Times New Roman" w:hAnsi="Garamond" w:cs="Times New Roman"/>
                <w:color w:val="000000"/>
                <w:sz w:val="12"/>
                <w:szCs w:val="12"/>
                <w:lang w:eastAsia="es-ES"/>
              </w:rPr>
            </w:pPr>
          </w:p>
        </w:tc>
        <w:tc>
          <w:tcPr>
            <w:tcW w:w="1275" w:type="dxa"/>
            <w:shd w:val="clear" w:color="auto" w:fill="FFFFFF" w:themeFill="background1"/>
            <w:vAlign w:val="center"/>
          </w:tcPr>
          <w:p w14:paraId="3B4C12B7" w14:textId="5B6CDB53" w:rsidR="00536F60" w:rsidRPr="00D21977" w:rsidRDefault="00536F60" w:rsidP="00536F60">
            <w:pPr>
              <w:jc w:val="center"/>
              <w:rPr>
                <w:rFonts w:ascii="Garamond" w:eastAsia="Times New Roman" w:hAnsi="Garamond" w:cs="Times New Roman"/>
                <w:color w:val="000000"/>
                <w:sz w:val="20"/>
                <w:szCs w:val="20"/>
                <w:lang w:eastAsia="es-ES"/>
              </w:rPr>
            </w:pPr>
            <w:r w:rsidRPr="00536F60">
              <w:rPr>
                <w:rFonts w:ascii="Garamond" w:eastAsia="Times New Roman" w:hAnsi="Garamond" w:cs="Times New Roman"/>
                <w:color w:val="000000"/>
                <w:sz w:val="20"/>
                <w:szCs w:val="20"/>
                <w:lang w:eastAsia="es-ES"/>
              </w:rPr>
              <w:t>0</w:t>
            </w:r>
          </w:p>
        </w:tc>
      </w:tr>
    </w:tbl>
    <w:p w14:paraId="16094F28" w14:textId="77777777" w:rsidR="00432609" w:rsidRDefault="00432609" w:rsidP="00432609">
      <w:pPr>
        <w:rPr>
          <w:rFonts w:ascii="Garamond" w:hAnsi="Garamond"/>
          <w:b/>
          <w:sz w:val="20"/>
          <w:szCs w:val="20"/>
        </w:rPr>
      </w:pPr>
    </w:p>
    <w:p w14:paraId="7E2E7D94" w14:textId="2816D774" w:rsidR="00432609" w:rsidRDefault="00432609" w:rsidP="009F6506">
      <w:pPr>
        <w:pStyle w:val="PargrafodaLista"/>
        <w:ind w:left="0"/>
        <w:jc w:val="both"/>
        <w:rPr>
          <w:rFonts w:ascii="Garamond" w:hAnsi="Garamond"/>
          <w:b/>
          <w:sz w:val="20"/>
          <w:szCs w:val="20"/>
        </w:rPr>
      </w:pPr>
      <w:proofErr w:type="spellStart"/>
      <w:r w:rsidRPr="00B923BB">
        <w:rPr>
          <w:rFonts w:ascii="Garamond" w:hAnsi="Garamond"/>
          <w:b/>
          <w:sz w:val="20"/>
          <w:szCs w:val="20"/>
        </w:rPr>
        <w:t>Eixo</w:t>
      </w:r>
      <w:proofErr w:type="spellEnd"/>
      <w:r w:rsidRPr="00B923BB">
        <w:rPr>
          <w:rFonts w:ascii="Garamond" w:hAnsi="Garamond"/>
          <w:b/>
          <w:sz w:val="20"/>
          <w:szCs w:val="20"/>
        </w:rPr>
        <w:t xml:space="preserve"> 2 - </w:t>
      </w:r>
      <w:proofErr w:type="spellStart"/>
      <w:r w:rsidRPr="00B923BB">
        <w:rPr>
          <w:rFonts w:ascii="Garamond" w:hAnsi="Garamond"/>
          <w:b/>
          <w:sz w:val="20"/>
          <w:szCs w:val="20"/>
        </w:rPr>
        <w:t>Violência</w:t>
      </w:r>
      <w:proofErr w:type="spellEnd"/>
      <w:r w:rsidRPr="00B923BB">
        <w:rPr>
          <w:rFonts w:ascii="Garamond" w:hAnsi="Garamond"/>
          <w:b/>
          <w:sz w:val="20"/>
          <w:szCs w:val="20"/>
        </w:rPr>
        <w:t xml:space="preserve"> </w:t>
      </w:r>
      <w:proofErr w:type="spellStart"/>
      <w:r w:rsidRPr="00B923BB">
        <w:rPr>
          <w:rFonts w:ascii="Garamond" w:hAnsi="Garamond"/>
          <w:b/>
          <w:sz w:val="20"/>
          <w:szCs w:val="20"/>
        </w:rPr>
        <w:t>Baseada</w:t>
      </w:r>
      <w:proofErr w:type="spellEnd"/>
      <w:r w:rsidRPr="00B923BB">
        <w:rPr>
          <w:rFonts w:ascii="Garamond" w:hAnsi="Garamond"/>
          <w:b/>
          <w:sz w:val="20"/>
          <w:szCs w:val="20"/>
        </w:rPr>
        <w:t xml:space="preserve"> no </w:t>
      </w:r>
      <w:proofErr w:type="spellStart"/>
      <w:r w:rsidRPr="00B923BB">
        <w:rPr>
          <w:rFonts w:ascii="Garamond" w:hAnsi="Garamond"/>
          <w:b/>
          <w:sz w:val="20"/>
          <w:szCs w:val="20"/>
        </w:rPr>
        <w:t>Género</w:t>
      </w:r>
      <w:proofErr w:type="spellEnd"/>
      <w:r w:rsidRPr="00B923BB">
        <w:rPr>
          <w:rFonts w:ascii="Garamond" w:hAnsi="Garamond"/>
          <w:b/>
          <w:sz w:val="20"/>
          <w:szCs w:val="20"/>
        </w:rPr>
        <w:t xml:space="preserve"> </w:t>
      </w:r>
    </w:p>
    <w:p w14:paraId="0F54478C" w14:textId="77777777" w:rsidR="00E4726E" w:rsidRPr="00B923BB" w:rsidRDefault="00E4726E" w:rsidP="009F6506">
      <w:pPr>
        <w:pStyle w:val="PargrafodaLista"/>
        <w:ind w:left="0"/>
        <w:jc w:val="both"/>
        <w:rPr>
          <w:rFonts w:ascii="Garamond" w:hAnsi="Garamond"/>
          <w:b/>
          <w:sz w:val="20"/>
          <w:szCs w:val="20"/>
        </w:rPr>
      </w:pPr>
    </w:p>
    <w:p w14:paraId="5894A4FA" w14:textId="2F49877F" w:rsidR="00432609" w:rsidRDefault="00432609" w:rsidP="00432609">
      <w:pPr>
        <w:shd w:val="clear" w:color="auto" w:fill="FFFFFF" w:themeFill="background1"/>
        <w:rPr>
          <w:rFonts w:ascii="Garamond" w:hAnsi="Garamond"/>
          <w:bCs/>
          <w:sz w:val="20"/>
          <w:szCs w:val="20"/>
          <w:lang w:val="pt-PT"/>
        </w:rPr>
      </w:pPr>
      <w:proofErr w:type="spellStart"/>
      <w:r w:rsidRPr="00EB750A">
        <w:rPr>
          <w:rFonts w:ascii="Garamond" w:hAnsi="Garamond"/>
          <w:b/>
          <w:sz w:val="20"/>
          <w:szCs w:val="20"/>
          <w:lang w:val="pt-PT"/>
        </w:rPr>
        <w:t>Objetivo</w:t>
      </w:r>
      <w:proofErr w:type="spellEnd"/>
      <w:r w:rsidRPr="00EB750A">
        <w:rPr>
          <w:rFonts w:ascii="Garamond" w:hAnsi="Garamond"/>
          <w:b/>
          <w:sz w:val="20"/>
          <w:szCs w:val="20"/>
          <w:lang w:val="pt-PT"/>
        </w:rPr>
        <w:t xml:space="preserve"> estratégico</w:t>
      </w:r>
      <w:r w:rsidRPr="00EB750A">
        <w:rPr>
          <w:rFonts w:ascii="Garamond" w:hAnsi="Garamond"/>
          <w:bCs/>
          <w:sz w:val="20"/>
          <w:szCs w:val="20"/>
          <w:lang w:val="pt-PT"/>
        </w:rPr>
        <w:t xml:space="preserve">: Contribuir para que mulheres e meninas vivam livres de todas as formas de violência baseada no género </w:t>
      </w:r>
    </w:p>
    <w:p w14:paraId="32DFF179" w14:textId="77777777" w:rsidR="00E4726E" w:rsidRPr="00EB750A" w:rsidRDefault="00E4726E" w:rsidP="00432609">
      <w:pPr>
        <w:shd w:val="clear" w:color="auto" w:fill="FFFFFF" w:themeFill="background1"/>
        <w:rPr>
          <w:rFonts w:ascii="Garamond" w:hAnsi="Garamond"/>
          <w:bCs/>
          <w:sz w:val="20"/>
          <w:szCs w:val="20"/>
          <w:lang w:val="pt-PT"/>
        </w:rPr>
      </w:pPr>
    </w:p>
    <w:tbl>
      <w:tblPr>
        <w:tblW w:w="14667" w:type="dxa"/>
        <w:tblInd w:w="70" w:type="dxa"/>
        <w:tblLayout w:type="fixed"/>
        <w:tblCellMar>
          <w:left w:w="70" w:type="dxa"/>
          <w:right w:w="70" w:type="dxa"/>
        </w:tblCellMar>
        <w:tblLook w:val="04A0" w:firstRow="1" w:lastRow="0" w:firstColumn="1" w:lastColumn="0" w:noHBand="0" w:noVBand="1"/>
      </w:tblPr>
      <w:tblGrid>
        <w:gridCol w:w="1768"/>
        <w:gridCol w:w="4974"/>
        <w:gridCol w:w="1304"/>
        <w:gridCol w:w="2032"/>
        <w:gridCol w:w="210"/>
        <w:gridCol w:w="209"/>
        <w:gridCol w:w="208"/>
        <w:gridCol w:w="208"/>
        <w:gridCol w:w="208"/>
        <w:gridCol w:w="208"/>
        <w:gridCol w:w="208"/>
        <w:gridCol w:w="208"/>
        <w:gridCol w:w="208"/>
        <w:gridCol w:w="208"/>
        <w:gridCol w:w="208"/>
        <w:gridCol w:w="208"/>
        <w:gridCol w:w="208"/>
        <w:gridCol w:w="208"/>
        <w:gridCol w:w="208"/>
        <w:gridCol w:w="208"/>
        <w:gridCol w:w="1258"/>
      </w:tblGrid>
      <w:tr w:rsidR="00F46E1A" w:rsidRPr="00B923BB" w14:paraId="7753E8AE" w14:textId="77777777" w:rsidTr="00E20A3B">
        <w:trPr>
          <w:trHeight w:val="424"/>
          <w:tblHeader/>
        </w:trPr>
        <w:tc>
          <w:tcPr>
            <w:tcW w:w="1768" w:type="dxa"/>
            <w:vMerge w:val="restart"/>
            <w:tcBorders>
              <w:top w:val="single" w:sz="4" w:space="0" w:color="auto"/>
              <w:left w:val="single" w:sz="4" w:space="0" w:color="000000"/>
              <w:right w:val="single" w:sz="4" w:space="0" w:color="auto"/>
            </w:tcBorders>
            <w:shd w:val="clear" w:color="auto" w:fill="DEEAF6" w:themeFill="accent5" w:themeFillTint="33"/>
            <w:vAlign w:val="center"/>
          </w:tcPr>
          <w:p w14:paraId="598A01BB"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Resultados</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esperados</w:t>
            </w:r>
            <w:proofErr w:type="spellEnd"/>
          </w:p>
        </w:tc>
        <w:tc>
          <w:tcPr>
            <w:tcW w:w="4974"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1E7146E4" w14:textId="77777777" w:rsidR="00432609" w:rsidRPr="00441BCC" w:rsidRDefault="00432609" w:rsidP="00DF0B6E">
            <w:pPr>
              <w:spacing w:after="60"/>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Medidas</w:t>
            </w:r>
            <w:proofErr w:type="spellEnd"/>
            <w:r w:rsidRPr="00441BCC">
              <w:rPr>
                <w:rFonts w:ascii="Garamond" w:eastAsia="Times New Roman" w:hAnsi="Garamond" w:cs="Times New Roman"/>
                <w:b/>
                <w:bCs/>
                <w:sz w:val="20"/>
                <w:szCs w:val="20"/>
                <w:lang w:eastAsia="es-ES"/>
              </w:rPr>
              <w:t xml:space="preserve"> de </w:t>
            </w:r>
            <w:proofErr w:type="spellStart"/>
            <w:r w:rsidRPr="00441BCC">
              <w:rPr>
                <w:rFonts w:ascii="Garamond" w:eastAsia="Times New Roman" w:hAnsi="Garamond" w:cs="Times New Roman"/>
                <w:b/>
                <w:bCs/>
                <w:sz w:val="20"/>
                <w:szCs w:val="20"/>
                <w:lang w:eastAsia="es-ES"/>
              </w:rPr>
              <w:t>ação</w:t>
            </w:r>
            <w:proofErr w:type="spellEnd"/>
          </w:p>
        </w:tc>
        <w:tc>
          <w:tcPr>
            <w:tcW w:w="1304"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7AB95824"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Entidade</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responsável</w:t>
            </w:r>
            <w:proofErr w:type="spellEnd"/>
          </w:p>
        </w:tc>
        <w:tc>
          <w:tcPr>
            <w:tcW w:w="2032" w:type="dxa"/>
            <w:vMerge w:val="restart"/>
            <w:tcBorders>
              <w:top w:val="single" w:sz="4" w:space="0" w:color="auto"/>
              <w:left w:val="single" w:sz="4" w:space="0" w:color="000000"/>
              <w:right w:val="single" w:sz="4" w:space="0" w:color="auto"/>
            </w:tcBorders>
            <w:shd w:val="clear" w:color="auto" w:fill="DEEAF6" w:themeFill="accent5" w:themeFillTint="33"/>
            <w:vAlign w:val="center"/>
          </w:tcPr>
          <w:p w14:paraId="33774993"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Entidades</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envolvidas</w:t>
            </w:r>
            <w:proofErr w:type="spellEnd"/>
          </w:p>
        </w:tc>
        <w:tc>
          <w:tcPr>
            <w:tcW w:w="333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4E66D8"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Calendário</w:t>
            </w:r>
            <w:proofErr w:type="spellEnd"/>
          </w:p>
        </w:tc>
        <w:tc>
          <w:tcPr>
            <w:tcW w:w="1258"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14CC292A" w14:textId="39022403" w:rsidR="00432609" w:rsidRPr="00441BCC" w:rsidRDefault="00432609" w:rsidP="00DF0B6E">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420052">
              <w:rPr>
                <w:rFonts w:ascii="Garamond" w:eastAsia="Times New Roman" w:hAnsi="Garamond" w:cs="Times New Roman"/>
                <w:b/>
                <w:bCs/>
                <w:sz w:val="20"/>
                <w:szCs w:val="20"/>
                <w:lang w:eastAsia="es-ES"/>
              </w:rPr>
              <w:t xml:space="preserve"> (</w:t>
            </w:r>
            <w:proofErr w:type="spellStart"/>
            <w:r w:rsidR="00B17BA8">
              <w:rPr>
                <w:rFonts w:ascii="Garamond" w:eastAsia="Times New Roman" w:hAnsi="Garamond" w:cs="Times New Roman"/>
                <w:b/>
                <w:bCs/>
                <w:sz w:val="20"/>
                <w:szCs w:val="20"/>
                <w:lang w:eastAsia="es-ES"/>
              </w:rPr>
              <w:t>ECV</w:t>
            </w:r>
            <w:proofErr w:type="spellEnd"/>
            <w:r w:rsidR="00420052">
              <w:rPr>
                <w:rFonts w:ascii="Garamond" w:eastAsia="Times New Roman" w:hAnsi="Garamond" w:cs="Times New Roman"/>
                <w:b/>
                <w:bCs/>
                <w:sz w:val="20"/>
                <w:szCs w:val="20"/>
                <w:lang w:eastAsia="es-ES"/>
              </w:rPr>
              <w:t>)</w:t>
            </w:r>
          </w:p>
        </w:tc>
      </w:tr>
      <w:tr w:rsidR="00F46E1A" w:rsidRPr="00B923BB" w14:paraId="3530B569" w14:textId="77777777" w:rsidTr="00E20A3B">
        <w:trPr>
          <w:trHeight w:val="498"/>
          <w:tblHeader/>
        </w:trPr>
        <w:tc>
          <w:tcPr>
            <w:tcW w:w="1768" w:type="dxa"/>
            <w:vMerge/>
            <w:tcBorders>
              <w:left w:val="single" w:sz="4" w:space="0" w:color="000000"/>
              <w:bottom w:val="single" w:sz="4" w:space="0" w:color="auto"/>
              <w:right w:val="single" w:sz="4" w:space="0" w:color="auto"/>
            </w:tcBorders>
            <w:shd w:val="clear" w:color="auto" w:fill="FFFFFF" w:themeFill="background1"/>
            <w:vAlign w:val="center"/>
          </w:tcPr>
          <w:p w14:paraId="6912436F"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4974" w:type="dxa"/>
            <w:vMerge/>
            <w:tcBorders>
              <w:left w:val="single" w:sz="4" w:space="0" w:color="000000"/>
              <w:bottom w:val="single" w:sz="4" w:space="0" w:color="auto"/>
              <w:right w:val="single" w:sz="4" w:space="0" w:color="000000"/>
            </w:tcBorders>
            <w:shd w:val="clear" w:color="auto" w:fill="FFFFFF" w:themeFill="background1"/>
          </w:tcPr>
          <w:p w14:paraId="7CB1ECA3" w14:textId="77777777" w:rsidR="00432609" w:rsidRPr="00441BCC" w:rsidRDefault="00432609" w:rsidP="00DF0B6E">
            <w:pPr>
              <w:spacing w:after="60"/>
              <w:jc w:val="center"/>
              <w:rPr>
                <w:rFonts w:ascii="Garamond" w:eastAsia="Times New Roman" w:hAnsi="Garamond" w:cs="Times New Roman"/>
                <w:b/>
                <w:bCs/>
                <w:sz w:val="20"/>
                <w:szCs w:val="20"/>
                <w:lang w:eastAsia="es-ES"/>
              </w:rPr>
            </w:pPr>
          </w:p>
        </w:tc>
        <w:tc>
          <w:tcPr>
            <w:tcW w:w="1304" w:type="dxa"/>
            <w:vMerge/>
            <w:tcBorders>
              <w:left w:val="single" w:sz="4" w:space="0" w:color="000000"/>
              <w:bottom w:val="single" w:sz="4" w:space="0" w:color="auto"/>
              <w:right w:val="single" w:sz="4" w:space="0" w:color="000000"/>
            </w:tcBorders>
            <w:shd w:val="clear" w:color="auto" w:fill="FFFFFF" w:themeFill="background1"/>
            <w:vAlign w:val="center"/>
          </w:tcPr>
          <w:p w14:paraId="50D017F5"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2032" w:type="dxa"/>
            <w:vMerge/>
            <w:tcBorders>
              <w:left w:val="single" w:sz="4" w:space="0" w:color="000000"/>
              <w:bottom w:val="single" w:sz="4" w:space="0" w:color="auto"/>
              <w:right w:val="single" w:sz="4" w:space="0" w:color="auto"/>
            </w:tcBorders>
            <w:shd w:val="clear" w:color="auto" w:fill="FFFFFF" w:themeFill="background1"/>
            <w:vAlign w:val="center"/>
          </w:tcPr>
          <w:p w14:paraId="5A33FDD3"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8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D701B"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2020</w:t>
            </w:r>
          </w:p>
        </w:tc>
        <w:tc>
          <w:tcPr>
            <w:tcW w:w="8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2773B"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2021</w:t>
            </w:r>
          </w:p>
        </w:tc>
        <w:tc>
          <w:tcPr>
            <w:tcW w:w="8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4C77C"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2022</w:t>
            </w:r>
          </w:p>
        </w:tc>
        <w:tc>
          <w:tcPr>
            <w:tcW w:w="83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AA9B"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2023</w:t>
            </w:r>
          </w:p>
        </w:tc>
        <w:tc>
          <w:tcPr>
            <w:tcW w:w="1258" w:type="dxa"/>
            <w:vMerge/>
            <w:tcBorders>
              <w:left w:val="single" w:sz="4" w:space="0" w:color="000000"/>
              <w:bottom w:val="single" w:sz="4" w:space="0" w:color="auto"/>
              <w:right w:val="single" w:sz="4" w:space="0" w:color="000000"/>
            </w:tcBorders>
            <w:shd w:val="clear" w:color="auto" w:fill="FFFFFF" w:themeFill="background1"/>
            <w:vAlign w:val="center"/>
          </w:tcPr>
          <w:p w14:paraId="054EA586" w14:textId="77777777" w:rsidR="00432609" w:rsidRPr="00441BCC" w:rsidRDefault="00432609" w:rsidP="00DF0B6E">
            <w:pPr>
              <w:jc w:val="center"/>
              <w:rPr>
                <w:rFonts w:ascii="Garamond" w:eastAsia="Times New Roman" w:hAnsi="Garamond" w:cs="Times New Roman"/>
                <w:b/>
                <w:bCs/>
                <w:sz w:val="20"/>
                <w:szCs w:val="20"/>
                <w:lang w:eastAsia="es-ES"/>
              </w:rPr>
            </w:pPr>
          </w:p>
        </w:tc>
      </w:tr>
      <w:tr w:rsidR="00B17BA8" w:rsidRPr="00B923BB" w14:paraId="43958176"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28AC4BAC" w14:textId="77777777" w:rsidR="00B17BA8" w:rsidRPr="00EB750A" w:rsidRDefault="00B17BA8" w:rsidP="00B17BA8">
            <w:pPr>
              <w:spacing w:after="240"/>
              <w:rPr>
                <w:rFonts w:ascii="Garamond" w:hAnsi="Garamond"/>
                <w:sz w:val="20"/>
                <w:szCs w:val="20"/>
                <w:lang w:val="pt-PT"/>
              </w:rPr>
            </w:pPr>
            <w:r w:rsidRPr="00EB750A">
              <w:rPr>
                <w:rFonts w:ascii="Garamond" w:hAnsi="Garamond"/>
                <w:sz w:val="20"/>
                <w:szCs w:val="20"/>
                <w:lang w:val="pt-PT"/>
              </w:rPr>
              <w:t xml:space="preserve">2.1. Melhorada a disponibilidade de dados abrangentes e análises sobre 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de informação sobre a gestão dos casos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 sistema policial e judicial, bem como o seu uso para aperfeiçoar intervenções e serviços em matéria de </w:t>
            </w:r>
            <w:proofErr w:type="spellStart"/>
            <w:r w:rsidRPr="00EB750A">
              <w:rPr>
                <w:rFonts w:ascii="Garamond" w:hAnsi="Garamond"/>
                <w:sz w:val="20"/>
                <w:szCs w:val="20"/>
                <w:lang w:val="pt-PT"/>
              </w:rPr>
              <w:t>VBG</w:t>
            </w:r>
            <w:proofErr w:type="spellEnd"/>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C6BE"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2.1.1. Apresentar o estudo qualitativo sobre o </w:t>
            </w:r>
            <w:proofErr w:type="spellStart"/>
            <w:r w:rsidRPr="00EB750A">
              <w:rPr>
                <w:rFonts w:ascii="Garamond" w:hAnsi="Garamond"/>
                <w:sz w:val="20"/>
                <w:szCs w:val="20"/>
                <w:lang w:val="pt-PT"/>
              </w:rPr>
              <w:t>femicídio</w:t>
            </w:r>
            <w:proofErr w:type="spellEnd"/>
            <w:r w:rsidRPr="00EB750A">
              <w:rPr>
                <w:rFonts w:ascii="Garamond" w:hAnsi="Garamond"/>
                <w:sz w:val="20"/>
                <w:szCs w:val="20"/>
                <w:lang w:val="pt-PT"/>
              </w:rPr>
              <w:t xml:space="preserve"> e elaborar e implementar recomendações para a sua prevenção e estratégias de </w:t>
            </w:r>
            <w:proofErr w:type="spellStart"/>
            <w:r w:rsidRPr="00EB750A">
              <w:rPr>
                <w:rFonts w:ascii="Garamond" w:hAnsi="Garamond"/>
                <w:sz w:val="20"/>
                <w:szCs w:val="20"/>
                <w:lang w:val="pt-PT"/>
              </w:rPr>
              <w:t>proteção</w:t>
            </w:r>
            <w:proofErr w:type="spellEnd"/>
            <w:r w:rsidRPr="00EB750A">
              <w:rPr>
                <w:rFonts w:ascii="Garamond" w:hAnsi="Garamond"/>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86F3E"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800E"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MFIS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PN, MJ, </w:t>
            </w:r>
            <w:proofErr w:type="spellStart"/>
            <w:r w:rsidRPr="00EB750A">
              <w:rPr>
                <w:rFonts w:ascii="Garamond" w:eastAsia="Times New Roman" w:hAnsi="Garamond" w:cs="Times New Roman"/>
                <w:color w:val="000000"/>
                <w:sz w:val="20"/>
                <w:szCs w:val="20"/>
                <w:lang w:val="pt-PT" w:eastAsia="es-ES"/>
              </w:rPr>
              <w:t>CSMP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CSMJ</w:t>
            </w:r>
            <w:proofErr w:type="spellEnd"/>
            <w:r w:rsidRPr="00EB750A">
              <w:rPr>
                <w:rFonts w:ascii="Garamond" w:eastAsia="Times New Roman" w:hAnsi="Garamond" w:cs="Times New Roman"/>
                <w:color w:val="000000"/>
                <w:sz w:val="20"/>
                <w:szCs w:val="20"/>
                <w:lang w:val="pt-PT" w:eastAsia="es-ES"/>
              </w:rPr>
              <w:t>, instituições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D6D75"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CE93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B8FF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DC36C"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F133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425265"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FC5DB"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6423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81CA4"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F8A6E"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E896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A46E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6EE9E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0F2E0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EC2E"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22838B"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D3560" w14:textId="6FF293DD"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470 000</w:t>
            </w:r>
          </w:p>
        </w:tc>
      </w:tr>
      <w:tr w:rsidR="00B17BA8" w:rsidRPr="00B923BB" w14:paraId="760508BE"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599460AF"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4E0B18"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2.1.2. Reunir informações sobre as especificidades da violência sexual em determinados contextos e formular estratégias adaptadas às realidades e contextos locais.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5250"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EA28C"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e </w:t>
            </w:r>
            <w:proofErr w:type="spellStart"/>
            <w:r w:rsidRPr="00EB750A">
              <w:rPr>
                <w:rFonts w:ascii="Garamond" w:eastAsia="Times New Roman" w:hAnsi="Garamond" w:cs="Times New Roman"/>
                <w:color w:val="000000"/>
                <w:sz w:val="20"/>
                <w:szCs w:val="20"/>
                <w:lang w:val="pt-PT" w:eastAsia="es-ES"/>
              </w:rPr>
              <w:t>atores</w:t>
            </w:r>
            <w:proofErr w:type="spellEnd"/>
            <w:r w:rsidRPr="00EB750A">
              <w:rPr>
                <w:rFonts w:ascii="Garamond" w:eastAsia="Times New Roman" w:hAnsi="Garamond" w:cs="Times New Roman"/>
                <w:color w:val="000000"/>
                <w:sz w:val="20"/>
                <w:szCs w:val="20"/>
                <w:lang w:val="pt-PT" w:eastAsia="es-ES"/>
              </w:rPr>
              <w:t xml:space="preserve">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ECCBF"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186D6"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EBC9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51E6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C4ECD"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F7F234"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85A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6FB9D4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CA000"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3149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9B09D"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91CA5"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CED3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35F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466EAF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5011D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858D7" w14:textId="481F89C2"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126 000</w:t>
            </w:r>
          </w:p>
        </w:tc>
      </w:tr>
      <w:tr w:rsidR="00B17BA8" w:rsidRPr="00B923BB" w14:paraId="5883B9B4"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3A2D5CA8"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867C7"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2.1.3. Tratar e analisar regularmente as tendências da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em Cabo Verde e definir e implementar uma estratégia para a sua divulgação a vários grupos alvo.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39D2"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1294B"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PN, </w:t>
            </w:r>
            <w:proofErr w:type="spellStart"/>
            <w:r w:rsidRPr="00EB750A">
              <w:rPr>
                <w:rFonts w:ascii="Garamond" w:eastAsia="Times New Roman" w:hAnsi="Garamond" w:cs="Times New Roman"/>
                <w:color w:val="000000"/>
                <w:sz w:val="20"/>
                <w:szCs w:val="20"/>
                <w:lang w:val="pt-PT" w:eastAsia="es-ES"/>
              </w:rPr>
              <w:t>CSMP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CSMJ</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A13B1"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220EE"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603B5"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907E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0F7E4"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82D0E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94F720"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D94BDD"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00A78"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E655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3EE2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4967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CA7C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3D234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F5E9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5CB42D"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8FCB6" w14:textId="7CF4B6B5"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1 980 000</w:t>
            </w:r>
          </w:p>
        </w:tc>
      </w:tr>
      <w:tr w:rsidR="00B17BA8" w:rsidRPr="00B923BB" w14:paraId="5DDC6118"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50781FFB"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FC81C"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2.1.4. Realizar uma análise de género do Sistema de Informatização da Justiça (</w:t>
            </w:r>
            <w:proofErr w:type="spellStart"/>
            <w:r w:rsidRPr="00EB750A">
              <w:rPr>
                <w:rFonts w:ascii="Garamond" w:hAnsi="Garamond"/>
                <w:sz w:val="20"/>
                <w:szCs w:val="20"/>
                <w:lang w:val="pt-PT"/>
              </w:rPr>
              <w:t>SIJ</w:t>
            </w:r>
            <w:proofErr w:type="spellEnd"/>
            <w:r w:rsidRPr="00EB750A">
              <w:rPr>
                <w:rFonts w:ascii="Garamond" w:hAnsi="Garamond"/>
                <w:sz w:val="20"/>
                <w:szCs w:val="20"/>
                <w:lang w:val="pt-PT"/>
              </w:rPr>
              <w:t xml:space="preserve">), e do sistema actual de registo de dados, e identificar e implementar alterações necessárias em relação à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de forma abrangente.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CB189" w14:textId="77777777" w:rsidR="00B17BA8" w:rsidRPr="00441BCC" w:rsidRDefault="00B17BA8" w:rsidP="00B17BA8">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CD07"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D73E9"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4A0D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B20DD" w14:textId="77777777" w:rsidR="00B17BA8" w:rsidRPr="00F46E1A" w:rsidRDefault="00B17BA8" w:rsidP="00B17BA8">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8801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61ED0"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8D71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0A32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F536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E65A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EF1C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EB3B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14B7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837D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B334BB"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FACCE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D9404E5"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C7DE" w14:textId="531238C9"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745 000</w:t>
            </w:r>
          </w:p>
        </w:tc>
      </w:tr>
      <w:tr w:rsidR="00F46E1A" w:rsidRPr="00B923BB" w14:paraId="619161C4" w14:textId="77777777" w:rsidTr="00293732">
        <w:trPr>
          <w:trHeight w:val="615"/>
        </w:trPr>
        <w:tc>
          <w:tcPr>
            <w:tcW w:w="1768" w:type="dxa"/>
            <w:vMerge/>
            <w:tcBorders>
              <w:left w:val="single" w:sz="4" w:space="0" w:color="auto"/>
              <w:right w:val="single" w:sz="4" w:space="0" w:color="auto"/>
            </w:tcBorders>
            <w:shd w:val="clear" w:color="auto" w:fill="FFFFFF" w:themeFill="background1"/>
          </w:tcPr>
          <w:p w14:paraId="6A85C090" w14:textId="77777777" w:rsidR="00432609" w:rsidRPr="00441BCC" w:rsidRDefault="00432609" w:rsidP="00DF0B6E">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5544" w14:textId="24E42430" w:rsidR="00432609" w:rsidRPr="00EB750A" w:rsidRDefault="00432609" w:rsidP="00DF0B6E">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2.1.5. Definir o formato e periodicidade dos relatórios a obter a partir do Sistema Integrado de Gestão Operativa (SIGO), e o sistema actual de registo de dados, em matéria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implementá-lo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C55" w14:textId="77777777" w:rsidR="00432609" w:rsidRPr="00441BCC" w:rsidRDefault="00432609" w:rsidP="00DF0B6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DGAI</w:t>
            </w:r>
            <w:proofErr w:type="spellEnd"/>
            <w:r w:rsidRPr="00441BCC">
              <w:rPr>
                <w:rFonts w:ascii="Garamond" w:eastAsia="Times New Roman" w:hAnsi="Garamond" w:cs="Times New Roman"/>
                <w:color w:val="000000"/>
                <w:sz w:val="20"/>
                <w:szCs w:val="20"/>
                <w:lang w:eastAsia="es-ES"/>
              </w:rPr>
              <w:t>/MAI</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97F6C" w14:textId="77777777" w:rsidR="00432609" w:rsidRPr="00441BCC" w:rsidRDefault="00432609" w:rsidP="00DF0B6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INE</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A2434" w14:textId="77777777" w:rsidR="00432609" w:rsidRPr="00F46E1A" w:rsidRDefault="00432609" w:rsidP="00DF0B6E">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EBD426"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6C045" w14:textId="77777777" w:rsidR="00432609" w:rsidRPr="00F46E1A" w:rsidRDefault="00432609" w:rsidP="00DF0B6E">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B0AAF" w14:textId="77777777" w:rsidR="00432609" w:rsidRPr="00F46E1A" w:rsidRDefault="00432609" w:rsidP="00DF0B6E">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998B"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02549"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35FC7"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0E0B51"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4FAD6"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A7F0D5"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EF66C"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D034F3"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8C0C18"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B8C8F1"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017F52"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7E485A" w14:textId="77777777" w:rsidR="00432609" w:rsidRPr="00F46E1A" w:rsidRDefault="00432609" w:rsidP="00DF0B6E">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A7D31" w14:textId="5E519595" w:rsidR="00432609" w:rsidRPr="00441BCC" w:rsidRDefault="00293732" w:rsidP="00DF0B6E">
            <w:pPr>
              <w:rPr>
                <w:rFonts w:ascii="Garamond" w:eastAsia="Times New Roman" w:hAnsi="Garamond" w:cs="Times New Roman"/>
                <w:color w:val="000000"/>
                <w:sz w:val="20"/>
                <w:szCs w:val="20"/>
                <w:lang w:eastAsia="es-ES"/>
              </w:rPr>
            </w:pPr>
            <w:r w:rsidRPr="00390034">
              <w:rPr>
                <w:rFonts w:ascii="Garamond" w:hAnsi="Garamond"/>
                <w:i/>
                <w:iCs/>
                <w:sz w:val="20"/>
                <w:szCs w:val="20"/>
                <w:lang w:val="pt-PT"/>
              </w:rPr>
              <w:t>junto com 2.</w:t>
            </w:r>
            <w:r>
              <w:rPr>
                <w:rFonts w:ascii="Garamond" w:hAnsi="Garamond"/>
                <w:i/>
                <w:iCs/>
                <w:sz w:val="20"/>
                <w:szCs w:val="20"/>
                <w:lang w:val="pt-PT"/>
              </w:rPr>
              <w:t>1.4</w:t>
            </w:r>
          </w:p>
        </w:tc>
      </w:tr>
      <w:tr w:rsidR="00B17BA8" w:rsidRPr="00B923BB" w14:paraId="1907EAEE"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160996A"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2FA2"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2.1.6. Melhorar os procedimentos de acesso a informações sobre o andamento de queixas/processos judiciais e estabelecer mecanismos de acesso pública a estatísticas sobre o desfecho dos processos por </w:t>
            </w:r>
            <w:proofErr w:type="spellStart"/>
            <w:r w:rsidRPr="00EB750A">
              <w:rPr>
                <w:rFonts w:ascii="Garamond" w:hAnsi="Garamond"/>
                <w:sz w:val="20"/>
                <w:szCs w:val="20"/>
                <w:lang w:val="pt-PT"/>
              </w:rPr>
              <w:t>VBG</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20F33" w14:textId="77777777" w:rsidR="00B17BA8" w:rsidRPr="00441BCC" w:rsidRDefault="00B17BA8" w:rsidP="00B17BA8">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FDF3"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CSMP</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CSMJ</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PN</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DGAI</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ICIEG</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45F18"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0F37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8C43E"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D5836"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DF9B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F1C31D"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6FD0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AB52EE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4894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3B904"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DC630"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9037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F6D8E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AF1E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4EED4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2A0A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90B6A" w14:textId="0D75A144"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0</w:t>
            </w:r>
          </w:p>
        </w:tc>
      </w:tr>
      <w:tr w:rsidR="00B17BA8" w:rsidRPr="00B923BB" w14:paraId="24BD08BF" w14:textId="77777777" w:rsidTr="00922684">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5FCC6508"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F4CC311"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2.1.7. Elaborar um estudo do impacto da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seus custos para serviços, a economia e a sociedade, para aferir necessidades e a eficácia da não alocação/alocação de recursos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430DF"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3E914"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PN, </w:t>
            </w:r>
            <w:proofErr w:type="spellStart"/>
            <w:r w:rsidRPr="00EB750A">
              <w:rPr>
                <w:rFonts w:ascii="Garamond" w:eastAsia="Times New Roman" w:hAnsi="Garamond" w:cs="Times New Roman"/>
                <w:color w:val="000000"/>
                <w:sz w:val="20"/>
                <w:szCs w:val="20"/>
                <w:lang w:val="pt-PT" w:eastAsia="es-ES"/>
              </w:rPr>
              <w:t>CSMP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CSMJ</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MSS</w:t>
            </w:r>
            <w:proofErr w:type="spellEnd"/>
            <w:r w:rsidRPr="00EB750A">
              <w:rPr>
                <w:rFonts w:ascii="Garamond" w:eastAsia="Times New Roman" w:hAnsi="Garamond" w:cs="Times New Roman"/>
                <w:color w:val="000000"/>
                <w:sz w:val="20"/>
                <w:szCs w:val="20"/>
                <w:lang w:val="pt-PT" w:eastAsia="es-ES"/>
              </w:rPr>
              <w:t xml:space="preserve">, Centros de Saúde,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INE</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166BA"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4ECBD6"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E712F"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90ADE"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A49E" w14:textId="489DA6DD"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91FD31" w14:textId="7777777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B18B2" w14:textId="7777777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DF2614" w14:textId="7777777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496B2" w14:textId="21CA54F9"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604CE" w14:textId="6A2A9E2F"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31A04"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9FAB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45AE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01407E"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013E80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BA4976"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10EAF" w14:textId="74B869CB"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1 955 000</w:t>
            </w:r>
          </w:p>
        </w:tc>
      </w:tr>
      <w:tr w:rsidR="00B17BA8" w:rsidRPr="00B923BB" w14:paraId="11C61D8F"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03055192" w14:textId="77777777" w:rsidR="00B17BA8" w:rsidRPr="00EB750A" w:rsidRDefault="00B17BA8" w:rsidP="00B17BA8">
            <w:pPr>
              <w:spacing w:after="240"/>
              <w:rPr>
                <w:rFonts w:ascii="Garamond" w:hAnsi="Garamond"/>
                <w:sz w:val="20"/>
                <w:szCs w:val="20"/>
                <w:lang w:val="pt-PT"/>
              </w:rPr>
            </w:pPr>
            <w:r w:rsidRPr="00EB750A">
              <w:rPr>
                <w:rFonts w:ascii="Garamond" w:hAnsi="Garamond"/>
                <w:sz w:val="20"/>
                <w:szCs w:val="20"/>
                <w:lang w:val="pt-PT"/>
              </w:rPr>
              <w:t xml:space="preserve">2.2. Reforçada a compreensão da sociedade, em particular dos homens, quanto aos valores, crenças e estereótipos que sustentam e perpetuam a violência nas relações íntimas/ conjugais e demais formas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 aumentada a adesão à sua prevenção e denúncia</w:t>
            </w: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16FAC5" w14:textId="77777777" w:rsidR="00B17BA8" w:rsidRPr="00EB750A" w:rsidRDefault="00B17BA8" w:rsidP="00B17BA8">
            <w:pPr>
              <w:spacing w:after="60"/>
              <w:rPr>
                <w:rFonts w:ascii="Garamond" w:hAnsi="Garamond"/>
                <w:bCs/>
                <w:sz w:val="20"/>
                <w:szCs w:val="20"/>
                <w:lang w:val="pt-PT"/>
              </w:rPr>
            </w:pPr>
            <w:r w:rsidRPr="00EB750A">
              <w:rPr>
                <w:rFonts w:ascii="Garamond" w:hAnsi="Garamond"/>
                <w:sz w:val="20"/>
                <w:szCs w:val="20"/>
                <w:lang w:val="pt-PT"/>
              </w:rPr>
              <w:t>2.2.1. Elaborar uma Estratégia de Comunicação para eliminação dos Estereótipos de Género (mudança social e CMC) focada em grupos alvo prioritários específicos e seguir a sua implementação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F4244"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E0E6F"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Laço Branco, Rede SOL,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DNE</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MSS</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C891A"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45693"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A4515"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8FDE2"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0BD56"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7E36"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29BA9"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A6528"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7834E"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4FDA8"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40A52"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CC209"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895F"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EBA89"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D603"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D0C6E"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29B8C" w14:textId="61BF9003"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410 000</w:t>
            </w:r>
          </w:p>
        </w:tc>
      </w:tr>
      <w:tr w:rsidR="00B17BA8" w:rsidRPr="00B923BB" w14:paraId="1C410034"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868B1C4"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3789C98"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2.2.2. Apoiar </w:t>
            </w:r>
            <w:proofErr w:type="spellStart"/>
            <w:r w:rsidRPr="00EB750A">
              <w:rPr>
                <w:rFonts w:ascii="Garamond" w:hAnsi="Garamond"/>
                <w:bCs/>
                <w:sz w:val="20"/>
                <w:szCs w:val="20"/>
                <w:lang w:val="pt-PT"/>
              </w:rPr>
              <w:t>projetos</w:t>
            </w:r>
            <w:proofErr w:type="spellEnd"/>
            <w:r w:rsidRPr="00EB750A">
              <w:rPr>
                <w:rFonts w:ascii="Garamond" w:hAnsi="Garamond"/>
                <w:bCs/>
                <w:sz w:val="20"/>
                <w:szCs w:val="20"/>
                <w:lang w:val="pt-PT"/>
              </w:rPr>
              <w:t xml:space="preserve"> de mobilização social de meninos e homens </w:t>
            </w:r>
            <w:proofErr w:type="spellStart"/>
            <w:r w:rsidRPr="00EB750A">
              <w:rPr>
                <w:rFonts w:ascii="Garamond" w:hAnsi="Garamond"/>
                <w:bCs/>
                <w:sz w:val="20"/>
                <w:szCs w:val="20"/>
                <w:lang w:val="pt-PT"/>
              </w:rPr>
              <w:t>pela</w:t>
            </w:r>
            <w:proofErr w:type="spellEnd"/>
            <w:r w:rsidRPr="00EB750A">
              <w:rPr>
                <w:rFonts w:ascii="Garamond" w:hAnsi="Garamond"/>
                <w:bCs/>
                <w:sz w:val="20"/>
                <w:szCs w:val="20"/>
                <w:lang w:val="pt-PT"/>
              </w:rPr>
              <w:t xml:space="preserve"> igualdade de género e contra a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em particular os assentes em metodologias transformadoras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C5EBE"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B6B9A" w14:textId="77777777" w:rsidR="00B17BA8" w:rsidRPr="00EB750A" w:rsidRDefault="00B17BA8" w:rsidP="00B17BA8">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Rede Laço Branco,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ME/escolas,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MSS</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BBED9"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564BE"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CC06"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DFDE2"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1C31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D454"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C551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9EEA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59AE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4F4D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1191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D854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E54B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520F0"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67F7"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A1ADD"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5699A" w14:textId="1A689600"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12 000 000</w:t>
            </w:r>
          </w:p>
        </w:tc>
      </w:tr>
      <w:tr w:rsidR="00B17BA8" w:rsidRPr="00B923BB" w14:paraId="3C7598DA"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4B19AC5"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8B1CCF"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2.2.3. Desenvolver uma metodologia, plano de formação e instrumentos de apoio e seguimento de Grupos Reflexivos de Homens em todos os municípios do país, em parceria com as </w:t>
            </w:r>
            <w:proofErr w:type="spellStart"/>
            <w:r w:rsidRPr="00EB750A">
              <w:rPr>
                <w:rFonts w:ascii="Garamond" w:hAnsi="Garamond"/>
                <w:bCs/>
                <w:sz w:val="20"/>
                <w:szCs w:val="20"/>
                <w:lang w:val="pt-PT"/>
              </w:rPr>
              <w:t>OSC</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CEF3D"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2E04A" w14:textId="77777777" w:rsidR="00B17BA8" w:rsidRPr="00EB750A" w:rsidRDefault="00B17BA8" w:rsidP="00B17BA8">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Rede Laço Branco,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Câmaras, </w:t>
            </w:r>
            <w:proofErr w:type="spellStart"/>
            <w:r w:rsidRPr="00EB750A">
              <w:rPr>
                <w:rFonts w:ascii="Garamond" w:eastAsia="Times New Roman" w:hAnsi="Garamond" w:cs="Times New Roman"/>
                <w:color w:val="000000"/>
                <w:sz w:val="20"/>
                <w:szCs w:val="20"/>
                <w:lang w:val="pt-PT" w:eastAsia="es-ES"/>
              </w:rPr>
              <w:t>atores</w:t>
            </w:r>
            <w:proofErr w:type="spellEnd"/>
            <w:r w:rsidRPr="00EB750A">
              <w:rPr>
                <w:rFonts w:ascii="Garamond" w:eastAsia="Times New Roman" w:hAnsi="Garamond" w:cs="Times New Roman"/>
                <w:color w:val="000000"/>
                <w:sz w:val="20"/>
                <w:szCs w:val="20"/>
                <w:lang w:val="pt-PT" w:eastAsia="es-ES"/>
              </w:rPr>
              <w:t xml:space="preserve"> locais,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MSS</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245C"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6E770"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9A402"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59EFD" w14:textId="62C94532"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4DF0"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DDF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DDD1"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C5E49"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9FBA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8D7B8"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86657"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AEFC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36E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E2FC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C1E5D"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5C8A7"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F73AD" w14:textId="394F36B9"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7 205 000</w:t>
            </w:r>
          </w:p>
        </w:tc>
      </w:tr>
      <w:tr w:rsidR="00B17BA8" w:rsidRPr="00B923BB" w14:paraId="11797B85"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675B758"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5DC5"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2.2.4. Definir, implementar e seguir um plano de formação para a comunicação social para a plena assunção do </w:t>
            </w:r>
            <w:r w:rsidRPr="00EB750A">
              <w:rPr>
                <w:rFonts w:ascii="Garamond" w:hAnsi="Garamond"/>
                <w:bCs/>
                <w:i/>
                <w:iCs/>
                <w:sz w:val="20"/>
                <w:szCs w:val="20"/>
                <w:lang w:val="pt-PT"/>
              </w:rPr>
              <w:t xml:space="preserve">Manual de Boas Práticas Jornalísticas no Combate à </w:t>
            </w:r>
            <w:proofErr w:type="spellStart"/>
            <w:r w:rsidRPr="00EB750A">
              <w:rPr>
                <w:rFonts w:ascii="Garamond" w:hAnsi="Garamond"/>
                <w:bCs/>
                <w:i/>
                <w:iCs/>
                <w:sz w:val="20"/>
                <w:szCs w:val="20"/>
                <w:lang w:val="pt-PT"/>
              </w:rPr>
              <w:t>VBG</w:t>
            </w:r>
            <w:proofErr w:type="spellEnd"/>
            <w:r w:rsidRPr="00EB750A">
              <w:rPr>
                <w:rFonts w:ascii="Garamond" w:hAnsi="Garamond"/>
                <w:bCs/>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52E40"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C2571"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AJOC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ARC</w:t>
            </w:r>
            <w:proofErr w:type="spellEnd"/>
            <w:r w:rsidRPr="00EB750A">
              <w:rPr>
                <w:rFonts w:ascii="Garamond" w:eastAsia="Times New Roman" w:hAnsi="Garamond" w:cs="Times New Roman"/>
                <w:color w:val="000000"/>
                <w:sz w:val="20"/>
                <w:szCs w:val="20"/>
                <w:lang w:val="pt-PT" w:eastAsia="es-ES"/>
              </w:rPr>
              <w:t>, órgãos de comunicação social, DGC</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531DF"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371F58"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1296"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7F75B" w14:textId="5E706DB9"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495B" w14:textId="79AFCAC4"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00617" w14:textId="1A2E34E4"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869EFD" w14:textId="7777777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027C" w14:textId="7777777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24030" w14:textId="7383DD4B"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555EB" w14:textId="24CD869A"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DE21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7CF1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D0A8C7"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7CB0F"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5E67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6A81C"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C2E50" w14:textId="2EF334F2"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1 665 000</w:t>
            </w:r>
          </w:p>
        </w:tc>
      </w:tr>
      <w:tr w:rsidR="00B17BA8" w:rsidRPr="00B923BB" w14:paraId="67FBCC2C"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C846997"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D3C29C"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2.2.5. Estabelecer parcerias com rádios comunitárias, a Rádio Educativa, entre outras, para a definição de programação sobre género, masculinidades e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xml:space="preserve"> e disponibilizar materiais de apoio.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DC526"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FAA1"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AJOC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ARC</w:t>
            </w:r>
            <w:proofErr w:type="spellEnd"/>
            <w:r w:rsidRPr="00EB750A">
              <w:rPr>
                <w:rFonts w:ascii="Garamond" w:eastAsia="Times New Roman" w:hAnsi="Garamond" w:cs="Times New Roman"/>
                <w:color w:val="000000"/>
                <w:sz w:val="20"/>
                <w:szCs w:val="20"/>
                <w:lang w:val="pt-PT" w:eastAsia="es-ES"/>
              </w:rPr>
              <w:t>, órgãos de comunicação social, DGC</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BB255"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51111"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C8DC3"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73F2B"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197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5AB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3542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A6BE"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CB3AB"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58FA6"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495C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25E76"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C20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6C60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911C7"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BE17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4D0D1" w14:textId="4342E44E"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2 550 000</w:t>
            </w:r>
          </w:p>
        </w:tc>
      </w:tr>
      <w:tr w:rsidR="00B17BA8" w:rsidRPr="00B923BB" w14:paraId="057F985D"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41D4A38E"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343D3"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2.2.6. Identificar oportunidades para </w:t>
            </w:r>
            <w:proofErr w:type="spellStart"/>
            <w:r w:rsidRPr="00EB750A">
              <w:rPr>
                <w:rFonts w:ascii="Garamond" w:hAnsi="Garamond"/>
                <w:bCs/>
                <w:sz w:val="20"/>
                <w:szCs w:val="20"/>
                <w:lang w:val="pt-PT"/>
              </w:rPr>
              <w:t>ações</w:t>
            </w:r>
            <w:proofErr w:type="spellEnd"/>
            <w:r w:rsidRPr="00EB750A">
              <w:rPr>
                <w:rFonts w:ascii="Garamond" w:hAnsi="Garamond"/>
                <w:bCs/>
                <w:sz w:val="20"/>
                <w:szCs w:val="20"/>
                <w:lang w:val="pt-PT"/>
              </w:rPr>
              <w:t xml:space="preserve"> de prevenção da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xml:space="preserve"> junto da equipa de coordenação do Programa de Segurança Interna e Cidadania e apoiar a sua implementação e seguimento.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DA2D5"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B386" w14:textId="77777777" w:rsidR="00B17BA8" w:rsidRPr="00EB750A" w:rsidRDefault="00B17BA8" w:rsidP="00B17BA8">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Coordenação do </w:t>
            </w:r>
            <w:proofErr w:type="spellStart"/>
            <w:r w:rsidRPr="00EB750A">
              <w:rPr>
                <w:rFonts w:ascii="Garamond" w:eastAsia="Times New Roman" w:hAnsi="Garamond" w:cs="Times New Roman"/>
                <w:color w:val="000000"/>
                <w:sz w:val="20"/>
                <w:szCs w:val="20"/>
                <w:lang w:val="pt-PT" w:eastAsia="es-ES"/>
              </w:rPr>
              <w:t>PNSIC</w:t>
            </w:r>
            <w:proofErr w:type="spellEnd"/>
            <w:r w:rsidRPr="00EB750A">
              <w:rPr>
                <w:rFonts w:ascii="Garamond" w:eastAsia="Times New Roman" w:hAnsi="Garamond" w:cs="Times New Roman"/>
                <w:color w:val="000000"/>
                <w:sz w:val="20"/>
                <w:szCs w:val="20"/>
                <w:lang w:val="pt-PT" w:eastAsia="es-ES"/>
              </w:rPr>
              <w:t>/MAI, PN, parceiros do Programa</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FF5F8"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0036"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0FEA6"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5D06B"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94F7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B7E93"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3932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69D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6C7D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DF978"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D8536D"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5467A"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D93E8"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01B"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B099"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3BE89"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8F9E" w14:textId="783D6D9B"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0</w:t>
            </w:r>
          </w:p>
        </w:tc>
      </w:tr>
      <w:tr w:rsidR="00B17BA8" w:rsidRPr="00B923BB" w14:paraId="71D94FF1"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B04D3D9"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33FD7D0"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2.2.7. Apoiar os </w:t>
            </w:r>
            <w:proofErr w:type="spellStart"/>
            <w:r w:rsidRPr="00EB750A">
              <w:rPr>
                <w:rFonts w:ascii="Garamond" w:hAnsi="Garamond"/>
                <w:bCs/>
                <w:sz w:val="20"/>
                <w:szCs w:val="20"/>
                <w:lang w:val="pt-PT"/>
              </w:rPr>
              <w:t>CAVs</w:t>
            </w:r>
            <w:proofErr w:type="spellEnd"/>
            <w:r w:rsidRPr="00EB750A">
              <w:rPr>
                <w:rFonts w:ascii="Garamond" w:hAnsi="Garamond"/>
                <w:bCs/>
                <w:sz w:val="20"/>
                <w:szCs w:val="20"/>
                <w:lang w:val="pt-PT"/>
              </w:rPr>
              <w:t xml:space="preserve"> e Rede SOL, e seus parceiros, a desenvolver e implementar um plano anual de informação e sensibilização a nível local em matéria de género, masculinidades e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7384E"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7D7D5"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PN, Delegacias de Saúde,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 Escolas, parceiros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FFBDE"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E464C"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B927F"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FF784"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7539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E195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E66B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1A9F"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5430B"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9CB7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B512"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55984"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7FEF5"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ED53"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9476C"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AB8A"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2948A" w14:textId="67A2DB60"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1 500 000</w:t>
            </w:r>
          </w:p>
        </w:tc>
      </w:tr>
      <w:tr w:rsidR="00B17BA8" w:rsidRPr="00B923BB" w14:paraId="07754801"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38DCBA46"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6E2F4A9" w14:textId="77777777" w:rsidR="00B17BA8" w:rsidRPr="00EB750A" w:rsidRDefault="00B17BA8" w:rsidP="00B17BA8">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2.2.8. Elaborar e implementar um plano de formação sobre género, masculinidades e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xml:space="preserve"> para as chefias e funcionários(a)s da Administração Pública e das Câmaras Municipais.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BA15"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DNAP</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F846F" w14:textId="77777777" w:rsidR="00B17BA8" w:rsidRPr="00EB750A" w:rsidRDefault="00B17BA8" w:rsidP="00B17BA8">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DGAL</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Rede Laço Branco,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Palácio do Governo, Câmaras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850C5"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F631E"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A4FA9" w14:textId="3DA55687"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EF775" w14:textId="48E2BE24" w:rsidR="00B17BA8" w:rsidRPr="005808D4"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4774"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0209"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CE564"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90A2B" w14:textId="77777777" w:rsidR="00B17BA8" w:rsidRPr="00F46E1A" w:rsidRDefault="00B17BA8" w:rsidP="00B17BA8">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7C920"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7844"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17F8C"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71C91"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CFB71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8AF29EB"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E80A4C"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ADFA4A2" w14:textId="77777777" w:rsidR="00B17BA8" w:rsidRPr="00F46E1A" w:rsidRDefault="00B17BA8" w:rsidP="00B17BA8">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B95FA" w14:textId="6DC6ECAE"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875 000</w:t>
            </w:r>
          </w:p>
        </w:tc>
      </w:tr>
      <w:tr w:rsidR="00B17BA8" w:rsidRPr="00B923BB" w14:paraId="35454EE5"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3957F9F9" w14:textId="77777777" w:rsidR="00B17BA8" w:rsidRPr="00441BCC" w:rsidRDefault="00B17BA8" w:rsidP="00B17BA8">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945A" w14:textId="77777777" w:rsidR="00B17BA8" w:rsidRPr="00EB750A" w:rsidRDefault="00B17BA8" w:rsidP="00B17BA8">
            <w:pPr>
              <w:spacing w:after="60"/>
              <w:rPr>
                <w:rFonts w:ascii="Garamond" w:hAnsi="Garamond"/>
                <w:bCs/>
                <w:sz w:val="20"/>
                <w:szCs w:val="20"/>
                <w:lang w:val="pt-PT"/>
              </w:rPr>
            </w:pPr>
            <w:r w:rsidRPr="00EB750A">
              <w:rPr>
                <w:rFonts w:ascii="Garamond" w:hAnsi="Garamond"/>
                <w:bCs/>
                <w:sz w:val="20"/>
                <w:szCs w:val="20"/>
                <w:lang w:val="pt-PT"/>
              </w:rPr>
              <w:t xml:space="preserve">2.2.9. Elaborar e implementar um plano de formação para líderes religiosos e facilitadores para apoio, aconselhamento e referência de vítimas de </w:t>
            </w:r>
            <w:proofErr w:type="spellStart"/>
            <w:r w:rsidRPr="00EB750A">
              <w:rPr>
                <w:rFonts w:ascii="Garamond" w:hAnsi="Garamond"/>
                <w:bCs/>
                <w:sz w:val="20"/>
                <w:szCs w:val="20"/>
                <w:lang w:val="pt-PT"/>
              </w:rPr>
              <w:t>VBG</w:t>
            </w:r>
            <w:proofErr w:type="spellEnd"/>
            <w:r w:rsidRPr="00EB750A">
              <w:rPr>
                <w:rFonts w:ascii="Garamond" w:hAnsi="Garamond"/>
                <w:bCs/>
                <w:sz w:val="20"/>
                <w:szCs w:val="20"/>
                <w:lang w:val="pt-PT"/>
              </w:rPr>
              <w:t xml:space="preserve"> e autores para programas de acompanhamento e/ou reabilitação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4B2A" w14:textId="77777777" w:rsidR="00B17BA8" w:rsidRPr="00441BCC" w:rsidRDefault="00B17BA8" w:rsidP="00B17BA8">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5782" w14:textId="77777777" w:rsidR="00B17BA8" w:rsidRPr="00EB750A" w:rsidRDefault="00B17BA8" w:rsidP="00B17BA8">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Igrejas, </w:t>
            </w:r>
            <w:proofErr w:type="gramStart"/>
            <w:r w:rsidRPr="00EB750A">
              <w:rPr>
                <w:rFonts w:ascii="Garamond" w:eastAsia="Times New Roman" w:hAnsi="Garamond" w:cs="Times New Roman"/>
                <w:color w:val="000000"/>
                <w:sz w:val="20"/>
                <w:szCs w:val="20"/>
                <w:lang w:val="pt-PT" w:eastAsia="es-ES"/>
              </w:rPr>
              <w:t>lideres</w:t>
            </w:r>
            <w:proofErr w:type="gramEnd"/>
            <w:r w:rsidRPr="00EB750A">
              <w:rPr>
                <w:rFonts w:ascii="Garamond" w:eastAsia="Times New Roman" w:hAnsi="Garamond" w:cs="Times New Roman"/>
                <w:color w:val="000000"/>
                <w:sz w:val="20"/>
                <w:szCs w:val="20"/>
                <w:lang w:val="pt-PT" w:eastAsia="es-ES"/>
              </w:rPr>
              <w:t xml:space="preserve"> religiosos,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2FA7A"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01C06"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FD5D8" w14:textId="77777777" w:rsidR="00B17BA8" w:rsidRPr="00F46E1A" w:rsidRDefault="00B17BA8" w:rsidP="00B17BA8">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B73C5"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1E29"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03AE"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0FC8F"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5C553" w14:textId="77777777" w:rsidR="00B17BA8" w:rsidRPr="00F46E1A" w:rsidRDefault="00B17BA8" w:rsidP="00B17BA8">
            <w:pPr>
              <w:jc w:val="center"/>
              <w:rPr>
                <w:rFonts w:ascii="Garamond" w:eastAsia="Times New Roman" w:hAnsi="Garamond" w:cs="Times New Roman"/>
                <w:b/>
                <w:bCs/>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FF703"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42393"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5B76A"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A1E65"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CEE12"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6102B"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6FD1E" w14:textId="77777777" w:rsidR="00B17BA8" w:rsidRPr="00F46E1A" w:rsidRDefault="00B17BA8" w:rsidP="00B17BA8">
            <w:pPr>
              <w:jc w:val="center"/>
              <w:rPr>
                <w:rFonts w:ascii="Garamond" w:eastAsia="Times New Roman" w:hAnsi="Garamond" w:cs="Times New Roman"/>
                <w:b/>
                <w:bCs/>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923EB" w14:textId="77777777" w:rsidR="00B17BA8" w:rsidRPr="00F46E1A" w:rsidRDefault="00B17BA8" w:rsidP="00B17BA8">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3C04D" w14:textId="0372C441" w:rsidR="00B17BA8" w:rsidRPr="00441BCC" w:rsidRDefault="00B17BA8" w:rsidP="00B17BA8">
            <w:pPr>
              <w:jc w:val="center"/>
              <w:rPr>
                <w:rFonts w:ascii="Garamond" w:eastAsia="Times New Roman" w:hAnsi="Garamond" w:cs="Times New Roman"/>
                <w:color w:val="000000"/>
                <w:sz w:val="20"/>
                <w:szCs w:val="20"/>
                <w:lang w:eastAsia="es-ES"/>
              </w:rPr>
            </w:pPr>
            <w:r w:rsidRPr="00B17BA8">
              <w:rPr>
                <w:rFonts w:ascii="Garamond" w:eastAsia="Times New Roman" w:hAnsi="Garamond" w:cs="Times New Roman"/>
                <w:color w:val="000000"/>
                <w:sz w:val="20"/>
                <w:szCs w:val="20"/>
                <w:lang w:eastAsia="es-ES"/>
              </w:rPr>
              <w:t>2 605 000</w:t>
            </w:r>
          </w:p>
        </w:tc>
      </w:tr>
      <w:tr w:rsidR="0051346D" w:rsidRPr="00B923BB" w14:paraId="511F2557" w14:textId="77777777" w:rsidTr="00922684">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3EF08A06" w14:textId="77777777" w:rsidR="0051346D" w:rsidRPr="00441BCC" w:rsidRDefault="0051346D" w:rsidP="0051346D">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BD20F" w14:textId="77777777"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bCs/>
                <w:sz w:val="20"/>
                <w:szCs w:val="20"/>
                <w:lang w:val="pt-PT"/>
              </w:rPr>
              <w:t xml:space="preserve">2.2.10. Desenvolver e implementar campanhas de comunicação para a mudança social e de comportamento para audiências ou temas específicos </w:t>
            </w:r>
            <w:r w:rsidRPr="00EB750A">
              <w:rPr>
                <w:rFonts w:ascii="Garamond" w:hAnsi="Garamond"/>
                <w:sz w:val="20"/>
                <w:szCs w:val="20"/>
                <w:lang w:val="pt-PT"/>
              </w:rPr>
              <w:t xml:space="preserve">(mulheres com baixa instrução, mulheres rurais, </w:t>
            </w:r>
            <w:proofErr w:type="spellStart"/>
            <w:r w:rsidRPr="00EB750A">
              <w:rPr>
                <w:rFonts w:ascii="Garamond" w:hAnsi="Garamond"/>
                <w:sz w:val="20"/>
                <w:szCs w:val="20"/>
                <w:lang w:val="pt-PT"/>
              </w:rPr>
              <w:t>McD</w:t>
            </w:r>
            <w:proofErr w:type="spellEnd"/>
            <w:r w:rsidRPr="00EB750A">
              <w:rPr>
                <w:rFonts w:ascii="Garamond" w:hAnsi="Garamond"/>
                <w:sz w:val="20"/>
                <w:szCs w:val="20"/>
                <w:lang w:val="pt-PT"/>
              </w:rPr>
              <w:t xml:space="preserve">, famílias de </w:t>
            </w:r>
            <w:proofErr w:type="spellStart"/>
            <w:r w:rsidRPr="00EB750A">
              <w:rPr>
                <w:rFonts w:ascii="Garamond" w:hAnsi="Garamond"/>
                <w:sz w:val="20"/>
                <w:szCs w:val="20"/>
                <w:lang w:val="pt-PT"/>
              </w:rPr>
              <w:t>PcD</w:t>
            </w:r>
            <w:proofErr w:type="spellEnd"/>
            <w:r w:rsidRPr="00EB750A">
              <w:rPr>
                <w:rFonts w:ascii="Garamond" w:hAnsi="Garamond"/>
                <w:sz w:val="20"/>
                <w:szCs w:val="20"/>
                <w:lang w:val="pt-PT"/>
              </w:rPr>
              <w:t xml:space="preserve">, cuidadores de </w:t>
            </w:r>
            <w:proofErr w:type="spellStart"/>
            <w:r w:rsidRPr="00EB750A">
              <w:rPr>
                <w:rFonts w:ascii="Garamond" w:hAnsi="Garamond"/>
                <w:sz w:val="20"/>
                <w:szCs w:val="20"/>
                <w:lang w:val="pt-PT"/>
              </w:rPr>
              <w:t>PcD</w:t>
            </w:r>
            <w:proofErr w:type="spellEnd"/>
            <w:r w:rsidRPr="00EB750A">
              <w:rPr>
                <w:rFonts w:ascii="Garamond" w:hAnsi="Garamond"/>
                <w:sz w:val="20"/>
                <w:szCs w:val="20"/>
                <w:lang w:val="pt-PT"/>
              </w:rPr>
              <w:t>, contextos específicos de violência sexual, violência em razão de orientação sexual, etc.)</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66708"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9917"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DGIS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Delegacias de Saúde, </w:t>
            </w:r>
            <w:proofErr w:type="spellStart"/>
            <w:r w:rsidRPr="00EB750A">
              <w:rPr>
                <w:rFonts w:ascii="Garamond" w:eastAsia="Times New Roman" w:hAnsi="Garamond" w:cs="Times New Roman"/>
                <w:color w:val="000000"/>
                <w:sz w:val="20"/>
                <w:szCs w:val="20"/>
                <w:lang w:val="pt-PT" w:eastAsia="es-ES"/>
              </w:rPr>
              <w:t>DGAEA</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APIMUD</w:t>
            </w:r>
            <w:proofErr w:type="spellEnd"/>
            <w:r w:rsidRPr="00EB750A">
              <w:rPr>
                <w:rFonts w:ascii="Garamond" w:eastAsia="Times New Roman" w:hAnsi="Garamond" w:cs="Times New Roman"/>
                <w:color w:val="000000"/>
                <w:sz w:val="20"/>
                <w:szCs w:val="20"/>
                <w:lang w:val="pt-PT" w:eastAsia="es-ES"/>
              </w:rPr>
              <w:t xml:space="preserve">, associações de </w:t>
            </w:r>
            <w:proofErr w:type="spellStart"/>
            <w:r w:rsidRPr="00EB750A">
              <w:rPr>
                <w:rFonts w:ascii="Garamond" w:eastAsia="Times New Roman" w:hAnsi="Garamond" w:cs="Times New Roman"/>
                <w:color w:val="000000"/>
                <w:sz w:val="20"/>
                <w:szCs w:val="20"/>
                <w:lang w:val="pt-PT" w:eastAsia="es-ES"/>
              </w:rPr>
              <w:t>PcD</w:t>
            </w:r>
            <w:proofErr w:type="spellEnd"/>
            <w:r w:rsidRPr="00EB750A">
              <w:rPr>
                <w:rFonts w:ascii="Garamond" w:eastAsia="Times New Roman" w:hAnsi="Garamond" w:cs="Times New Roman"/>
                <w:color w:val="000000"/>
                <w:sz w:val="20"/>
                <w:szCs w:val="20"/>
                <w:lang w:val="pt-PT" w:eastAsia="es-ES"/>
              </w:rPr>
              <w:t xml:space="preserve">, associações </w:t>
            </w:r>
            <w:proofErr w:type="spellStart"/>
            <w:r w:rsidRPr="00EB750A">
              <w:rPr>
                <w:rFonts w:ascii="Garamond" w:eastAsia="Times New Roman" w:hAnsi="Garamond" w:cs="Times New Roman"/>
                <w:color w:val="000000"/>
                <w:sz w:val="20"/>
                <w:szCs w:val="20"/>
                <w:lang w:val="pt-PT" w:eastAsia="es-ES"/>
              </w:rPr>
              <w:t>LGBTI</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CD282"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4A62E"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83490"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549E9" w14:textId="6DACA300" w:rsidR="0051346D" w:rsidRPr="005808D4"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14211"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5887"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D80F"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D86F2"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EE766"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02D11"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DA610"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89931"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9BD6D"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4C329"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FB717"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FB3DC"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3FC33" w14:textId="22935FD9"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1 500 000</w:t>
            </w:r>
          </w:p>
        </w:tc>
      </w:tr>
      <w:tr w:rsidR="0051346D" w:rsidRPr="00B923BB" w14:paraId="3A919488"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32E85B44" w14:textId="77777777" w:rsidR="0051346D" w:rsidRPr="00EB750A" w:rsidRDefault="0051346D" w:rsidP="0051346D">
            <w:pPr>
              <w:spacing w:after="240"/>
              <w:rPr>
                <w:rFonts w:ascii="Garamond" w:hAnsi="Garamond"/>
                <w:sz w:val="20"/>
                <w:szCs w:val="20"/>
                <w:lang w:val="pt-PT"/>
              </w:rPr>
            </w:pPr>
            <w:r w:rsidRPr="00EB750A">
              <w:rPr>
                <w:rFonts w:ascii="Garamond" w:hAnsi="Garamond"/>
                <w:sz w:val="20"/>
                <w:szCs w:val="20"/>
                <w:lang w:val="pt-PT"/>
              </w:rPr>
              <w:t xml:space="preserve">2.3. Ampliado o acesso das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a um atendimento qualificado e sensível ao género, bem como a medidas de </w:t>
            </w:r>
            <w:proofErr w:type="spellStart"/>
            <w:r w:rsidRPr="00EB750A">
              <w:rPr>
                <w:rFonts w:ascii="Garamond" w:hAnsi="Garamond"/>
                <w:sz w:val="20"/>
                <w:szCs w:val="20"/>
                <w:lang w:val="pt-PT"/>
              </w:rPr>
              <w:t>proteção</w:t>
            </w:r>
            <w:proofErr w:type="spellEnd"/>
            <w:r w:rsidRPr="00EB750A">
              <w:rPr>
                <w:rFonts w:ascii="Garamond" w:hAnsi="Garamond"/>
                <w:sz w:val="20"/>
                <w:szCs w:val="20"/>
                <w:lang w:val="pt-PT"/>
              </w:rPr>
              <w:t xml:space="preserve"> em situações emergenciais</w:t>
            </w: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FF52" w14:textId="77777777"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2.3.1. Realizar um levantamento das condições de instalação e funcionamento dos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xml:space="preserve"> e elaborar e implementar um plano para a sua consolidação.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CA86F"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67447"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PN, parceiros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7AC58"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BA32E"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FF540"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0746A"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ECA05"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EE8C"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742455"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8A2C8E9"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02928D"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CE119"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44690"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3CAEA"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C7396"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B0FA4"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3F1BA"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D3CAC"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D4CA0" w14:textId="0AD0D10A"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980 000</w:t>
            </w:r>
          </w:p>
        </w:tc>
      </w:tr>
      <w:tr w:rsidR="0051346D" w:rsidRPr="00B923BB" w14:paraId="456CB792"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DFBE95D" w14:textId="77777777" w:rsidR="0051346D" w:rsidRPr="00441BCC" w:rsidRDefault="0051346D" w:rsidP="0051346D">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8B52" w14:textId="77777777"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2.3.2. Elaborar e implementar um plano de formação do pessoal dos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xml:space="preserve"> e colaboradores (TAV), incluindo prestadores de informação jurídica, e de redinamização da Rede SOL.</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B06B"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B45D"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PN, parceiros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9362B"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FD60D"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3A709"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BD6EB"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0B642"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CE75A"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45EAE"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12423"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40DE9"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66A27"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33117"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EE772"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51BAB6"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7497BB"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EDC2F0"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C6181"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5766C" w14:textId="07F031DF"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4 950 000</w:t>
            </w:r>
          </w:p>
        </w:tc>
      </w:tr>
      <w:tr w:rsidR="0051346D" w:rsidRPr="00B923BB" w14:paraId="2636623A"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6CB2790" w14:textId="77777777" w:rsidR="0051346D" w:rsidRPr="00441BCC" w:rsidRDefault="0051346D" w:rsidP="0051346D">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AB9C31C" w14:textId="03F50FB4"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3</w:t>
            </w:r>
            <w:r w:rsidRPr="00EB750A">
              <w:rPr>
                <w:rFonts w:ascii="Garamond" w:hAnsi="Garamond"/>
                <w:sz w:val="20"/>
                <w:szCs w:val="20"/>
                <w:lang w:val="pt-PT"/>
              </w:rPr>
              <w:t>. Realizar um levantamento das necessidades de formação em atendimento a vítimas de violência sexual e desenvolver e implementar um plano de formação, incluindo necessidades formação continua e supervisão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EF67D"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31A23"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DGS, Delegacias de Saúde, PN, PJ, </w:t>
            </w:r>
            <w:proofErr w:type="spellStart"/>
            <w:r w:rsidRPr="00EB750A">
              <w:rPr>
                <w:rFonts w:ascii="Garamond" w:eastAsia="Times New Roman" w:hAnsi="Garamond" w:cs="Times New Roman"/>
                <w:color w:val="000000"/>
                <w:sz w:val="20"/>
                <w:szCs w:val="20"/>
                <w:lang w:val="pt-PT" w:eastAsia="es-ES"/>
              </w:rPr>
              <w:t>ICCA</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DGSPRS</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E8CF4"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2371E"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968DE"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8E6DD" w14:textId="1DB7F03A" w:rsidR="0051346D" w:rsidRPr="005808D4"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D7A6F"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DF79"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F535"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BA56"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F450A"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87BA1"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BB804"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F33D8"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49665"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6A91FB"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F3C99"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74A16F"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1EFB8" w14:textId="24B5E532"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1 840 000</w:t>
            </w:r>
          </w:p>
        </w:tc>
      </w:tr>
      <w:tr w:rsidR="0051346D" w:rsidRPr="00B923BB" w14:paraId="33165483"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F6312A1" w14:textId="77777777" w:rsidR="0051346D" w:rsidRPr="00441BCC" w:rsidRDefault="0051346D" w:rsidP="0051346D">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6FDF" w14:textId="13A14493"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4</w:t>
            </w:r>
            <w:r w:rsidRPr="00EB750A">
              <w:rPr>
                <w:rFonts w:ascii="Garamond" w:hAnsi="Garamond"/>
                <w:sz w:val="20"/>
                <w:szCs w:val="20"/>
                <w:lang w:val="pt-PT"/>
              </w:rPr>
              <w:t xml:space="preserve">. Definir um sistema operacional de supervisão/seguimento da prestação dos serviços de apoio às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sua qualidade e reforçar as capacidades do </w:t>
            </w:r>
            <w:proofErr w:type="spellStart"/>
            <w:r w:rsidRPr="00EB750A">
              <w:rPr>
                <w:rFonts w:ascii="Garamond" w:hAnsi="Garamond"/>
                <w:sz w:val="20"/>
                <w:szCs w:val="20"/>
                <w:lang w:val="pt-PT"/>
              </w:rPr>
              <w:t>ICIEG</w:t>
            </w:r>
            <w:proofErr w:type="spellEnd"/>
            <w:r w:rsidRPr="00EB750A">
              <w:rPr>
                <w:rFonts w:ascii="Garamond" w:hAnsi="Garamond"/>
                <w:sz w:val="20"/>
                <w:szCs w:val="20"/>
                <w:lang w:val="pt-PT"/>
              </w:rPr>
              <w:t xml:space="preserve"> para a sua implementação.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69F7F"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8AAD"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PN, parceiros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1E9E3"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6778B"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4CD50"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54A47"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F8C4B"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5CE86"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A3C6"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7CC81"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D4815"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31196"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69E07"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95A2A"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5058E"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2DBA5"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3896"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9EB3"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8E217" w14:textId="712676F1"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970 000</w:t>
            </w:r>
          </w:p>
        </w:tc>
      </w:tr>
      <w:tr w:rsidR="0051346D" w:rsidRPr="00B923BB" w14:paraId="62119363"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AB4FC5B" w14:textId="77777777" w:rsidR="0051346D" w:rsidRPr="00441BCC" w:rsidRDefault="0051346D" w:rsidP="0051346D">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C4215F0" w14:textId="5528E92A" w:rsidR="0051346D" w:rsidRPr="00EB750A" w:rsidRDefault="0051346D" w:rsidP="0051346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5</w:t>
            </w:r>
            <w:r w:rsidRPr="00EB750A">
              <w:rPr>
                <w:rFonts w:ascii="Garamond" w:hAnsi="Garamond"/>
                <w:sz w:val="20"/>
                <w:szCs w:val="20"/>
                <w:lang w:val="pt-PT"/>
              </w:rPr>
              <w:t xml:space="preserve">. Dotar os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xml:space="preserve"> de um sistema integrado e harmonizado de registo dos diferentes tipos de serviços prestados a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pelos</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GAV</w:t>
            </w:r>
            <w:proofErr w:type="spellEnd"/>
            <w:r w:rsidRPr="00EB750A">
              <w:rPr>
                <w:rFonts w:ascii="Garamond" w:hAnsi="Garamond"/>
                <w:sz w:val="20"/>
                <w:szCs w:val="20"/>
                <w:lang w:val="pt-PT"/>
              </w:rPr>
              <w:t xml:space="preserve">, Rede SOL, Casas de Abrigo, serviços sociais das CM, estruturas de saúde e demais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05ACC" w14:textId="77777777" w:rsidR="0051346D" w:rsidRPr="00441BCC" w:rsidRDefault="0051346D" w:rsidP="0051346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304E" w14:textId="77777777" w:rsidR="0051346D" w:rsidRPr="00EB750A" w:rsidRDefault="0051346D" w:rsidP="0051346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PN, parceiros locais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20543" w14:textId="77777777" w:rsidR="0051346D" w:rsidRPr="00F46E1A" w:rsidRDefault="0051346D" w:rsidP="0051346D">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0CEE1"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D6B2C"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5643A"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62FED4" w14:textId="77777777" w:rsidR="0051346D" w:rsidRPr="00F46E1A" w:rsidRDefault="0051346D" w:rsidP="0051346D">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6EB3A"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ACC3D" w14:textId="77777777" w:rsidR="0051346D" w:rsidRPr="00F46E1A" w:rsidRDefault="0051346D" w:rsidP="0051346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1488"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026D1D"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0C4DB"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CDECC"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C1EC4"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4F2D5"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44C6F8"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20005"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179730" w14:textId="77777777" w:rsidR="0051346D" w:rsidRPr="00F46E1A" w:rsidRDefault="0051346D" w:rsidP="0051346D">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FB7F8" w14:textId="6BADFC33" w:rsidR="0051346D" w:rsidRPr="00441BCC" w:rsidRDefault="0051346D" w:rsidP="0051346D">
            <w:pPr>
              <w:jc w:val="center"/>
              <w:rPr>
                <w:rFonts w:ascii="Garamond" w:eastAsia="Times New Roman" w:hAnsi="Garamond" w:cs="Times New Roman"/>
                <w:color w:val="000000"/>
                <w:sz w:val="20"/>
                <w:szCs w:val="20"/>
                <w:lang w:eastAsia="es-ES"/>
              </w:rPr>
            </w:pPr>
            <w:r w:rsidRPr="0051346D">
              <w:rPr>
                <w:rFonts w:ascii="Garamond" w:eastAsia="Times New Roman" w:hAnsi="Garamond" w:cs="Times New Roman"/>
                <w:color w:val="000000"/>
                <w:sz w:val="20"/>
                <w:szCs w:val="20"/>
                <w:lang w:eastAsia="es-ES"/>
              </w:rPr>
              <w:t>410 000</w:t>
            </w:r>
          </w:p>
        </w:tc>
      </w:tr>
      <w:tr w:rsidR="00D91B13" w:rsidRPr="00B923BB" w14:paraId="267B9285"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57502530"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8AF95AE" w14:textId="339810DF"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6</w:t>
            </w:r>
            <w:r w:rsidRPr="00EB750A">
              <w:rPr>
                <w:rFonts w:ascii="Garamond" w:hAnsi="Garamond"/>
                <w:sz w:val="20"/>
                <w:szCs w:val="20"/>
                <w:lang w:val="pt-PT"/>
              </w:rPr>
              <w:t>. Estabelecer um sistema sensível ao género de seguimento da prestação de informação jurídica nos municípios (protocolos celebrados com o MJ).</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DF5A0" w14:textId="77777777" w:rsidR="00D91B13" w:rsidRPr="00441BCC" w:rsidRDefault="00D91B13" w:rsidP="00D91B13">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4C48F" w14:textId="77777777" w:rsidR="00D91B13" w:rsidRPr="00EB750A" w:rsidRDefault="00D91B13" w:rsidP="00D91B13">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Câmaras,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555BA" w14:textId="77777777" w:rsidR="00D91B13" w:rsidRPr="00F46E1A" w:rsidRDefault="00D91B13" w:rsidP="00D91B13">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687C1"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2C005"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4F8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F1452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F7229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F7D060"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01EFE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E5D5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0CC2C"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5728C"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D8586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1E7D"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D28EA9"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7966D"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12B3C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C85D" w14:textId="29E00D79"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255 000</w:t>
            </w:r>
          </w:p>
        </w:tc>
      </w:tr>
      <w:tr w:rsidR="00D91B13" w:rsidRPr="00B923BB" w14:paraId="0085DC54"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6DB0C02C"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0C9393E" w14:textId="414EA361"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7</w:t>
            </w:r>
            <w:r w:rsidRPr="00EB750A">
              <w:rPr>
                <w:rFonts w:ascii="Garamond" w:hAnsi="Garamond"/>
                <w:sz w:val="20"/>
                <w:szCs w:val="20"/>
                <w:lang w:val="pt-PT"/>
              </w:rPr>
              <w:t xml:space="preserve">. </w:t>
            </w:r>
            <w:r w:rsidRPr="00EB750A">
              <w:rPr>
                <w:rFonts w:ascii="Garamond" w:hAnsi="Garamond" w:cs="Times New Roman"/>
                <w:bCs/>
                <w:sz w:val="20"/>
                <w:szCs w:val="20"/>
                <w:lang w:val="pt-PT"/>
              </w:rPr>
              <w:t xml:space="preserve">Definir e integrar medidas de apoio a processos de separação/divórcio nas prestações do PGA, em particular em situações de </w:t>
            </w:r>
            <w:proofErr w:type="spellStart"/>
            <w:r w:rsidRPr="00EB750A">
              <w:rPr>
                <w:rFonts w:ascii="Garamond" w:hAnsi="Garamond" w:cs="Times New Roman"/>
                <w:bCs/>
                <w:sz w:val="20"/>
                <w:szCs w:val="20"/>
                <w:lang w:val="pt-PT"/>
              </w:rPr>
              <w:t>VBG</w:t>
            </w:r>
            <w:proofErr w:type="spellEnd"/>
            <w:r w:rsidRPr="00EB750A">
              <w:rPr>
                <w:rFonts w:ascii="Garamond" w:hAnsi="Garamond" w:cs="Times New Roman"/>
                <w:bCs/>
                <w:sz w:val="20"/>
                <w:szCs w:val="20"/>
                <w:lang w:val="pt-PT"/>
              </w:rPr>
              <w:t xml:space="preserve"> (através dos </w:t>
            </w:r>
            <w:proofErr w:type="spellStart"/>
            <w:r w:rsidRPr="00EB750A">
              <w:rPr>
                <w:rFonts w:ascii="Garamond" w:hAnsi="Garamond" w:cs="Times New Roman"/>
                <w:bCs/>
                <w:sz w:val="20"/>
                <w:szCs w:val="20"/>
                <w:lang w:val="pt-PT"/>
              </w:rPr>
              <w:t>CAV</w:t>
            </w:r>
            <w:proofErr w:type="spellEnd"/>
            <w:r w:rsidRPr="00EB750A">
              <w:rPr>
                <w:rFonts w:ascii="Garamond" w:hAnsi="Garamond" w:cs="Times New Roman"/>
                <w:bCs/>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5D0AC"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32576"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0E494" w14:textId="77777777" w:rsidR="00D91B13" w:rsidRPr="00F46E1A" w:rsidRDefault="00D91B13" w:rsidP="00D91B13">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DCAE5"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D97D2"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62AF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AC06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459F4"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CF5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4F07F0"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0644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392F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AF1A4"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C4F27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6FA40"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0B517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D418233"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52C9FF1"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0A9FB" w14:textId="1371B21A"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D91B13" w:rsidRPr="008E37BB" w14:paraId="5BDEAB93"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A622356"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26327" w14:textId="7570D274"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8</w:t>
            </w:r>
            <w:r w:rsidRPr="00EB750A">
              <w:rPr>
                <w:rFonts w:ascii="Garamond" w:hAnsi="Garamond"/>
                <w:sz w:val="20"/>
                <w:szCs w:val="20"/>
                <w:lang w:val="pt-PT"/>
              </w:rPr>
              <w:t xml:space="preserve">. Realizar um levantamento rápido das necessidades para o aumento dos </w:t>
            </w:r>
            <w:proofErr w:type="spellStart"/>
            <w:r w:rsidRPr="00EB750A">
              <w:rPr>
                <w:rFonts w:ascii="Garamond" w:hAnsi="Garamond"/>
                <w:sz w:val="20"/>
                <w:szCs w:val="20"/>
                <w:lang w:val="pt-PT"/>
              </w:rPr>
              <w:t>GAV</w:t>
            </w:r>
            <w:proofErr w:type="spellEnd"/>
            <w:r w:rsidRPr="00EB750A">
              <w:rPr>
                <w:rFonts w:ascii="Garamond" w:hAnsi="Garamond"/>
                <w:sz w:val="20"/>
                <w:szCs w:val="20"/>
                <w:lang w:val="pt-PT"/>
              </w:rPr>
              <w:t xml:space="preserve"> nas esquadras de polícia, a funcionar com pessoal formado, e estabelecer um plano faseado de implementação.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28408"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FF339" w14:textId="77777777" w:rsidR="00D91B13" w:rsidRPr="00441BCC" w:rsidRDefault="00D91B13" w:rsidP="00D91B13">
            <w:pPr>
              <w:jc w:val="center"/>
              <w:rPr>
                <w:rFonts w:ascii="Garamond" w:eastAsia="Times New Roman" w:hAnsi="Garamond" w:cs="Times New Roman"/>
                <w:color w:val="000000"/>
                <w:sz w:val="20"/>
                <w:szCs w:val="20"/>
                <w:lang w:val="fr-FR" w:eastAsia="es-ES"/>
              </w:rPr>
            </w:pPr>
            <w:proofErr w:type="spellStart"/>
            <w:r w:rsidRPr="00441BCC">
              <w:rPr>
                <w:rFonts w:ascii="Garamond" w:eastAsia="Times New Roman" w:hAnsi="Garamond" w:cs="Times New Roman"/>
                <w:color w:val="000000"/>
                <w:sz w:val="20"/>
                <w:szCs w:val="20"/>
                <w:lang w:val="fr-FR" w:eastAsia="es-ES"/>
              </w:rPr>
              <w:t>ICIEG</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CAV</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Rede</w:t>
            </w:r>
            <w:proofErr w:type="spellEnd"/>
            <w:r w:rsidRPr="00441BCC">
              <w:rPr>
                <w:rFonts w:ascii="Garamond" w:eastAsia="Times New Roman" w:hAnsi="Garamond" w:cs="Times New Roman"/>
                <w:color w:val="000000"/>
                <w:sz w:val="20"/>
                <w:szCs w:val="20"/>
                <w:lang w:val="fr-FR" w:eastAsia="es-ES"/>
              </w:rPr>
              <w:t xml:space="preserve"> SOL, MAI</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29866" w14:textId="77777777" w:rsidR="00D91B13" w:rsidRPr="00F46E1A" w:rsidRDefault="00D91B13" w:rsidP="00D91B13">
            <w:pPr>
              <w:jc w:val="center"/>
              <w:rPr>
                <w:rFonts w:ascii="Garamond" w:eastAsia="Times New Roman" w:hAnsi="Garamond" w:cs="Times New Roman"/>
                <w:b/>
                <w:bCs/>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D7C9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0EAD8"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E3956"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A5C0E"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A475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0482"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CC265"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A8E5C"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427F5"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D8EE4"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F6CBC"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5311"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EAD3B"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8AC8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DF15FF"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D3F2" w14:textId="0BCA4C71" w:rsidR="00D91B13" w:rsidRPr="00D91B13"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8 050 000</w:t>
            </w:r>
          </w:p>
        </w:tc>
      </w:tr>
      <w:tr w:rsidR="00D91B13" w:rsidRPr="008E37BB" w14:paraId="756A1BBE"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8691D3E" w14:textId="77777777" w:rsidR="00D91B13" w:rsidRPr="00441BCC" w:rsidRDefault="00D91B13" w:rsidP="00D91B13">
            <w:pPr>
              <w:spacing w:after="240"/>
              <w:rPr>
                <w:rFonts w:ascii="Garamond" w:hAnsi="Garamond"/>
                <w:sz w:val="20"/>
                <w:szCs w:val="20"/>
                <w:lang w:val="fr-FR"/>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3938A25" w14:textId="259C5146"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9</w:t>
            </w:r>
            <w:r w:rsidRPr="00EB750A">
              <w:rPr>
                <w:rFonts w:ascii="Garamond" w:hAnsi="Garamond"/>
                <w:sz w:val="20"/>
                <w:szCs w:val="20"/>
                <w:lang w:val="pt-PT"/>
              </w:rPr>
              <w:t xml:space="preserve">. Definir e implementar um plano de formação, parcerias e seguimento das capacidades de género da PN para o atendimento especializado às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(nos </w:t>
            </w:r>
            <w:proofErr w:type="spellStart"/>
            <w:r w:rsidRPr="00EB750A">
              <w:rPr>
                <w:rFonts w:ascii="Garamond" w:hAnsi="Garamond"/>
                <w:sz w:val="20"/>
                <w:szCs w:val="20"/>
                <w:lang w:val="pt-PT"/>
              </w:rPr>
              <w:t>GAV</w:t>
            </w:r>
            <w:proofErr w:type="spellEnd"/>
            <w:r w:rsidRPr="00EB750A">
              <w:rPr>
                <w:rFonts w:ascii="Garamond" w:hAnsi="Garamond"/>
                <w:sz w:val="20"/>
                <w:szCs w:val="20"/>
                <w:lang w:val="pt-PT"/>
              </w:rPr>
              <w:t>, hospitais centrais, formação inicial, atendimento linha 132, etc.).</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7973E"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1EB49" w14:textId="77777777" w:rsidR="00D91B13" w:rsidRPr="00441BCC" w:rsidRDefault="00D91B13" w:rsidP="00D91B13">
            <w:pPr>
              <w:jc w:val="center"/>
              <w:rPr>
                <w:rFonts w:ascii="Garamond" w:eastAsia="Times New Roman" w:hAnsi="Garamond" w:cs="Times New Roman"/>
                <w:color w:val="000000"/>
                <w:sz w:val="20"/>
                <w:szCs w:val="20"/>
                <w:lang w:val="fr-FR" w:eastAsia="es-ES"/>
              </w:rPr>
            </w:pPr>
            <w:proofErr w:type="spellStart"/>
            <w:r w:rsidRPr="00441BCC">
              <w:rPr>
                <w:rFonts w:ascii="Garamond" w:eastAsia="Times New Roman" w:hAnsi="Garamond" w:cs="Times New Roman"/>
                <w:color w:val="000000"/>
                <w:sz w:val="20"/>
                <w:szCs w:val="20"/>
                <w:lang w:val="fr-FR" w:eastAsia="es-ES"/>
              </w:rPr>
              <w:t>ICIEG</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CAV</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Rede</w:t>
            </w:r>
            <w:proofErr w:type="spellEnd"/>
            <w:r w:rsidRPr="00441BCC">
              <w:rPr>
                <w:rFonts w:ascii="Garamond" w:eastAsia="Times New Roman" w:hAnsi="Garamond" w:cs="Times New Roman"/>
                <w:color w:val="000000"/>
                <w:sz w:val="20"/>
                <w:szCs w:val="20"/>
                <w:lang w:val="fr-FR" w:eastAsia="es-ES"/>
              </w:rPr>
              <w:t xml:space="preserve"> SOL, MAI</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C071E" w14:textId="77777777" w:rsidR="00D91B13" w:rsidRPr="00F46E1A" w:rsidRDefault="00D91B13" w:rsidP="00D91B13">
            <w:pPr>
              <w:jc w:val="center"/>
              <w:rPr>
                <w:rFonts w:ascii="Garamond" w:eastAsia="Times New Roman" w:hAnsi="Garamond" w:cs="Times New Roman"/>
                <w:b/>
                <w:bCs/>
                <w:color w:val="000000"/>
                <w:sz w:val="12"/>
                <w:szCs w:val="12"/>
                <w:lang w:val="fr-FR"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9DB33"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AEA13" w14:textId="50D90AD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2BDBB" w14:textId="348797D8"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9F2D"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85F15"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8B6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17E1"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4CE15"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2D013" w14:textId="04B2CA80"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53794"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1F7F6" w14:textId="1E336888"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9859"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B4B1A" w14:textId="0BE65E7D"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3CE3D5"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D55D8" w14:textId="7293F82F"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32CCA" w14:textId="6AE338FB" w:rsidR="00D91B13" w:rsidRPr="00D91B13"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2 020 000</w:t>
            </w:r>
          </w:p>
        </w:tc>
      </w:tr>
      <w:tr w:rsidR="00D91B13" w:rsidRPr="008E37BB" w14:paraId="28CC7B88"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2B74A7A" w14:textId="77777777" w:rsidR="00D91B13" w:rsidRPr="00441BCC" w:rsidRDefault="00D91B13" w:rsidP="00D91B13">
            <w:pPr>
              <w:spacing w:after="240"/>
              <w:rPr>
                <w:rFonts w:ascii="Garamond" w:hAnsi="Garamond"/>
                <w:sz w:val="20"/>
                <w:szCs w:val="20"/>
                <w:lang w:val="fr-FR"/>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CB0E6F0" w14:textId="689ED12A"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w:t>
            </w:r>
            <w:r>
              <w:rPr>
                <w:rFonts w:ascii="Garamond" w:hAnsi="Garamond"/>
                <w:sz w:val="20"/>
                <w:szCs w:val="20"/>
                <w:lang w:val="pt-PT"/>
              </w:rPr>
              <w:t>10</w:t>
            </w:r>
            <w:r w:rsidRPr="00EB750A">
              <w:rPr>
                <w:rFonts w:ascii="Garamond" w:hAnsi="Garamond"/>
                <w:sz w:val="20"/>
                <w:szCs w:val="20"/>
                <w:lang w:val="pt-PT"/>
              </w:rPr>
              <w:t>. Reforçar a formação sobre o Manual de Procedimentos da PN e desenvolver instrumentos de seguimento da sua implementação integral e sistemática.</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85D02"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4DBB6" w14:textId="77777777" w:rsidR="00D91B13" w:rsidRPr="00441BCC" w:rsidRDefault="00D91B13" w:rsidP="00D91B13">
            <w:pPr>
              <w:jc w:val="center"/>
              <w:rPr>
                <w:rFonts w:ascii="Garamond" w:eastAsia="Times New Roman" w:hAnsi="Garamond" w:cs="Times New Roman"/>
                <w:color w:val="000000"/>
                <w:sz w:val="20"/>
                <w:szCs w:val="20"/>
                <w:lang w:val="fr-FR" w:eastAsia="es-ES"/>
              </w:rPr>
            </w:pPr>
            <w:proofErr w:type="spellStart"/>
            <w:r w:rsidRPr="00441BCC">
              <w:rPr>
                <w:rFonts w:ascii="Garamond" w:eastAsia="Times New Roman" w:hAnsi="Garamond" w:cs="Times New Roman"/>
                <w:color w:val="000000"/>
                <w:sz w:val="20"/>
                <w:szCs w:val="20"/>
                <w:lang w:val="fr-FR" w:eastAsia="es-ES"/>
              </w:rPr>
              <w:t>ICIEG</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CAV</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Rede</w:t>
            </w:r>
            <w:proofErr w:type="spellEnd"/>
            <w:r w:rsidRPr="00441BCC">
              <w:rPr>
                <w:rFonts w:ascii="Garamond" w:eastAsia="Times New Roman" w:hAnsi="Garamond" w:cs="Times New Roman"/>
                <w:color w:val="000000"/>
                <w:sz w:val="20"/>
                <w:szCs w:val="20"/>
                <w:lang w:val="fr-FR" w:eastAsia="es-ES"/>
              </w:rPr>
              <w:t xml:space="preserve"> SOL, MAI</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DA19E" w14:textId="77777777" w:rsidR="00D91B13" w:rsidRPr="00F46E1A" w:rsidRDefault="00D91B13" w:rsidP="00D91B13">
            <w:pPr>
              <w:jc w:val="center"/>
              <w:rPr>
                <w:rFonts w:ascii="Garamond" w:eastAsia="Times New Roman" w:hAnsi="Garamond" w:cs="Times New Roman"/>
                <w:b/>
                <w:bCs/>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E15B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32BB3"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04A4B" w14:textId="77777777" w:rsidR="00D91B13" w:rsidRPr="00F46E1A" w:rsidRDefault="00D91B13" w:rsidP="00D91B13">
            <w:pPr>
              <w:jc w:val="center"/>
              <w:rPr>
                <w:rFonts w:ascii="Garamond" w:eastAsia="Times New Roman" w:hAnsi="Garamond" w:cs="Times New Roman"/>
                <w:color w:val="000000"/>
                <w:sz w:val="12"/>
                <w:szCs w:val="12"/>
                <w:lang w:val="fr-FR"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FEF809"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E5479"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B92AE"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6E632"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9BC7E"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10DAF"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6B93C"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CF14A"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216A17"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D5C3"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78C5"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E2317" w14:textId="77777777" w:rsidR="00D91B13" w:rsidRPr="00F46E1A" w:rsidRDefault="00D91B13" w:rsidP="00D91B13">
            <w:pPr>
              <w:jc w:val="center"/>
              <w:rPr>
                <w:rFonts w:ascii="Garamond" w:eastAsia="Times New Roman" w:hAnsi="Garamond" w:cs="Times New Roman"/>
                <w:color w:val="000000"/>
                <w:sz w:val="12"/>
                <w:szCs w:val="12"/>
                <w:lang w:val="fr-FR"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4F735" w14:textId="2A0DDC49" w:rsidR="00D91B13" w:rsidRPr="00D91B13"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605 000</w:t>
            </w:r>
          </w:p>
        </w:tc>
      </w:tr>
      <w:tr w:rsidR="00D91B13" w:rsidRPr="00B923BB" w14:paraId="59E3D900"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47ABCAA0" w14:textId="77777777" w:rsidR="00D91B13" w:rsidRPr="00441BCC" w:rsidRDefault="00D91B13" w:rsidP="00D91B13">
            <w:pPr>
              <w:spacing w:after="240"/>
              <w:rPr>
                <w:rFonts w:ascii="Garamond" w:hAnsi="Garamond"/>
                <w:sz w:val="20"/>
                <w:szCs w:val="20"/>
                <w:lang w:val="fr-FR"/>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893B23" w14:textId="21A3BFA7"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2.3.1</w:t>
            </w:r>
            <w:r>
              <w:rPr>
                <w:rFonts w:ascii="Garamond" w:hAnsi="Garamond"/>
                <w:sz w:val="20"/>
                <w:szCs w:val="20"/>
                <w:lang w:val="pt-PT"/>
              </w:rPr>
              <w:t>1</w:t>
            </w:r>
            <w:r w:rsidRPr="00EB750A">
              <w:rPr>
                <w:rFonts w:ascii="Garamond" w:hAnsi="Garamond"/>
                <w:sz w:val="20"/>
                <w:szCs w:val="20"/>
                <w:lang w:val="pt-PT"/>
              </w:rPr>
              <w:t xml:space="preserve">. Estudar as experiências existentes em Cabo Verde e no estrangeiro de linhas telefónicas específicas de apoio grátis à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 recomendar e implementar cenários para a sua implementação sustentável.</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E6D7B"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D144" w14:textId="77777777" w:rsidR="00D91B13" w:rsidRPr="00EB750A" w:rsidRDefault="00D91B13" w:rsidP="00D91B13">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ICCA</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ADF6B" w14:textId="77777777" w:rsidR="00D91B13" w:rsidRPr="00F46E1A" w:rsidRDefault="00D91B13" w:rsidP="00D91B13">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9CACF"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65737"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CC806"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926F5C"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70CD0"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7315"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DFA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A8FE3"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ED43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C089F7"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799AD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367A07"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7F460C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133B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99DEA1"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E9695" w14:textId="70C8B3F5"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585 000</w:t>
            </w:r>
          </w:p>
        </w:tc>
      </w:tr>
      <w:tr w:rsidR="00D91B13" w:rsidRPr="00B923BB" w14:paraId="5A73D58F"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1508AD0B"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8E342E3" w14:textId="651E4AC0"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2.3.1</w:t>
            </w:r>
            <w:r>
              <w:rPr>
                <w:rFonts w:ascii="Garamond" w:hAnsi="Garamond"/>
                <w:sz w:val="20"/>
                <w:szCs w:val="20"/>
                <w:lang w:val="pt-PT"/>
              </w:rPr>
              <w:t>2</w:t>
            </w:r>
            <w:r w:rsidRPr="00EB750A">
              <w:rPr>
                <w:rFonts w:ascii="Garamond" w:hAnsi="Garamond"/>
                <w:sz w:val="20"/>
                <w:szCs w:val="20"/>
                <w:lang w:val="pt-PT"/>
              </w:rPr>
              <w:t xml:space="preserve">. Definir e implementar uma estratégia para a institucionalização das respostas à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 </w:t>
            </w:r>
            <w:proofErr w:type="spellStart"/>
            <w:r w:rsidRPr="00EB750A">
              <w:rPr>
                <w:rFonts w:ascii="Garamond" w:hAnsi="Garamond"/>
                <w:sz w:val="20"/>
                <w:szCs w:val="20"/>
                <w:lang w:val="pt-PT"/>
              </w:rPr>
              <w:t>setor</w:t>
            </w:r>
            <w:proofErr w:type="spellEnd"/>
            <w:r w:rsidRPr="00EB750A">
              <w:rPr>
                <w:rFonts w:ascii="Garamond" w:hAnsi="Garamond"/>
                <w:sz w:val="20"/>
                <w:szCs w:val="20"/>
                <w:lang w:val="pt-PT"/>
              </w:rPr>
              <w:t xml:space="preserve"> da saúde (cumprimento dos procedimentos definidos, atendimento às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encaminhamento e contra referência para serviços de tratamento para alcoolismo/saúde mental, etc.).</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9A14F" w14:textId="77777777" w:rsidR="00D91B13" w:rsidRPr="00441BCC" w:rsidRDefault="00D91B13" w:rsidP="00D91B13">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DNS/</w:t>
            </w:r>
            <w:proofErr w:type="spellStart"/>
            <w:r w:rsidRPr="00441BCC">
              <w:rPr>
                <w:rFonts w:ascii="Garamond" w:eastAsia="Times New Roman" w:hAnsi="Garamond" w:cs="Times New Roman"/>
                <w:color w:val="000000"/>
                <w:sz w:val="20"/>
                <w:szCs w:val="20"/>
                <w:lang w:eastAsia="es-ES"/>
              </w:rPr>
              <w:t>MSS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E18EE" w14:textId="77777777" w:rsidR="00D91B13" w:rsidRPr="00EB750A" w:rsidRDefault="00D91B13" w:rsidP="00D91B13">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Rede SOL, Delegacias e Centros de Saúde, Hospitais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F5C5F" w14:textId="77777777" w:rsidR="00D91B13" w:rsidRPr="00F46E1A" w:rsidRDefault="00D91B13" w:rsidP="00D91B13">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7704B"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BC788"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2A7E4"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967F"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303F"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0BDE0"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0FDD0"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5DA5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559B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0EC0C"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C654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5EAE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31436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4D6E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57D7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B0961" w14:textId="2F2B0C0D"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3 155 000</w:t>
            </w:r>
          </w:p>
        </w:tc>
      </w:tr>
      <w:tr w:rsidR="00D91B13" w:rsidRPr="00B923BB" w14:paraId="3A9AF164"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8D4AA97"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1BF4" w14:textId="22318265"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2.3.1</w:t>
            </w:r>
            <w:r>
              <w:rPr>
                <w:rFonts w:ascii="Garamond" w:hAnsi="Garamond"/>
                <w:sz w:val="20"/>
                <w:szCs w:val="20"/>
                <w:lang w:val="pt-PT"/>
              </w:rPr>
              <w:t>3</w:t>
            </w:r>
            <w:r w:rsidRPr="00EB750A">
              <w:rPr>
                <w:rFonts w:ascii="Garamond" w:hAnsi="Garamond"/>
                <w:sz w:val="20"/>
                <w:szCs w:val="20"/>
                <w:lang w:val="pt-PT"/>
              </w:rPr>
              <w:t xml:space="preserve">. Desenvolver e pilotar uma abordagem específica de serviços de apoio adaptada à realidade das mulheres com deficiência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A22DB"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APIMUD</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7DC6A" w14:textId="77777777" w:rsidR="00D91B13" w:rsidRPr="00EB750A" w:rsidRDefault="00D91B13" w:rsidP="00D91B13">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Associações de </w:t>
            </w:r>
            <w:proofErr w:type="spellStart"/>
            <w:r w:rsidRPr="00EB750A">
              <w:rPr>
                <w:rFonts w:ascii="Garamond" w:eastAsia="Times New Roman" w:hAnsi="Garamond" w:cs="Times New Roman"/>
                <w:color w:val="000000"/>
                <w:sz w:val="20"/>
                <w:szCs w:val="20"/>
                <w:lang w:val="pt-PT" w:eastAsia="es-ES"/>
              </w:rPr>
              <w:t>PcD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Delegacia de Saúde, PN, </w:t>
            </w:r>
            <w:proofErr w:type="spellStart"/>
            <w:r w:rsidRPr="00EB750A">
              <w:rPr>
                <w:rFonts w:ascii="Garamond" w:eastAsia="Times New Roman" w:hAnsi="Garamond" w:cs="Times New Roman"/>
                <w:color w:val="000000"/>
                <w:sz w:val="20"/>
                <w:szCs w:val="20"/>
                <w:lang w:val="pt-PT" w:eastAsia="es-ES"/>
              </w:rPr>
              <w:t>OSC</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F9DF9" w14:textId="77777777" w:rsidR="00D91B13" w:rsidRPr="00F46E1A" w:rsidRDefault="00D91B13" w:rsidP="00D91B13">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C11EB"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D825E5"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2A941"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409B6"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88EB"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A29EAC"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E1DB3"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6477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E0D914"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4B23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62C5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0EF10"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9FF54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919509"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F57DB"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A4161" w14:textId="217A25F1"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2 000 000</w:t>
            </w:r>
          </w:p>
        </w:tc>
      </w:tr>
      <w:tr w:rsidR="00D91B13" w:rsidRPr="00B923BB" w14:paraId="50B5FAF1"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652B6A49"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D994E02" w14:textId="7CAA1250"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2.3.1</w:t>
            </w:r>
            <w:r>
              <w:rPr>
                <w:rFonts w:ascii="Garamond" w:hAnsi="Garamond"/>
                <w:sz w:val="20"/>
                <w:szCs w:val="20"/>
                <w:lang w:val="pt-PT"/>
              </w:rPr>
              <w:t>4</w:t>
            </w:r>
            <w:r w:rsidRPr="00EB750A">
              <w:rPr>
                <w:rFonts w:ascii="Garamond" w:hAnsi="Garamond"/>
                <w:sz w:val="20"/>
                <w:szCs w:val="20"/>
                <w:lang w:val="pt-PT"/>
              </w:rPr>
              <w:t xml:space="preserve">. Estabelecer um cenário viável para a operacionalização de casas de abrigo.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441"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6B4" w14:textId="77777777" w:rsidR="00D91B13" w:rsidRPr="00EB750A" w:rsidRDefault="00D91B13" w:rsidP="00D91B13">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MJ</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67DDC" w14:textId="77777777" w:rsidR="00D91B13" w:rsidRPr="00F46E1A" w:rsidRDefault="00D91B13" w:rsidP="00D91B13">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872BEE" w14:textId="77777777" w:rsidR="00D91B13" w:rsidRPr="00F46E1A" w:rsidRDefault="00D91B13" w:rsidP="00D91B13">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CF61E"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AC0A0"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CB14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BD929D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D00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D0896B5"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A6DA1"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C851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AA7C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2A69B"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E4CB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020277"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E255DFB"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933C5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1E30" w14:textId="660E5282"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745 000</w:t>
            </w:r>
          </w:p>
        </w:tc>
      </w:tr>
      <w:tr w:rsidR="00B56FED" w:rsidRPr="00B923BB" w14:paraId="0A4974D1" w14:textId="77777777" w:rsidTr="00937340">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7068D1C7" w14:textId="77777777" w:rsidR="00B56FED" w:rsidRPr="00441BCC" w:rsidRDefault="00B56FED" w:rsidP="00B56FED">
            <w:pPr>
              <w:spacing w:after="240"/>
              <w:rPr>
                <w:rFonts w:ascii="Garamond" w:eastAsia="Times New Roman" w:hAnsi="Garamond" w:cs="Times New Roman"/>
                <w:color w:val="000000"/>
                <w:sz w:val="20"/>
                <w:szCs w:val="20"/>
                <w:lang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4C485" w14:textId="05380826" w:rsidR="00B56FED" w:rsidRPr="00EB750A" w:rsidRDefault="00B56FED" w:rsidP="00B56FE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2.3.1</w:t>
            </w:r>
            <w:r w:rsidR="0051346D">
              <w:rPr>
                <w:rFonts w:ascii="Garamond" w:hAnsi="Garamond"/>
                <w:sz w:val="20"/>
                <w:szCs w:val="20"/>
                <w:lang w:val="pt-PT"/>
              </w:rPr>
              <w:t>5</w:t>
            </w:r>
            <w:r w:rsidRPr="00EB750A">
              <w:rPr>
                <w:rFonts w:ascii="Garamond" w:hAnsi="Garamond"/>
                <w:sz w:val="20"/>
                <w:szCs w:val="20"/>
                <w:lang w:val="pt-PT"/>
              </w:rPr>
              <w:t xml:space="preserve">. Consolidar o funcionamento das casas de abrigo existentes, incluindo espaços de passagem, e estabelecer protocolos de encaminhamento de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D44B" w14:textId="77777777" w:rsidR="00B56FED" w:rsidRPr="00441BCC" w:rsidRDefault="00B56FED" w:rsidP="00B56FED">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2103" w14:textId="77777777" w:rsidR="00B56FED" w:rsidRPr="00441BCC" w:rsidRDefault="00B56FED" w:rsidP="00B56FED">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 xml:space="preserve">CAV, Rede SOL, </w:t>
            </w:r>
            <w:proofErr w:type="spellStart"/>
            <w:r w:rsidRPr="00441BCC">
              <w:rPr>
                <w:rFonts w:ascii="Garamond" w:eastAsia="Times New Roman" w:hAnsi="Garamond" w:cs="Times New Roman"/>
                <w:color w:val="000000"/>
                <w:sz w:val="20"/>
                <w:szCs w:val="20"/>
                <w:lang w:eastAsia="es-ES"/>
              </w:rPr>
              <w:t>OSC</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310D6" w14:textId="77777777" w:rsidR="00B56FED" w:rsidRPr="00F46E1A" w:rsidRDefault="00B56FED" w:rsidP="00B56FED">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9A3AD" w14:textId="77777777" w:rsidR="00B56FED" w:rsidRPr="00F46E1A" w:rsidRDefault="00B56FED" w:rsidP="00B56FE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91E0F" w14:textId="77777777" w:rsidR="00B56FED" w:rsidRPr="00F46E1A" w:rsidRDefault="00B56FED" w:rsidP="00B56FE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2E2BD" w14:textId="77777777" w:rsidR="00B56FED" w:rsidRPr="00F46E1A" w:rsidRDefault="00B56FED" w:rsidP="00B56FED">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15CD4"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307B5"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B8AAA"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336269"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615C"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AF326"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E9B7F"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034CC"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BF668E7"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2323E3"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247741"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FFF6DF" w14:textId="77777777" w:rsidR="00B56FED" w:rsidRPr="00F46E1A" w:rsidRDefault="00B56FED" w:rsidP="00B56FED">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7EF5" w14:textId="1B0861E6" w:rsidR="00B56FED" w:rsidRPr="00441BCC" w:rsidRDefault="00937340" w:rsidP="00B56FED">
            <w:pPr>
              <w:rPr>
                <w:rFonts w:ascii="Garamond" w:eastAsia="Times New Roman" w:hAnsi="Garamond" w:cs="Times New Roman"/>
                <w:color w:val="000000"/>
                <w:sz w:val="20"/>
                <w:szCs w:val="20"/>
                <w:lang w:eastAsia="es-ES"/>
              </w:rPr>
            </w:pPr>
            <w:r w:rsidRPr="00390034">
              <w:rPr>
                <w:rFonts w:ascii="Garamond" w:hAnsi="Garamond"/>
                <w:i/>
                <w:iCs/>
                <w:sz w:val="20"/>
                <w:szCs w:val="20"/>
                <w:lang w:val="pt-PT"/>
              </w:rPr>
              <w:t>junto com 2.</w:t>
            </w:r>
            <w:r>
              <w:rPr>
                <w:rFonts w:ascii="Garamond" w:hAnsi="Garamond"/>
                <w:i/>
                <w:iCs/>
                <w:sz w:val="20"/>
                <w:szCs w:val="20"/>
                <w:lang w:val="pt-PT"/>
              </w:rPr>
              <w:t>3.13</w:t>
            </w:r>
          </w:p>
        </w:tc>
      </w:tr>
      <w:tr w:rsidR="00D91B13" w:rsidRPr="00B923BB" w14:paraId="14AD711C"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3F133A69" w14:textId="77777777" w:rsidR="00D91B13" w:rsidRPr="00EB750A" w:rsidRDefault="00D91B13" w:rsidP="00D91B13">
            <w:pPr>
              <w:spacing w:after="240"/>
              <w:rPr>
                <w:rFonts w:ascii="Garamond" w:hAnsi="Garamond"/>
                <w:sz w:val="20"/>
                <w:szCs w:val="20"/>
                <w:lang w:val="pt-PT"/>
              </w:rPr>
            </w:pPr>
            <w:r w:rsidRPr="00EB750A">
              <w:rPr>
                <w:rFonts w:ascii="Garamond" w:hAnsi="Garamond"/>
                <w:sz w:val="20"/>
                <w:szCs w:val="20"/>
                <w:lang w:val="pt-PT"/>
              </w:rPr>
              <w:t xml:space="preserve">2.4. Ampliado o acesso das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a uma justiça célere e sensível ao género e a assistência judiciária</w:t>
            </w: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B4A8BB" w14:textId="77777777"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2.4.1. Contribuir para uma proposta de Lei específica sobre Abuso e Exploração de Crianças e Adolescentes sensível ao género.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9FEED"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RMP</w:t>
            </w:r>
            <w:proofErr w:type="spellEnd"/>
            <w:r w:rsidRPr="00441BCC">
              <w:rPr>
                <w:rFonts w:ascii="Garamond" w:eastAsia="Times New Roman" w:hAnsi="Garamond" w:cs="Times New Roman"/>
                <w:color w:val="000000"/>
                <w:sz w:val="20"/>
                <w:szCs w:val="20"/>
                <w:lang w:eastAsia="es-ES"/>
              </w:rPr>
              <w:t>-CV</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5A0A3"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0858D" w14:textId="77777777" w:rsidR="00D91B13" w:rsidRPr="00F46E1A" w:rsidRDefault="00D91B13" w:rsidP="00D91B13">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0411F"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F265E"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FB167"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57A4F"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A203E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7BF77A"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2D1DF43"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EBBF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D0C01"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27214"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F62CD"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8E1DC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31923D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28E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ADD1E7"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A564C" w14:textId="504111A9"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D91B13" w:rsidRPr="00B923BB" w14:paraId="4A9B686B"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5CD90E4B"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064C42" w14:textId="77777777"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2.4.2. Elaborar e implementar cenários de reforço institucional imediato que viabilize o cumprimento dos prazos processuais da Lei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por parte das Procuradorias e Tribunais.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840DE" w14:textId="77777777" w:rsidR="00D91B13" w:rsidRPr="00F941A2" w:rsidRDefault="00D91B13" w:rsidP="00D91B13">
            <w:pPr>
              <w:jc w:val="center"/>
              <w:rPr>
                <w:rFonts w:ascii="Garamond" w:eastAsia="Times New Roman" w:hAnsi="Garamond" w:cs="Times New Roman"/>
                <w:sz w:val="20"/>
                <w:szCs w:val="20"/>
                <w:lang w:eastAsia="es-ES"/>
              </w:rPr>
            </w:pPr>
            <w:proofErr w:type="spellStart"/>
            <w:r w:rsidRPr="00F941A2">
              <w:rPr>
                <w:rFonts w:ascii="Garamond" w:eastAsia="Times New Roman" w:hAnsi="Garamond" w:cs="Times New Roman"/>
                <w:sz w:val="20"/>
                <w:szCs w:val="20"/>
                <w:lang w:eastAsia="es-ES"/>
              </w:rPr>
              <w:t>CSMP</w:t>
            </w:r>
            <w:proofErr w:type="spellEnd"/>
          </w:p>
          <w:p w14:paraId="2BCD43AA" w14:textId="77777777" w:rsidR="00D91B13" w:rsidRPr="00441BCC" w:rsidRDefault="00D91B13" w:rsidP="00D91B13">
            <w:pPr>
              <w:jc w:val="center"/>
              <w:rPr>
                <w:rFonts w:ascii="Garamond" w:eastAsia="Times New Roman" w:hAnsi="Garamond" w:cs="Times New Roman"/>
                <w:color w:val="FF0000"/>
                <w:sz w:val="20"/>
                <w:szCs w:val="20"/>
                <w:lang w:eastAsia="es-ES"/>
              </w:rPr>
            </w:pPr>
            <w:proofErr w:type="spellStart"/>
            <w:r w:rsidRPr="00F941A2">
              <w:rPr>
                <w:rFonts w:ascii="Garamond" w:eastAsia="Times New Roman" w:hAnsi="Garamond" w:cs="Times New Roman"/>
                <w:sz w:val="20"/>
                <w:szCs w:val="20"/>
                <w:lang w:eastAsia="es-ES"/>
              </w:rPr>
              <w:t>CSMJ</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9A161" w14:textId="77777777" w:rsidR="00D91B13" w:rsidRPr="00441BCC" w:rsidRDefault="00D91B13" w:rsidP="00D91B13">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MJ</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A0F12A" w14:textId="77777777" w:rsidR="00D91B13" w:rsidRPr="00F46E1A" w:rsidRDefault="00D91B13" w:rsidP="00D91B13">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09387"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86F86"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B141C"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F6B5C"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6858F"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E9052"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7DAC"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8E7E8"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58080"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FAACF"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887DD"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0F9C1"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A6476"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ECBE"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01D4"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DC76" w14:textId="6B4F6BEA"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D91B13" w:rsidRPr="00B923BB" w14:paraId="4FB65B96"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4701AAA3" w14:textId="77777777" w:rsidR="00D91B13" w:rsidRPr="00441BCC" w:rsidRDefault="00D91B13" w:rsidP="00D91B13">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5FBF9EC" w14:textId="77777777" w:rsidR="00D91B13" w:rsidRPr="00EB750A" w:rsidRDefault="00D91B13" w:rsidP="00D91B13">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2.4.3 Integrar especialistas de género/</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 grupo de trabalho do MJ que coordena a elaboração da proposta de alteração de procedimentos e instrumentos judiciais.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F89E2" w14:textId="77777777" w:rsidR="00D91B13" w:rsidRPr="00441BCC" w:rsidRDefault="00D91B13" w:rsidP="00D91B13">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970F4" w14:textId="77777777" w:rsidR="00D91B13" w:rsidRPr="00441BCC" w:rsidRDefault="00D91B13" w:rsidP="00D91B13">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AMJ</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F0FE9" w14:textId="77777777" w:rsidR="00D91B13" w:rsidRPr="00F46E1A" w:rsidRDefault="00D91B13" w:rsidP="00D91B13">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6497" w14:textId="77777777" w:rsidR="00D91B13" w:rsidRPr="00F46E1A" w:rsidRDefault="00D91B13" w:rsidP="00D91B13">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9D3F1"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48B48"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5034FB"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D434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DA8FD9"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533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F6272"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058A0"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4C837"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81DADE"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B65E4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4B8549"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523E6"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D7F1B59" w14:textId="77777777" w:rsidR="00D91B13" w:rsidRPr="00F46E1A" w:rsidRDefault="00D91B13" w:rsidP="00D91B13">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91BA5" w14:textId="60EBE2F2" w:rsidR="00D91B13" w:rsidRPr="00441BCC" w:rsidRDefault="00D91B13" w:rsidP="00D91B13">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F24D65" w:rsidRPr="00B923BB" w14:paraId="083F8A9C"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1E470BF"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3C60E67"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2.4.4. Realizar, para os processos por crime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um mapeamento dos pontos de estrangulamento no fluxo de aplicação da Lei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a nível das Procuradorias e Tribunais, e implementar as recomendações de melhoria.</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3560A"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A88F"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sz w:val="20"/>
                <w:szCs w:val="20"/>
                <w:lang w:eastAsia="es-ES"/>
              </w:rPr>
              <w:t>CSMP</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CSMJ</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AMJ</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OACV</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73137"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7FED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7911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5C7D1"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F7A1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A892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DB3F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D765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224F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585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9E85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2DFD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32289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D4B77B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C083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14C97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130F2" w14:textId="61A0D237"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1 840 000</w:t>
            </w:r>
          </w:p>
        </w:tc>
      </w:tr>
      <w:tr w:rsidR="00F24D65" w:rsidRPr="00B923BB" w14:paraId="0705A011"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08B53C38"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D3F701"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2.4.5. Zelar </w:t>
            </w:r>
            <w:proofErr w:type="spellStart"/>
            <w:r w:rsidRPr="00EB750A">
              <w:rPr>
                <w:rFonts w:ascii="Garamond" w:hAnsi="Garamond"/>
                <w:sz w:val="20"/>
                <w:szCs w:val="20"/>
                <w:lang w:val="pt-PT"/>
              </w:rPr>
              <w:t>pela</w:t>
            </w:r>
            <w:proofErr w:type="spellEnd"/>
            <w:r w:rsidRPr="00EB750A">
              <w:rPr>
                <w:rFonts w:ascii="Garamond" w:hAnsi="Garamond"/>
                <w:sz w:val="20"/>
                <w:szCs w:val="20"/>
                <w:lang w:val="pt-PT"/>
              </w:rPr>
              <w:t xml:space="preserve"> emissão de directrizes </w:t>
            </w:r>
            <w:proofErr w:type="spellStart"/>
            <w:r w:rsidRPr="00EB750A">
              <w:rPr>
                <w:rFonts w:ascii="Garamond" w:hAnsi="Garamond"/>
                <w:sz w:val="20"/>
                <w:szCs w:val="20"/>
                <w:lang w:val="pt-PT"/>
              </w:rPr>
              <w:t>pelo</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CSMJ</w:t>
            </w:r>
            <w:proofErr w:type="spellEnd"/>
            <w:r w:rsidRPr="00EB750A">
              <w:rPr>
                <w:rFonts w:ascii="Garamond" w:hAnsi="Garamond"/>
                <w:sz w:val="20"/>
                <w:szCs w:val="20"/>
                <w:lang w:val="pt-PT"/>
              </w:rPr>
              <w:t xml:space="preserve"> para o registo separado das situações de suspensão provisória do processo por crime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do seu consequente arquivamento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79FDA"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F941A2">
              <w:rPr>
                <w:rFonts w:ascii="Garamond" w:eastAsia="Times New Roman" w:hAnsi="Garamond" w:cs="Times New Roman"/>
                <w:sz w:val="20"/>
                <w:szCs w:val="20"/>
                <w:lang w:eastAsia="es-ES"/>
              </w:rPr>
              <w:t>CSMJ</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C5AC5"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2F2B0"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5097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9685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55F7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6F5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4AA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07C1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C07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86DB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6198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E99F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5D36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98AF5A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FDB63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54E6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E86A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FE949" w14:textId="71AD78D2"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F24D65" w:rsidRPr="00B923BB" w14:paraId="2FB3C6C1"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7DDA5A1A"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CBFA4E9"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2.4.6. Definir e implementar um plano de formação sustentada e estruturada aos magistrados, profissionais de direito e aplicadores da lei sobre igualdade de género 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65617"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162DC"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sz w:val="20"/>
                <w:szCs w:val="20"/>
                <w:lang w:eastAsia="es-ES"/>
              </w:rPr>
              <w:t>CSMP</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CSMJ</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OACV</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AMJ</w:t>
            </w:r>
            <w:proofErr w:type="spellEnd"/>
            <w:r w:rsidRPr="00441BCC">
              <w:rPr>
                <w:rFonts w:ascii="Garamond" w:eastAsia="Times New Roman" w:hAnsi="Garamond" w:cs="Times New Roman"/>
                <w:sz w:val="20"/>
                <w:szCs w:val="20"/>
                <w:lang w:eastAsia="es-ES"/>
              </w:rPr>
              <w:t xml:space="preserve">, </w:t>
            </w:r>
            <w:proofErr w:type="spellStart"/>
            <w:r w:rsidRPr="00441BCC">
              <w:rPr>
                <w:rFonts w:ascii="Garamond" w:eastAsia="Times New Roman" w:hAnsi="Garamond" w:cs="Times New Roman"/>
                <w:sz w:val="20"/>
                <w:szCs w:val="20"/>
                <w:lang w:eastAsia="es-ES"/>
              </w:rPr>
              <w:t>PN</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A55BB"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7CF8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18421"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692CB" w14:textId="0A0A1275"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A676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161C"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330C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03E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C79B4"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5BE7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A1EB"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58C69"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8264"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F260C"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36D9B"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0A59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D098B" w14:textId="2700FF42"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2 756 000</w:t>
            </w:r>
          </w:p>
        </w:tc>
      </w:tr>
      <w:tr w:rsidR="00F24D65" w:rsidRPr="00B923BB" w14:paraId="67C3028B"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1EDCA8DE"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6FC75"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2.4.7. Integrar especialistas de género/</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para acompanhar o projecto de instalação do Instituto de Medicina Legal e Ciências Forenses.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C3A2" w14:textId="77777777" w:rsidR="00F24D65" w:rsidRPr="00441BCC" w:rsidRDefault="00F24D65" w:rsidP="00F24D65">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1015B"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DE24B"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F0FB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BC43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343E1" w14:textId="3F72DBDC"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D6AC"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B465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6913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D8608"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AA5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27F61"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D99C8"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17CE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25FE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5BF31"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47CF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AD21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BA056" w14:textId="08211151"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F24D65" w:rsidRPr="00B923BB" w14:paraId="2746C256"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3F457FB7"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8415490"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2.4.8. Definir e implementar estratégias para o cumprimento atempado do artigo 32º da Regulamentação da Lei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sobre a nomeação </w:t>
            </w:r>
            <w:proofErr w:type="spellStart"/>
            <w:r w:rsidRPr="00EB750A">
              <w:rPr>
                <w:rFonts w:ascii="Garamond" w:hAnsi="Garamond"/>
                <w:sz w:val="20"/>
                <w:szCs w:val="20"/>
                <w:lang w:val="pt-PT"/>
              </w:rPr>
              <w:t>pela</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OACV</w:t>
            </w:r>
            <w:proofErr w:type="spellEnd"/>
            <w:r w:rsidRPr="00EB750A">
              <w:rPr>
                <w:rFonts w:ascii="Garamond" w:hAnsi="Garamond"/>
                <w:sz w:val="20"/>
                <w:szCs w:val="20"/>
                <w:lang w:val="pt-PT"/>
              </w:rPr>
              <w:t xml:space="preserve"> de um advogado para patrocínio judiciário a pedido da vítima.</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0449"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348B"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OACV</w:t>
            </w:r>
            <w:proofErr w:type="spellEnd"/>
            <w:r w:rsidRPr="00441BCC">
              <w:rPr>
                <w:rFonts w:ascii="Garamond" w:eastAsia="Times New Roman" w:hAnsi="Garamond" w:cs="Times New Roman"/>
                <w:color w:val="000000"/>
                <w:sz w:val="20"/>
                <w:szCs w:val="20"/>
                <w:lang w:eastAsia="es-ES"/>
              </w:rPr>
              <w:t xml:space="preserve">, MJ, </w:t>
            </w:r>
            <w:proofErr w:type="spellStart"/>
            <w:r w:rsidRPr="00441BCC">
              <w:rPr>
                <w:rFonts w:ascii="Garamond" w:eastAsia="Times New Roman" w:hAnsi="Garamond" w:cs="Times New Roman"/>
                <w:color w:val="000000"/>
                <w:sz w:val="20"/>
                <w:szCs w:val="20"/>
                <w:lang w:eastAsia="es-ES"/>
              </w:rPr>
              <w:t>AMJ</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BF920A"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23F6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848D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EF0678"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036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F088AF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C9320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104C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0C55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A6D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36DF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E206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7ADE57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47CCB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E851F7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415A8D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52CA" w14:textId="77A1F6F0"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F24D65" w:rsidRPr="00B923BB" w14:paraId="4B21B5B7"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609A247F"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4771260"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2.4.9. Estudar e implementar alternativas para ampliar a concessão de assistência judiciária a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nos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e de forma geral, para promover o acesso das mulheres à justiça.</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8B87B"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A04B9"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OACV</w:t>
            </w:r>
            <w:proofErr w:type="spellEnd"/>
            <w:r w:rsidRPr="00441BCC">
              <w:rPr>
                <w:rFonts w:ascii="Garamond" w:eastAsia="Times New Roman" w:hAnsi="Garamond" w:cs="Times New Roman"/>
                <w:color w:val="000000"/>
                <w:sz w:val="20"/>
                <w:szCs w:val="20"/>
                <w:lang w:eastAsia="es-ES"/>
              </w:rPr>
              <w:t xml:space="preserve">, MJ, </w:t>
            </w:r>
            <w:proofErr w:type="spellStart"/>
            <w:r w:rsidRPr="00441BCC">
              <w:rPr>
                <w:rFonts w:ascii="Garamond" w:eastAsia="Times New Roman" w:hAnsi="Garamond" w:cs="Times New Roman"/>
                <w:color w:val="000000"/>
                <w:sz w:val="20"/>
                <w:szCs w:val="20"/>
                <w:lang w:eastAsia="es-ES"/>
              </w:rPr>
              <w:t>AMJ</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B41656"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98EA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252F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6A83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F82C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9C08"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697E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85F41B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871B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FD69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85FF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6129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395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7B915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830B6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B581CC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48290" w14:textId="4F882CE8"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410 000</w:t>
            </w:r>
          </w:p>
        </w:tc>
      </w:tr>
      <w:tr w:rsidR="00F24D65" w:rsidRPr="00B923BB" w14:paraId="64055AED"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6744FA6E"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C483CB4"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2.4.10. Desenvolver e pilotar uma abordagem específica de acesso à justiça para as mulheres com deficiência, incluindo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DB110"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APIMUD</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E8D53"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OACV</w:t>
            </w:r>
            <w:proofErr w:type="spellEnd"/>
            <w:r w:rsidRPr="00EB750A">
              <w:rPr>
                <w:rFonts w:ascii="Garamond" w:eastAsia="Times New Roman" w:hAnsi="Garamond" w:cs="Times New Roman"/>
                <w:color w:val="000000"/>
                <w:sz w:val="20"/>
                <w:szCs w:val="20"/>
                <w:lang w:val="pt-PT" w:eastAsia="es-ES"/>
              </w:rPr>
              <w:t xml:space="preserve">, MJ, </w:t>
            </w:r>
            <w:proofErr w:type="spellStart"/>
            <w:r w:rsidRPr="00EB750A">
              <w:rPr>
                <w:rFonts w:ascii="Garamond" w:eastAsia="Times New Roman" w:hAnsi="Garamond" w:cs="Times New Roman"/>
                <w:color w:val="000000"/>
                <w:sz w:val="20"/>
                <w:szCs w:val="20"/>
                <w:lang w:val="pt-PT" w:eastAsia="es-ES"/>
              </w:rPr>
              <w:t>AMJ</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associações de </w:t>
            </w:r>
            <w:proofErr w:type="spellStart"/>
            <w:r w:rsidRPr="00EB750A">
              <w:rPr>
                <w:rFonts w:ascii="Garamond" w:eastAsia="Times New Roman" w:hAnsi="Garamond" w:cs="Times New Roman"/>
                <w:color w:val="000000"/>
                <w:sz w:val="20"/>
                <w:szCs w:val="20"/>
                <w:lang w:val="pt-PT" w:eastAsia="es-ES"/>
              </w:rPr>
              <w:t>PcD</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0932E" w14:textId="77777777" w:rsidR="00F24D65" w:rsidRPr="00F46E1A" w:rsidRDefault="00F24D65" w:rsidP="00F24D65">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B0016"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F248F"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A503F"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579F9" w14:textId="406DC6CA" w:rsidR="00F24D65" w:rsidRPr="005808D4"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0D51" w14:textId="4FC7D61C" w:rsidR="00F24D65" w:rsidRPr="005808D4"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C9752" w14:textId="0B301CA6" w:rsidR="00F24D65" w:rsidRPr="005808D4"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F5CA" w14:textId="2B26D117" w:rsidR="00F24D65" w:rsidRPr="005808D4"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3076D" w14:textId="0B36F0CF"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08730" w14:textId="55C0EBE5"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F04D1" w14:textId="6526A0F5"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8B198" w14:textId="15F9BF02"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F2151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023B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080AB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ED3A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BC0EF" w14:textId="1E35367C"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1 000 000</w:t>
            </w:r>
          </w:p>
        </w:tc>
      </w:tr>
      <w:tr w:rsidR="00F24D65" w:rsidRPr="00B923BB" w14:paraId="37DC7333" w14:textId="77777777" w:rsidTr="00922684">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3C7E2897"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EE7F14F"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2.4.11. Estabelecer um sistema de seguimento do patrocínio judiciário prestado, sensível ao género, a nível do Ministério da Justiça e da </w:t>
            </w:r>
            <w:proofErr w:type="spellStart"/>
            <w:r w:rsidRPr="00EB750A">
              <w:rPr>
                <w:rFonts w:ascii="Garamond" w:hAnsi="Garamond"/>
                <w:sz w:val="20"/>
                <w:szCs w:val="20"/>
                <w:lang w:val="pt-PT"/>
              </w:rPr>
              <w:t>OACV</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15657" w14:textId="77777777" w:rsidR="00F24D65" w:rsidRPr="00441BCC" w:rsidRDefault="00F24D65" w:rsidP="00F24D65">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A1E00"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OACV</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AMJ</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DAA09"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0F269"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0898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7C7C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989DD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EC654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F6074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582B26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39B7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03A5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79E23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8E31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D24F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5E11"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5847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0B6F43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2A90F" w14:textId="7A77E46C"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255 000</w:t>
            </w:r>
          </w:p>
        </w:tc>
      </w:tr>
      <w:tr w:rsidR="00F24D65" w:rsidRPr="00B923BB" w14:paraId="4EEAEFDB"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1F3C41B2" w14:textId="77777777" w:rsidR="00F24D65" w:rsidRPr="00441BCC" w:rsidRDefault="00F24D65" w:rsidP="00F24D65">
            <w:pPr>
              <w:shd w:val="clear" w:color="auto" w:fill="FFFFFF" w:themeFill="background1"/>
              <w:rPr>
                <w:rFonts w:ascii="Garamond" w:hAnsi="Garamond" w:cs="Times New Roman"/>
                <w:bCs/>
                <w:color w:val="000000" w:themeColor="text1"/>
                <w:sz w:val="20"/>
                <w:szCs w:val="20"/>
              </w:rPr>
            </w:pPr>
            <w:r w:rsidRPr="00441BCC">
              <w:rPr>
                <w:rFonts w:ascii="Garamond" w:hAnsi="Garamond"/>
                <w:sz w:val="20"/>
                <w:szCs w:val="20"/>
              </w:rPr>
              <w:t xml:space="preserve">2.5. </w:t>
            </w:r>
            <w:proofErr w:type="spellStart"/>
            <w:r w:rsidRPr="00441BCC">
              <w:rPr>
                <w:rFonts w:ascii="Garamond" w:hAnsi="Garamond"/>
                <w:sz w:val="20"/>
                <w:szCs w:val="20"/>
              </w:rPr>
              <w:t>Prevenida</w:t>
            </w:r>
            <w:proofErr w:type="spellEnd"/>
            <w:r w:rsidRPr="00441BCC">
              <w:rPr>
                <w:rFonts w:ascii="Garamond" w:hAnsi="Garamond"/>
                <w:sz w:val="20"/>
                <w:szCs w:val="20"/>
              </w:rPr>
              <w:t xml:space="preserve"> a </w:t>
            </w:r>
            <w:proofErr w:type="spellStart"/>
            <w:r w:rsidRPr="00441BCC">
              <w:rPr>
                <w:rFonts w:ascii="Garamond" w:hAnsi="Garamond"/>
                <w:sz w:val="20"/>
                <w:szCs w:val="20"/>
              </w:rPr>
              <w:t>reincidência</w:t>
            </w:r>
            <w:proofErr w:type="spellEnd"/>
            <w:r w:rsidRPr="00441BCC">
              <w:rPr>
                <w:rFonts w:ascii="Garamond" w:hAnsi="Garamond"/>
                <w:sz w:val="20"/>
                <w:szCs w:val="20"/>
              </w:rPr>
              <w:t xml:space="preserve"> da </w:t>
            </w:r>
            <w:proofErr w:type="spellStart"/>
            <w:r w:rsidRPr="00441BCC">
              <w:rPr>
                <w:rFonts w:ascii="Garamond" w:hAnsi="Garamond"/>
                <w:sz w:val="20"/>
                <w:szCs w:val="20"/>
              </w:rPr>
              <w:t>VBG</w:t>
            </w:r>
            <w:proofErr w:type="spellEnd"/>
            <w:r w:rsidRPr="00441BCC">
              <w:rPr>
                <w:rFonts w:ascii="Garamond" w:hAnsi="Garamond"/>
                <w:sz w:val="20"/>
                <w:szCs w:val="20"/>
              </w:rPr>
              <w:t xml:space="preserve"> </w:t>
            </w:r>
          </w:p>
          <w:p w14:paraId="65B11F28" w14:textId="77777777" w:rsidR="00F24D65" w:rsidRPr="00441BCC" w:rsidRDefault="00F24D65" w:rsidP="00F24D65">
            <w:pPr>
              <w:shd w:val="clear" w:color="auto" w:fill="FFFFFF" w:themeFill="background1"/>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7052509"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2.5.1. Dar continuidade à consolidação do Programa de Reabilitação de Homens Arguidos por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em linha com as recomendações da Avaliação do Programa</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AAC7F"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DGSPRS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8895C"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CSMP</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CSMP</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A66C3" w14:textId="77777777" w:rsidR="00F24D65" w:rsidRPr="00F46E1A" w:rsidRDefault="00F24D65" w:rsidP="00F24D65">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5269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69AAB"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858D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58F04"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74E7"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DA3B4"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DE57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7EA9C"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00BE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4B33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B5F28"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E3AC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1B571"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A7F1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D42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894A3" w14:textId="6482F7F9" w:rsidR="00F24D65" w:rsidRPr="00441BCC" w:rsidRDefault="00F24D65" w:rsidP="00F24D65">
            <w:pPr>
              <w:jc w:val="center"/>
              <w:rPr>
                <w:rFonts w:ascii="Garamond" w:eastAsia="Times New Roman" w:hAnsi="Garamond" w:cs="Times New Roman"/>
                <w:color w:val="000000"/>
                <w:sz w:val="20"/>
                <w:szCs w:val="20"/>
                <w:lang w:eastAsia="es-ES"/>
              </w:rPr>
            </w:pPr>
            <w:r w:rsidRPr="00D91B13">
              <w:rPr>
                <w:rFonts w:ascii="Garamond" w:eastAsia="Times New Roman" w:hAnsi="Garamond" w:cs="Times New Roman"/>
                <w:color w:val="000000"/>
                <w:sz w:val="20"/>
                <w:szCs w:val="20"/>
                <w:lang w:eastAsia="es-ES"/>
              </w:rPr>
              <w:t>0</w:t>
            </w:r>
          </w:p>
        </w:tc>
      </w:tr>
      <w:tr w:rsidR="00F24D65" w:rsidRPr="00B923BB" w14:paraId="662B8CBE"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60078B4" w14:textId="77777777" w:rsidR="00F24D65" w:rsidRPr="00441BCC" w:rsidRDefault="00F24D65" w:rsidP="00F24D65">
            <w:pPr>
              <w:shd w:val="clear" w:color="auto" w:fill="FFFFFF" w:themeFill="background1"/>
              <w:jc w:val="both"/>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B236A8D"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2.5.2. Operacionalizar um sistema para o seguimento dos dados do Programa, a nível da </w:t>
            </w:r>
            <w:proofErr w:type="spellStart"/>
            <w:r w:rsidRPr="00EB750A">
              <w:rPr>
                <w:rFonts w:ascii="Garamond" w:hAnsi="Garamond"/>
                <w:sz w:val="20"/>
                <w:szCs w:val="20"/>
                <w:lang w:val="pt-PT"/>
              </w:rPr>
              <w:t>DGSPRS</w:t>
            </w:r>
            <w:proofErr w:type="spellEnd"/>
            <w:r w:rsidRPr="00EB750A">
              <w:rPr>
                <w:rFonts w:ascii="Garamond" w:hAnsi="Garamond"/>
                <w:sz w:val="20"/>
                <w:szCs w:val="20"/>
                <w:lang w:val="pt-PT"/>
              </w:rPr>
              <w:t>, tribunais, procuradorias e secretarias (</w:t>
            </w:r>
            <w:proofErr w:type="spellStart"/>
            <w:r w:rsidRPr="00EB750A">
              <w:rPr>
                <w:rFonts w:ascii="Garamond" w:hAnsi="Garamond"/>
                <w:sz w:val="20"/>
                <w:szCs w:val="20"/>
                <w:lang w:val="pt-PT"/>
              </w:rPr>
              <w:t>SIJ</w:t>
            </w:r>
            <w:proofErr w:type="spellEnd"/>
            <w:r w:rsidRPr="00EB750A">
              <w:rPr>
                <w:rFonts w:ascii="Garamond" w:hAnsi="Garamond"/>
                <w:sz w:val="20"/>
                <w:szCs w:val="20"/>
                <w:lang w:val="pt-PT"/>
              </w:rPr>
              <w:t xml:space="preserve"> ou outro instrumento) e monitorizar as tendências de reincidência da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A946"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DGSPRS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9441"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CSMJ</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CSMP</w:t>
            </w:r>
            <w:proofErr w:type="spellEnd"/>
            <w:r w:rsidRPr="00441BCC">
              <w:rPr>
                <w:rFonts w:ascii="Garamond" w:eastAsia="Times New Roman" w:hAnsi="Garamond" w:cs="Times New Roman"/>
                <w:color w:val="000000"/>
                <w:sz w:val="20"/>
                <w:szCs w:val="20"/>
                <w:lang w:eastAsia="es-ES"/>
              </w:rPr>
              <w:t xml:space="preserve">, MJ, </w:t>
            </w:r>
            <w:proofErr w:type="spellStart"/>
            <w:r w:rsidRPr="00441BCC">
              <w:rPr>
                <w:rFonts w:ascii="Garamond" w:eastAsia="Times New Roman" w:hAnsi="Garamond" w:cs="Times New Roman"/>
                <w:color w:val="000000"/>
                <w:sz w:val="20"/>
                <w:szCs w:val="20"/>
                <w:lang w:eastAsia="es-ES"/>
              </w:rPr>
              <w:t>ICIEG</w:t>
            </w:r>
            <w:proofErr w:type="spellEnd"/>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979CC"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26E7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84B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866DB"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C6B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F8B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D40C8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04EA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774A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305C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19EB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21917"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9359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99981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6D0AC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2DB9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E7BB" w14:textId="3516447B" w:rsidR="00F24D65" w:rsidRPr="00F24D65"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585 000</w:t>
            </w:r>
          </w:p>
          <w:p w14:paraId="57EE25C3" w14:textId="72D75FFC" w:rsidR="00F24D65" w:rsidRPr="00441BCC" w:rsidRDefault="00F24D65" w:rsidP="00F24D65">
            <w:pPr>
              <w:jc w:val="center"/>
              <w:rPr>
                <w:rFonts w:ascii="Garamond" w:eastAsia="Times New Roman" w:hAnsi="Garamond" w:cs="Times New Roman"/>
                <w:color w:val="000000"/>
                <w:sz w:val="20"/>
                <w:szCs w:val="20"/>
                <w:lang w:eastAsia="es-ES"/>
              </w:rPr>
            </w:pPr>
          </w:p>
        </w:tc>
      </w:tr>
      <w:tr w:rsidR="00F24D65" w:rsidRPr="00260C20" w14:paraId="3102A1F2" w14:textId="77777777" w:rsidTr="00E20A3B">
        <w:trPr>
          <w:trHeight w:val="615"/>
        </w:trPr>
        <w:tc>
          <w:tcPr>
            <w:tcW w:w="1768" w:type="dxa"/>
            <w:vMerge/>
            <w:tcBorders>
              <w:left w:val="single" w:sz="4" w:space="0" w:color="auto"/>
              <w:right w:val="single" w:sz="4" w:space="0" w:color="auto"/>
            </w:tcBorders>
            <w:shd w:val="clear" w:color="auto" w:fill="FFFFFF" w:themeFill="background1"/>
          </w:tcPr>
          <w:p w14:paraId="2FC34C3C" w14:textId="77777777" w:rsidR="00F24D65" w:rsidRPr="00441BCC" w:rsidRDefault="00F24D65" w:rsidP="00F24D65">
            <w:pPr>
              <w:shd w:val="clear" w:color="auto" w:fill="FFFFFF" w:themeFill="background1"/>
              <w:jc w:val="both"/>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07342"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2.5.3. Assegurar a integração de uma abordagem de género na montagem, implementação e supervisão do Programa de reabilitação para autores de violência sexual.</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2A689"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DGSPRS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B9D7A"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CNDHC</w:t>
            </w:r>
            <w:proofErr w:type="spellEnd"/>
            <w:r w:rsidRPr="00EB750A">
              <w:rPr>
                <w:rFonts w:ascii="Garamond" w:eastAsia="Times New Roman" w:hAnsi="Garamond" w:cs="Times New Roman"/>
                <w:color w:val="000000"/>
                <w:sz w:val="20"/>
                <w:szCs w:val="20"/>
                <w:lang w:val="pt-PT" w:eastAsia="es-ES"/>
              </w:rPr>
              <w:t xml:space="preserve">, Programa de Saúde Mental do </w:t>
            </w:r>
            <w:proofErr w:type="spellStart"/>
            <w:r w:rsidRPr="00EB750A">
              <w:rPr>
                <w:rFonts w:ascii="Garamond" w:eastAsia="Times New Roman" w:hAnsi="Garamond" w:cs="Times New Roman"/>
                <w:color w:val="000000"/>
                <w:sz w:val="20"/>
                <w:szCs w:val="20"/>
                <w:lang w:val="pt-PT" w:eastAsia="es-ES"/>
              </w:rPr>
              <w:t>MSS</w:t>
            </w:r>
            <w:proofErr w:type="spellEnd"/>
            <w:r w:rsidRPr="00EB750A">
              <w:rPr>
                <w:rFonts w:ascii="Garamond" w:eastAsia="Times New Roman" w:hAnsi="Garamond" w:cs="Times New Roman"/>
                <w:color w:val="000000"/>
                <w:sz w:val="20"/>
                <w:szCs w:val="20"/>
                <w:lang w:val="pt-PT" w:eastAsia="es-ES"/>
              </w:rPr>
              <w:t xml:space="preserve"> </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524A4" w14:textId="77777777" w:rsidR="00F24D65" w:rsidRPr="00F46E1A" w:rsidRDefault="00F24D65" w:rsidP="00F24D65">
            <w:pPr>
              <w:jc w:val="center"/>
              <w:rPr>
                <w:rFonts w:ascii="Garamond" w:eastAsia="Times New Roman" w:hAnsi="Garamond" w:cs="Times New Roman"/>
                <w:b/>
                <w:bCs/>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B80D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9B89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AD9C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0D911"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24491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91541C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8A9A7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468C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5425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EAA1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128D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7FE0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C8D7B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084F7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373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D5B4" w14:textId="77777777" w:rsidR="00F24D65" w:rsidRDefault="00F24D65" w:rsidP="00F24D65">
            <w:pPr>
              <w:rPr>
                <w:rFonts w:ascii="Garamond" w:hAnsi="Garamond"/>
                <w:i/>
                <w:iCs/>
                <w:sz w:val="20"/>
                <w:szCs w:val="20"/>
                <w:lang w:val="pt-PT"/>
              </w:rPr>
            </w:pPr>
            <w:r w:rsidRPr="00BF0821">
              <w:rPr>
                <w:rFonts w:ascii="Garamond" w:hAnsi="Garamond"/>
                <w:i/>
                <w:iCs/>
                <w:sz w:val="20"/>
                <w:szCs w:val="20"/>
                <w:lang w:val="pt-PT"/>
              </w:rPr>
              <w:t>junto com 2.</w:t>
            </w:r>
            <w:r>
              <w:rPr>
                <w:rFonts w:ascii="Garamond" w:hAnsi="Garamond"/>
                <w:i/>
                <w:iCs/>
                <w:sz w:val="20"/>
                <w:szCs w:val="20"/>
                <w:lang w:val="pt-PT"/>
              </w:rPr>
              <w:t>5</w:t>
            </w:r>
            <w:r w:rsidRPr="00BF0821">
              <w:rPr>
                <w:rFonts w:ascii="Garamond" w:hAnsi="Garamond"/>
                <w:i/>
                <w:iCs/>
                <w:sz w:val="20"/>
                <w:szCs w:val="20"/>
                <w:lang w:val="pt-PT"/>
              </w:rPr>
              <w:t>.1</w:t>
            </w:r>
          </w:p>
          <w:p w14:paraId="41FA0E47" w14:textId="3B068A85" w:rsidR="00F24D65" w:rsidRPr="00441BCC" w:rsidRDefault="00F24D65" w:rsidP="00F24D65">
            <w:pPr>
              <w:rPr>
                <w:rFonts w:ascii="Garamond" w:eastAsia="Times New Roman" w:hAnsi="Garamond" w:cs="Times New Roman"/>
                <w:color w:val="000000"/>
                <w:sz w:val="20"/>
                <w:szCs w:val="20"/>
                <w:lang w:eastAsia="es-ES"/>
              </w:rPr>
            </w:pPr>
          </w:p>
        </w:tc>
      </w:tr>
      <w:tr w:rsidR="00F24D65" w:rsidRPr="00B923BB" w14:paraId="6DEF9F17" w14:textId="77777777" w:rsidTr="00E20A3B">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4D0B86D2" w14:textId="77777777" w:rsidR="00F24D65" w:rsidRPr="00441BCC" w:rsidRDefault="00F24D65" w:rsidP="00F24D65">
            <w:pPr>
              <w:shd w:val="clear" w:color="auto" w:fill="FFFFFF" w:themeFill="background1"/>
              <w:jc w:val="both"/>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E40122F"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2.5.4. Identificar oportunidades para trabalhar as representações da masculinidade, entre outras questões de género, no âmbito do Plano Nacional de Reinserção Social.</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847F"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DGSPRS</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5B370"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1851D"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C709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74C01"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BC0B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C29B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C63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54F2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A164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4B75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99A5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37F8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0628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630413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41A31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51B266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C8D3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6E6D" w14:textId="77777777" w:rsidR="00F24D65" w:rsidRDefault="00F24D65" w:rsidP="00F24D65">
            <w:pPr>
              <w:rPr>
                <w:rFonts w:ascii="Garamond" w:hAnsi="Garamond"/>
                <w:i/>
                <w:iCs/>
                <w:sz w:val="20"/>
                <w:szCs w:val="20"/>
                <w:lang w:val="pt-PT"/>
              </w:rPr>
            </w:pPr>
            <w:r w:rsidRPr="00BF0821">
              <w:rPr>
                <w:rFonts w:ascii="Garamond" w:hAnsi="Garamond"/>
                <w:i/>
                <w:iCs/>
                <w:sz w:val="20"/>
                <w:szCs w:val="20"/>
                <w:lang w:val="pt-PT"/>
              </w:rPr>
              <w:t>junto com 2.</w:t>
            </w:r>
            <w:r>
              <w:rPr>
                <w:rFonts w:ascii="Garamond" w:hAnsi="Garamond"/>
                <w:i/>
                <w:iCs/>
                <w:sz w:val="20"/>
                <w:szCs w:val="20"/>
                <w:lang w:val="pt-PT"/>
              </w:rPr>
              <w:t>5</w:t>
            </w:r>
            <w:r w:rsidRPr="00BF0821">
              <w:rPr>
                <w:rFonts w:ascii="Garamond" w:hAnsi="Garamond"/>
                <w:i/>
                <w:iCs/>
                <w:sz w:val="20"/>
                <w:szCs w:val="20"/>
                <w:lang w:val="pt-PT"/>
              </w:rPr>
              <w:t>.1</w:t>
            </w:r>
          </w:p>
          <w:p w14:paraId="09E33EDF" w14:textId="534239EF" w:rsidR="00F24D65" w:rsidRPr="00441BCC" w:rsidRDefault="00F24D65" w:rsidP="00F24D65">
            <w:pPr>
              <w:rPr>
                <w:rFonts w:ascii="Garamond" w:eastAsia="Times New Roman" w:hAnsi="Garamond" w:cs="Times New Roman"/>
                <w:color w:val="000000"/>
                <w:sz w:val="20"/>
                <w:szCs w:val="20"/>
                <w:lang w:eastAsia="es-ES"/>
              </w:rPr>
            </w:pPr>
          </w:p>
        </w:tc>
      </w:tr>
      <w:tr w:rsidR="00F24D65" w:rsidRPr="00B923BB" w14:paraId="3ECD8503" w14:textId="77777777" w:rsidTr="00922684">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1CB72A65" w14:textId="77777777" w:rsidR="00F24D65" w:rsidRPr="00EB750A" w:rsidRDefault="00F24D65" w:rsidP="00F24D65">
            <w:pPr>
              <w:shd w:val="clear" w:color="auto" w:fill="FFFFFF" w:themeFill="background1"/>
              <w:rPr>
                <w:rFonts w:ascii="Garamond" w:hAnsi="Garamond"/>
                <w:sz w:val="20"/>
                <w:szCs w:val="20"/>
                <w:lang w:val="pt-PT"/>
              </w:rPr>
            </w:pPr>
            <w:r w:rsidRPr="00EB750A">
              <w:rPr>
                <w:rFonts w:ascii="Garamond" w:hAnsi="Garamond"/>
                <w:sz w:val="20"/>
                <w:szCs w:val="20"/>
                <w:lang w:val="pt-PT"/>
              </w:rPr>
              <w:t xml:space="preserve">2.6. Aumentada a visibilidade de formas de violência contra as mulheres menos visíveis, tais como a união precoce, </w:t>
            </w:r>
            <w:proofErr w:type="spellStart"/>
            <w:r w:rsidRPr="00EB750A">
              <w:rPr>
                <w:rFonts w:ascii="Garamond" w:hAnsi="Garamond"/>
                <w:sz w:val="20"/>
                <w:szCs w:val="20"/>
                <w:lang w:val="pt-PT"/>
              </w:rPr>
              <w:t>MGF</w:t>
            </w:r>
            <w:proofErr w:type="spellEnd"/>
            <w:r w:rsidRPr="00EB750A">
              <w:rPr>
                <w:rFonts w:ascii="Garamond" w:hAnsi="Garamond"/>
                <w:sz w:val="20"/>
                <w:szCs w:val="20"/>
                <w:lang w:val="pt-PT"/>
              </w:rPr>
              <w:t xml:space="preserve"> e tráfico de pessoas, e melhorado o seu tratamento</w:t>
            </w:r>
          </w:p>
          <w:p w14:paraId="39E2340B" w14:textId="77777777" w:rsidR="00F24D65" w:rsidRPr="00EB750A" w:rsidRDefault="00F24D65" w:rsidP="00F24D65">
            <w:pPr>
              <w:shd w:val="clear" w:color="auto" w:fill="FFFFFF" w:themeFill="background1"/>
              <w:jc w:val="both"/>
              <w:rPr>
                <w:rFonts w:ascii="Garamond" w:eastAsia="Times New Roman" w:hAnsi="Garamond" w:cs="Times New Roman"/>
                <w:color w:val="000000"/>
                <w:sz w:val="20"/>
                <w:szCs w:val="20"/>
                <w:lang w:val="pt-PT"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5F34B2F"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2.6.1. Operacionalizar o registo da </w:t>
            </w:r>
            <w:proofErr w:type="spellStart"/>
            <w:r w:rsidRPr="00EB750A">
              <w:rPr>
                <w:rFonts w:ascii="Garamond" w:hAnsi="Garamond"/>
                <w:sz w:val="20"/>
                <w:szCs w:val="20"/>
                <w:lang w:val="pt-PT"/>
              </w:rPr>
              <w:t>MGF</w:t>
            </w:r>
            <w:proofErr w:type="spellEnd"/>
            <w:r w:rsidRPr="00EB750A">
              <w:rPr>
                <w:rFonts w:ascii="Garamond" w:hAnsi="Garamond"/>
                <w:sz w:val="20"/>
                <w:szCs w:val="20"/>
                <w:lang w:val="pt-PT"/>
              </w:rPr>
              <w:t xml:space="preserve"> em separado das demais situações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w:t>
            </w:r>
            <w:r w:rsidRPr="00EB750A">
              <w:rPr>
                <w:rFonts w:ascii="Garamond" w:hAnsi="Garamond"/>
                <w:lang w:val="pt-PT"/>
              </w:rPr>
              <w:t>ou ofensa qualificada à integridade</w:t>
            </w:r>
            <w:r w:rsidRPr="00EB750A">
              <w:rPr>
                <w:rFonts w:ascii="Garamond" w:hAnsi="Garamond"/>
                <w:sz w:val="20"/>
                <w:szCs w:val="20"/>
                <w:lang w:val="pt-PT"/>
              </w:rPr>
              <w:t xml:space="preserve">, em todos os serviços relevantes (PN, Procuradorias, Tribunais, </w:t>
            </w:r>
            <w:proofErr w:type="spellStart"/>
            <w:r w:rsidRPr="00EB750A">
              <w:rPr>
                <w:rFonts w:ascii="Garamond" w:hAnsi="Garamond"/>
                <w:sz w:val="20"/>
                <w:szCs w:val="20"/>
                <w:lang w:val="pt-PT"/>
              </w:rPr>
              <w:t>ICCA</w:t>
            </w:r>
            <w:proofErr w:type="spellEnd"/>
            <w:r w:rsidRPr="00EB750A">
              <w:rPr>
                <w:rFonts w:ascii="Garamond" w:hAnsi="Garamond"/>
                <w:sz w:val="20"/>
                <w:szCs w:val="20"/>
                <w:lang w:val="pt-PT"/>
              </w:rPr>
              <w:t xml:space="preserve">, saúde,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etc.).</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824F6"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ED7DE"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PN</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CSMP</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CSMJ</w:t>
            </w:r>
            <w:proofErr w:type="spellEnd"/>
            <w:r w:rsidRPr="00441BCC">
              <w:rPr>
                <w:rFonts w:ascii="Garamond" w:eastAsia="Times New Roman" w:hAnsi="Garamond" w:cs="Times New Roman"/>
                <w:color w:val="000000"/>
                <w:sz w:val="20"/>
                <w:szCs w:val="20"/>
                <w:lang w:eastAsia="es-ES"/>
              </w:rPr>
              <w:t>, ICCA, DNS,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C4C12"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F220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088DE7"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8B55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1C912C4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CA8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4755BC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4DFC9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001E5"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B49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EBFC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01FD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882602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B0C63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FF47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D42F2B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379F" w14:textId="403C8E20"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160 000</w:t>
            </w:r>
          </w:p>
        </w:tc>
      </w:tr>
      <w:tr w:rsidR="00F24D65" w:rsidRPr="00B923BB" w14:paraId="58CEB5F8"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6D748B0B" w14:textId="77777777" w:rsidR="00F24D65" w:rsidRPr="00441BCC" w:rsidRDefault="00F24D65" w:rsidP="00F24D65">
            <w:pPr>
              <w:shd w:val="clear" w:color="auto" w:fill="FFFFFF" w:themeFill="background1"/>
              <w:jc w:val="both"/>
              <w:rPr>
                <w:rFonts w:ascii="Garamond" w:eastAsia="Times New Roman" w:hAnsi="Garamond" w:cs="Times New Roman"/>
                <w:color w:val="000000"/>
                <w:sz w:val="20"/>
                <w:szCs w:val="20"/>
                <w:lang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0725B9"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2.6.2. Realizar uma troca de experiências com países com experiência no estudo, prevenção e combate à </w:t>
            </w:r>
            <w:proofErr w:type="spellStart"/>
            <w:r w:rsidRPr="00EB750A">
              <w:rPr>
                <w:rFonts w:ascii="Garamond" w:hAnsi="Garamond"/>
                <w:sz w:val="20"/>
                <w:szCs w:val="20"/>
                <w:lang w:val="pt-PT"/>
              </w:rPr>
              <w:t>MGF</w:t>
            </w:r>
            <w:proofErr w:type="spellEnd"/>
            <w:r w:rsidRPr="00EB750A">
              <w:rPr>
                <w:rFonts w:ascii="Garamond" w:hAnsi="Garamond"/>
                <w:sz w:val="20"/>
                <w:szCs w:val="20"/>
                <w:lang w:val="pt-PT"/>
              </w:rPr>
              <w:t xml:space="preserve"> no contexto de comunidades imigradas e definir abordagens para a sensibilização nesta matéria.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F0671"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70DE5" w14:textId="77777777" w:rsidR="00F24D65" w:rsidRPr="00EB750A" w:rsidRDefault="00F24D65" w:rsidP="00F24D65">
            <w:pPr>
              <w:jc w:val="center"/>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DNS, Centros de Saúde, </w:t>
            </w:r>
            <w:proofErr w:type="spellStart"/>
            <w:r w:rsidRPr="00EB750A">
              <w:rPr>
                <w:rFonts w:ascii="Garamond" w:hAnsi="Garamond"/>
                <w:sz w:val="20"/>
                <w:szCs w:val="20"/>
                <w:lang w:val="pt-PT"/>
              </w:rPr>
              <w:t>CAV</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 xml:space="preserve">,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municipais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CD2CC" w14:textId="77777777" w:rsidR="00F24D65" w:rsidRPr="00F46E1A" w:rsidRDefault="00F24D65" w:rsidP="00F24D65">
            <w:pPr>
              <w:jc w:val="center"/>
              <w:rPr>
                <w:rFonts w:ascii="Garamond" w:eastAsia="Times New Roman" w:hAnsi="Garamond" w:cs="Times New Roman"/>
                <w:b/>
                <w:bCs/>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FB652"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25C4E"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BE12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8325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50D3E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298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7FDC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E781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276F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B467C"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BF20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05DA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B6374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C733D37"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00371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DAC6" w14:textId="6E254846"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500 000</w:t>
            </w:r>
          </w:p>
        </w:tc>
      </w:tr>
      <w:tr w:rsidR="00F24D65" w:rsidRPr="005808D4" w14:paraId="7A18AF81" w14:textId="77777777" w:rsidTr="00E20A3B">
        <w:trPr>
          <w:trHeight w:val="615"/>
        </w:trPr>
        <w:tc>
          <w:tcPr>
            <w:tcW w:w="1768" w:type="dxa"/>
            <w:vMerge/>
            <w:tcBorders>
              <w:left w:val="single" w:sz="4" w:space="0" w:color="auto"/>
              <w:right w:val="single" w:sz="4" w:space="0" w:color="auto"/>
            </w:tcBorders>
            <w:shd w:val="clear" w:color="auto" w:fill="FFFFFF" w:themeFill="background1"/>
          </w:tcPr>
          <w:p w14:paraId="0D27D558" w14:textId="77777777" w:rsidR="00F24D65" w:rsidRPr="00441BCC" w:rsidRDefault="00F24D65" w:rsidP="00F24D65">
            <w:pPr>
              <w:spacing w:after="240"/>
              <w:rPr>
                <w:rFonts w:ascii="Garamond" w:hAnsi="Garamond"/>
                <w:sz w:val="20"/>
                <w:szCs w:val="20"/>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C305A2C"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2.6.3. Formar lideranças comunitárias/associativas de imigrantes (homens e mulheres) em género,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xml:space="preserve"> e estabelecer uma bolsa de mediadores(as) comunitários formados para trabalhar com as comunidades imigradas e jovens de ambos os sexos.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03594"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468AE"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07CB5" w14:textId="77777777" w:rsidR="00F24D65" w:rsidRPr="00F46E1A" w:rsidRDefault="00F24D65" w:rsidP="00F24D65">
            <w:pPr>
              <w:jc w:val="center"/>
              <w:rPr>
                <w:rFonts w:ascii="Garamond" w:eastAsia="Times New Roman" w:hAnsi="Garamond" w:cs="Times New Roman"/>
                <w:b/>
                <w:bCs/>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E6A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94ACE" w14:textId="6987BD46"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79090" w14:textId="2281D2FB"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1A1FB"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E07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1D9C"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39E3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08CAAA"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3C82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3602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DABE4"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801E0"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CC31E"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6407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33A7F"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tcPr>
          <w:p w14:paraId="02A5DA0E" w14:textId="4B4EC479" w:rsidR="00F24D65" w:rsidRDefault="00F24D65" w:rsidP="00F24D65">
            <w:pPr>
              <w:rPr>
                <w:rFonts w:ascii="Garamond" w:hAnsi="Garamond"/>
                <w:i/>
                <w:iCs/>
                <w:sz w:val="20"/>
                <w:szCs w:val="20"/>
                <w:lang w:val="pt-PT"/>
              </w:rPr>
            </w:pPr>
            <w:r>
              <w:rPr>
                <w:rFonts w:ascii="Garamond" w:hAnsi="Garamond"/>
                <w:i/>
                <w:iCs/>
                <w:sz w:val="20"/>
                <w:szCs w:val="20"/>
                <w:lang w:val="pt-PT"/>
              </w:rPr>
              <w:t xml:space="preserve">Ver Eixo 4 – medida de </w:t>
            </w:r>
            <w:proofErr w:type="spellStart"/>
            <w:r>
              <w:rPr>
                <w:rFonts w:ascii="Garamond" w:hAnsi="Garamond"/>
                <w:i/>
                <w:iCs/>
                <w:sz w:val="20"/>
                <w:szCs w:val="20"/>
                <w:lang w:val="pt-PT"/>
              </w:rPr>
              <w:t>ação</w:t>
            </w:r>
            <w:proofErr w:type="spellEnd"/>
            <w:r w:rsidRPr="00BF0821">
              <w:rPr>
                <w:rFonts w:ascii="Garamond" w:hAnsi="Garamond"/>
                <w:i/>
                <w:iCs/>
                <w:sz w:val="20"/>
                <w:szCs w:val="20"/>
                <w:lang w:val="pt-PT"/>
              </w:rPr>
              <w:t xml:space="preserve"> </w:t>
            </w:r>
            <w:r>
              <w:rPr>
                <w:rFonts w:ascii="Garamond" w:hAnsi="Garamond"/>
                <w:i/>
                <w:iCs/>
                <w:sz w:val="20"/>
                <w:szCs w:val="20"/>
                <w:lang w:val="pt-PT"/>
              </w:rPr>
              <w:t>4.4</w:t>
            </w:r>
            <w:r w:rsidRPr="00BF0821">
              <w:rPr>
                <w:rFonts w:ascii="Garamond" w:hAnsi="Garamond"/>
                <w:i/>
                <w:iCs/>
                <w:sz w:val="20"/>
                <w:szCs w:val="20"/>
                <w:lang w:val="pt-PT"/>
              </w:rPr>
              <w:t>.</w:t>
            </w:r>
            <w:r>
              <w:rPr>
                <w:rFonts w:ascii="Garamond" w:hAnsi="Garamond"/>
                <w:i/>
                <w:iCs/>
                <w:sz w:val="20"/>
                <w:szCs w:val="20"/>
                <w:lang w:val="pt-PT"/>
              </w:rPr>
              <w:t>5</w:t>
            </w:r>
            <w:r w:rsidRPr="00BF0821">
              <w:rPr>
                <w:rFonts w:ascii="Garamond" w:hAnsi="Garamond"/>
                <w:i/>
                <w:iCs/>
                <w:sz w:val="20"/>
                <w:szCs w:val="20"/>
                <w:lang w:val="pt-PT"/>
              </w:rPr>
              <w:t>.</w:t>
            </w:r>
          </w:p>
          <w:p w14:paraId="4987CEE3" w14:textId="77777777" w:rsidR="00F24D65" w:rsidRPr="00195D54" w:rsidRDefault="00F24D65" w:rsidP="00F24D65">
            <w:pPr>
              <w:rPr>
                <w:rFonts w:ascii="Garamond" w:eastAsia="Times New Roman" w:hAnsi="Garamond" w:cs="Times New Roman"/>
                <w:color w:val="000000"/>
                <w:sz w:val="20"/>
                <w:szCs w:val="20"/>
                <w:lang w:val="pt-PT" w:eastAsia="es-ES"/>
              </w:rPr>
            </w:pPr>
          </w:p>
        </w:tc>
      </w:tr>
      <w:tr w:rsidR="00F24D65" w:rsidRPr="00B923BB" w14:paraId="108DD6A4"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011EE49" w14:textId="77777777" w:rsidR="00F24D65" w:rsidRPr="00195D54" w:rsidRDefault="00F24D65" w:rsidP="00F24D65">
            <w:pPr>
              <w:spacing w:after="240"/>
              <w:rPr>
                <w:rFonts w:ascii="Garamond" w:eastAsia="Times New Roman" w:hAnsi="Garamond" w:cs="Times New Roman"/>
                <w:color w:val="000000"/>
                <w:sz w:val="20"/>
                <w:szCs w:val="20"/>
                <w:lang w:val="pt-PT"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AEF3B43"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2.6.4. Realizar um estudo sobre as práticas culturais e nefastas no seio das comunidades imigradas e implementar recomendações.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163E3"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1E0B1"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5CF6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35C7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E3EB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86F90"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C9792"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F6E9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536E2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98D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1C6BF"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25D0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7FF5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B2A49"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1F428"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FA08C5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5CE9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4160E"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F9B2" w14:textId="7CF48A28"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980 000</w:t>
            </w:r>
          </w:p>
        </w:tc>
      </w:tr>
      <w:tr w:rsidR="00F24D65" w:rsidRPr="00B923BB" w14:paraId="00107CC7"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2C70152A" w14:textId="77777777" w:rsidR="00F24D65" w:rsidRPr="00441BCC" w:rsidRDefault="00F24D65" w:rsidP="00F24D65">
            <w:pPr>
              <w:spacing w:after="240"/>
              <w:rPr>
                <w:rFonts w:ascii="Garamond" w:eastAsia="Times New Roman" w:hAnsi="Garamond" w:cs="Times New Roman"/>
                <w:color w:val="000000"/>
                <w:sz w:val="20"/>
                <w:szCs w:val="20"/>
                <w:lang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2E8BFF3"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2.6.5. Formar em igualdade de género,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práticas nocivas os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envolvidos na implementação dos Planos de </w:t>
            </w:r>
            <w:proofErr w:type="spellStart"/>
            <w:r w:rsidRPr="00EB750A">
              <w:rPr>
                <w:rFonts w:ascii="Garamond" w:hAnsi="Garamond"/>
                <w:sz w:val="20"/>
                <w:szCs w:val="20"/>
                <w:lang w:val="pt-PT"/>
              </w:rPr>
              <w:t>Ação</w:t>
            </w:r>
            <w:proofErr w:type="spellEnd"/>
            <w:r w:rsidRPr="00EB750A">
              <w:rPr>
                <w:rFonts w:ascii="Garamond" w:hAnsi="Garamond"/>
                <w:sz w:val="20"/>
                <w:szCs w:val="20"/>
                <w:lang w:val="pt-PT"/>
              </w:rPr>
              <w:t xml:space="preserve"> de integração de imigrantes (</w:t>
            </w:r>
            <w:proofErr w:type="spellStart"/>
            <w:r w:rsidRPr="00EB750A">
              <w:rPr>
                <w:rFonts w:ascii="Garamond" w:hAnsi="Garamond"/>
                <w:sz w:val="20"/>
                <w:szCs w:val="20"/>
                <w:lang w:val="pt-PT"/>
              </w:rPr>
              <w:t>DGI</w:t>
            </w:r>
            <w:proofErr w:type="spellEnd"/>
            <w:r w:rsidRPr="00EB750A">
              <w:rPr>
                <w:rFonts w:ascii="Garamond" w:hAnsi="Garamond"/>
                <w:sz w:val="20"/>
                <w:szCs w:val="20"/>
                <w:lang w:val="pt-PT"/>
              </w:rPr>
              <w:t>, Município da Boavista) e no desenvolvimento de outros Planos.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8C95D"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1A078"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Município da Boavista, da Praia, entre outros</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5F177"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1BDB" w14:textId="77777777" w:rsidR="00F24D65" w:rsidRPr="00F46E1A" w:rsidRDefault="00F24D65" w:rsidP="00F24D65">
            <w:pPr>
              <w:jc w:val="center"/>
              <w:rPr>
                <w:rFonts w:ascii="Garamond" w:eastAsia="Times New Roman" w:hAnsi="Garamond" w:cs="Times New Roman"/>
                <w:color w:val="000000"/>
                <w:sz w:val="12"/>
                <w:szCs w:val="12"/>
                <w:lang w:val="pt-PT"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9247D3"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A2405"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A4C0C3"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83D6BA"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67E6"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C396"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B33F2"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64BEAD"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3E51D"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9637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0B6B"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DD24"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B7CAE" w14:textId="77777777" w:rsidR="00F24D65" w:rsidRPr="00F46E1A" w:rsidRDefault="00F24D65" w:rsidP="00F24D65">
            <w:pPr>
              <w:jc w:val="cente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AE771" w14:textId="77777777" w:rsidR="00F24D65" w:rsidRPr="00F46E1A" w:rsidRDefault="00F24D65" w:rsidP="00F24D65">
            <w:pPr>
              <w:jc w:val="cente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DB7C9" w14:textId="4C6516D8"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1 880 000</w:t>
            </w:r>
          </w:p>
        </w:tc>
      </w:tr>
      <w:tr w:rsidR="00F24D65" w:rsidRPr="00B923BB" w14:paraId="0A883222" w14:textId="77777777" w:rsidTr="00922684">
        <w:trPr>
          <w:trHeight w:val="615"/>
        </w:trPr>
        <w:tc>
          <w:tcPr>
            <w:tcW w:w="1768" w:type="dxa"/>
            <w:vMerge/>
            <w:tcBorders>
              <w:left w:val="single" w:sz="4" w:space="0" w:color="auto"/>
              <w:right w:val="single" w:sz="4" w:space="0" w:color="auto"/>
            </w:tcBorders>
            <w:shd w:val="clear" w:color="auto" w:fill="FFFFFF" w:themeFill="background1"/>
          </w:tcPr>
          <w:p w14:paraId="138FA135" w14:textId="77777777" w:rsidR="00F24D65" w:rsidRPr="00441BCC" w:rsidRDefault="00F24D65" w:rsidP="00F24D65">
            <w:pPr>
              <w:spacing w:after="240"/>
              <w:rPr>
                <w:rFonts w:ascii="Garamond" w:eastAsia="Times New Roman" w:hAnsi="Garamond" w:cs="Times New Roman"/>
                <w:color w:val="000000"/>
                <w:sz w:val="20"/>
                <w:szCs w:val="20"/>
                <w:lang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828299A"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2.6.6. Identificar as oportunidades para introduzir uma abordagem de género na implementação do Plano de Combate ao Tráfico de Pessoas e calendarizar e implementar as acções identificadas.</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0B4B0"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D84E98">
              <w:rPr>
                <w:rFonts w:ascii="Garamond" w:hAnsi="Garamond"/>
                <w:sz w:val="20"/>
                <w:szCs w:val="20"/>
              </w:rPr>
              <w:t>Gabinete</w:t>
            </w:r>
            <w:proofErr w:type="spellEnd"/>
            <w:r w:rsidRPr="00D84E98">
              <w:rPr>
                <w:rFonts w:ascii="Garamond" w:hAnsi="Garamond"/>
                <w:sz w:val="20"/>
                <w:szCs w:val="20"/>
              </w:rPr>
              <w:t xml:space="preserve"> do </w:t>
            </w:r>
            <w:proofErr w:type="spellStart"/>
            <w:r w:rsidRPr="00D84E98">
              <w:rPr>
                <w:rFonts w:ascii="Garamond" w:hAnsi="Garamond"/>
                <w:sz w:val="20"/>
                <w:szCs w:val="20"/>
              </w:rPr>
              <w:t>PNCTP</w:t>
            </w:r>
            <w:proofErr w:type="spellEnd"/>
            <w:r w:rsidRPr="00D84E98">
              <w:rPr>
                <w:rFonts w:ascii="Garamond" w:hAnsi="Garamond"/>
                <w:sz w:val="20"/>
                <w:szCs w:val="20"/>
              </w:rPr>
              <w:t>/</w:t>
            </w:r>
            <w:r w:rsidRPr="00D84E98">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066A5"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EC41E" w14:textId="77777777" w:rsidR="00F24D65" w:rsidRPr="00F46E1A" w:rsidRDefault="00F24D65" w:rsidP="00F24D65">
            <w:pPr>
              <w:rPr>
                <w:rFonts w:ascii="Garamond" w:eastAsia="Times New Roman" w:hAnsi="Garamond" w:cs="Times New Roman"/>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8432"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A4F12"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86EBC"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6DCEC41"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6037CD"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9AA88"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0154C"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DE20D"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5AD3E"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3F6EB"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647595"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F914B"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E4FB"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390A"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3F15E3" w14:textId="77777777" w:rsidR="00F24D65" w:rsidRPr="00F46E1A" w:rsidRDefault="00F24D65" w:rsidP="00F24D65">
            <w:pP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79CD3" w14:textId="5D2A2F1D"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410 000</w:t>
            </w:r>
          </w:p>
        </w:tc>
      </w:tr>
      <w:tr w:rsidR="00F24D65" w:rsidRPr="00B923BB" w14:paraId="7EFE25EB" w14:textId="77777777" w:rsidTr="00922684">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25F7EFE9" w14:textId="77777777" w:rsidR="00F24D65" w:rsidRPr="00441BCC" w:rsidRDefault="00F24D65" w:rsidP="00F24D65">
            <w:pPr>
              <w:spacing w:after="240"/>
              <w:rPr>
                <w:rFonts w:ascii="Garamond" w:eastAsia="Times New Roman" w:hAnsi="Garamond" w:cs="Times New Roman"/>
                <w:color w:val="000000"/>
                <w:sz w:val="20"/>
                <w:szCs w:val="20"/>
                <w:lang w:eastAsia="es-ES"/>
              </w:rPr>
            </w:pPr>
          </w:p>
        </w:tc>
        <w:tc>
          <w:tcPr>
            <w:tcW w:w="4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3BB81E8"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2.6.7. Analisar e </w:t>
            </w:r>
            <w:proofErr w:type="spellStart"/>
            <w:r w:rsidRPr="00EB750A">
              <w:rPr>
                <w:rFonts w:ascii="Garamond" w:hAnsi="Garamond"/>
                <w:sz w:val="20"/>
                <w:szCs w:val="20"/>
                <w:lang w:val="pt-PT"/>
              </w:rPr>
              <w:t>adotar</w:t>
            </w:r>
            <w:proofErr w:type="spellEnd"/>
            <w:r w:rsidRPr="00EB750A">
              <w:rPr>
                <w:rFonts w:ascii="Garamond" w:hAnsi="Garamond"/>
                <w:sz w:val="20"/>
                <w:szCs w:val="20"/>
                <w:lang w:val="pt-PT"/>
              </w:rPr>
              <w:t xml:space="preserve"> as sinergias possíveis na prestação de serviços de acolhimento a atendimento a vítimas de tráfico de pessoas e vítimas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 para o seu financiamento</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366F7"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D84E98">
              <w:rPr>
                <w:rFonts w:ascii="Garamond" w:hAnsi="Garamond"/>
                <w:sz w:val="20"/>
                <w:szCs w:val="20"/>
              </w:rPr>
              <w:t>Gabinete</w:t>
            </w:r>
            <w:proofErr w:type="spellEnd"/>
            <w:r w:rsidRPr="00D84E98">
              <w:rPr>
                <w:rFonts w:ascii="Garamond" w:hAnsi="Garamond"/>
                <w:sz w:val="20"/>
                <w:szCs w:val="20"/>
              </w:rPr>
              <w:t xml:space="preserve"> do </w:t>
            </w:r>
            <w:proofErr w:type="spellStart"/>
            <w:r w:rsidRPr="00D84E98">
              <w:rPr>
                <w:rFonts w:ascii="Garamond" w:hAnsi="Garamond"/>
                <w:sz w:val="20"/>
                <w:szCs w:val="20"/>
              </w:rPr>
              <w:t>PNCTP</w:t>
            </w:r>
            <w:proofErr w:type="spellEnd"/>
            <w:r w:rsidRPr="00D84E98">
              <w:rPr>
                <w:rFonts w:ascii="Garamond" w:hAnsi="Garamond"/>
                <w:sz w:val="20"/>
                <w:szCs w:val="20"/>
              </w:rPr>
              <w:t>/</w:t>
            </w:r>
            <w:r w:rsidRPr="00D84E98">
              <w:rPr>
                <w:rFonts w:ascii="Garamond" w:eastAsia="Times New Roman" w:hAnsi="Garamond" w:cs="Times New Roman"/>
                <w:color w:val="000000"/>
                <w:sz w:val="20"/>
                <w:szCs w:val="20"/>
                <w:lang w:eastAsia="es-ES"/>
              </w:rPr>
              <w:t>MJ</w:t>
            </w:r>
          </w:p>
        </w:tc>
        <w:tc>
          <w:tcPr>
            <w:tcW w:w="2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1E8B9" w14:textId="77777777" w:rsidR="00F24D65" w:rsidRPr="00441BCC" w:rsidRDefault="00F24D65" w:rsidP="00F24D65">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CAV, Rede SOL</w:t>
            </w:r>
          </w:p>
        </w:tc>
        <w:tc>
          <w:tcPr>
            <w:tcW w:w="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9D6A0" w14:textId="77777777" w:rsidR="00F24D65" w:rsidRPr="00F46E1A" w:rsidRDefault="00F24D65" w:rsidP="00F24D65">
            <w:pPr>
              <w:rPr>
                <w:rFonts w:ascii="Garamond" w:eastAsia="Times New Roman" w:hAnsi="Garamond" w:cs="Times New Roman"/>
                <w:color w:val="000000"/>
                <w:sz w:val="12"/>
                <w:szCs w:val="12"/>
                <w:lang w:eastAsia="es-ES"/>
              </w:rPr>
            </w:pPr>
          </w:p>
        </w:tc>
        <w:tc>
          <w:tcPr>
            <w:tcW w:w="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B94AA"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2FDC0" w14:textId="77777777" w:rsidR="00F24D65" w:rsidRPr="00F46E1A" w:rsidRDefault="00F24D65" w:rsidP="00F24D65">
            <w:pPr>
              <w:rPr>
                <w:rFonts w:ascii="Garamond" w:eastAsia="Times New Roman" w:hAnsi="Garamond" w:cs="Times New Roman"/>
                <w:color w:val="000000"/>
                <w:sz w:val="12"/>
                <w:szCs w:val="12"/>
                <w:lang w:eastAsia="es-ES"/>
              </w:rPr>
            </w:pPr>
            <w:r w:rsidRPr="00F46E1A">
              <w:rPr>
                <w:rFonts w:ascii="Garamond" w:eastAsia="Times New Roman" w:hAnsi="Garamond" w:cs="Times New Roman"/>
                <w:b/>
                <w:bCs/>
                <w:color w:val="000000"/>
                <w:sz w:val="12"/>
                <w:szCs w:val="12"/>
                <w:lang w:eastAsia="es-ES"/>
              </w:rPr>
              <w:t>X</w:t>
            </w: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D66DF"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54BA"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46F23A3"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6E34E"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AFEEE"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2B0E6"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9497C"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50379"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3023D"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9AA5D"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C98135"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6EBCC6" w14:textId="77777777" w:rsidR="00F24D65" w:rsidRPr="00F46E1A" w:rsidRDefault="00F24D65" w:rsidP="00F24D65">
            <w:pPr>
              <w:rPr>
                <w:rFonts w:ascii="Garamond" w:eastAsia="Times New Roman" w:hAnsi="Garamond" w:cs="Times New Roman"/>
                <w:color w:val="000000"/>
                <w:sz w:val="12"/>
                <w:szCs w:val="12"/>
                <w:lang w:eastAsia="es-ES"/>
              </w:rPr>
            </w:pPr>
          </w:p>
        </w:tc>
        <w:tc>
          <w:tcPr>
            <w:tcW w:w="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CCEC5" w14:textId="77777777" w:rsidR="00F24D65" w:rsidRPr="00F46E1A" w:rsidRDefault="00F24D65" w:rsidP="00F24D65">
            <w:pPr>
              <w:rPr>
                <w:rFonts w:ascii="Garamond" w:eastAsia="Times New Roman" w:hAnsi="Garamond" w:cs="Times New Roman"/>
                <w:color w:val="000000"/>
                <w:sz w:val="12"/>
                <w:szCs w:val="12"/>
                <w:lang w:eastAsia="es-ES"/>
              </w:rPr>
            </w:pPr>
          </w:p>
        </w:tc>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5496A" w14:textId="365E52CA" w:rsidR="00F24D65" w:rsidRPr="00441BCC"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0</w:t>
            </w:r>
          </w:p>
        </w:tc>
      </w:tr>
    </w:tbl>
    <w:p w14:paraId="7701B456" w14:textId="3C027A2C" w:rsidR="00432609" w:rsidRDefault="00432609" w:rsidP="00432609">
      <w:pPr>
        <w:jc w:val="both"/>
        <w:rPr>
          <w:rFonts w:ascii="Garamond" w:hAnsi="Garamond"/>
          <w:b/>
        </w:rPr>
      </w:pPr>
    </w:p>
    <w:p w14:paraId="17702CC6" w14:textId="77777777" w:rsidR="00432609" w:rsidRPr="00F35105" w:rsidRDefault="00432609" w:rsidP="009F6506">
      <w:pPr>
        <w:pStyle w:val="PargrafodaLista"/>
        <w:ind w:left="0"/>
        <w:jc w:val="both"/>
        <w:rPr>
          <w:rFonts w:ascii="Garamond" w:hAnsi="Garamond"/>
          <w:b/>
          <w:sz w:val="20"/>
          <w:szCs w:val="20"/>
          <w:lang w:val="pt-PT"/>
        </w:rPr>
      </w:pPr>
      <w:r w:rsidRPr="00F35105">
        <w:rPr>
          <w:rFonts w:ascii="Garamond" w:hAnsi="Garamond"/>
          <w:b/>
          <w:sz w:val="20"/>
          <w:szCs w:val="20"/>
          <w:lang w:val="pt-PT"/>
        </w:rPr>
        <w:t xml:space="preserve">Eixo 3 - Educação e formação profissional </w:t>
      </w:r>
    </w:p>
    <w:p w14:paraId="3C5C7E27" w14:textId="77777777" w:rsidR="00F35105" w:rsidRDefault="00F35105" w:rsidP="00432609">
      <w:pPr>
        <w:shd w:val="clear" w:color="auto" w:fill="FFFFFF" w:themeFill="background1"/>
        <w:rPr>
          <w:rFonts w:ascii="Garamond" w:hAnsi="Garamond"/>
          <w:b/>
          <w:sz w:val="20"/>
          <w:szCs w:val="20"/>
          <w:lang w:val="pt-PT"/>
        </w:rPr>
      </w:pPr>
    </w:p>
    <w:p w14:paraId="45726033" w14:textId="4360839F" w:rsidR="00432609" w:rsidRDefault="00432609" w:rsidP="00432609">
      <w:pPr>
        <w:shd w:val="clear" w:color="auto" w:fill="FFFFFF" w:themeFill="background1"/>
        <w:rPr>
          <w:rFonts w:ascii="Garamond" w:hAnsi="Garamond"/>
          <w:bCs/>
          <w:sz w:val="20"/>
          <w:szCs w:val="20"/>
          <w:lang w:val="pt-PT"/>
        </w:rPr>
      </w:pPr>
      <w:proofErr w:type="spellStart"/>
      <w:r w:rsidRPr="00EB750A">
        <w:rPr>
          <w:rFonts w:ascii="Garamond" w:hAnsi="Garamond"/>
          <w:b/>
          <w:sz w:val="20"/>
          <w:szCs w:val="20"/>
          <w:lang w:val="pt-PT"/>
        </w:rPr>
        <w:t>Objetivo</w:t>
      </w:r>
      <w:proofErr w:type="spellEnd"/>
      <w:r w:rsidRPr="00EB750A">
        <w:rPr>
          <w:rFonts w:ascii="Garamond" w:hAnsi="Garamond"/>
          <w:b/>
          <w:sz w:val="20"/>
          <w:szCs w:val="20"/>
          <w:lang w:val="pt-PT"/>
        </w:rPr>
        <w:t xml:space="preserve"> estratégico</w:t>
      </w:r>
      <w:r w:rsidRPr="00EB750A">
        <w:rPr>
          <w:rFonts w:ascii="Garamond" w:hAnsi="Garamond"/>
          <w:bCs/>
          <w:sz w:val="20"/>
          <w:szCs w:val="20"/>
          <w:lang w:val="pt-PT"/>
        </w:rPr>
        <w:t xml:space="preserve">: Fomentar sistemas de educação, ensino superior e formação profissional promotores da igualdade de género </w:t>
      </w:r>
    </w:p>
    <w:p w14:paraId="68A6425A" w14:textId="77777777" w:rsidR="00F35105" w:rsidRPr="00EB750A" w:rsidRDefault="00F35105" w:rsidP="00432609">
      <w:pPr>
        <w:shd w:val="clear" w:color="auto" w:fill="FFFFFF" w:themeFill="background1"/>
        <w:rPr>
          <w:rFonts w:ascii="Garamond" w:hAnsi="Garamond"/>
          <w:bCs/>
          <w:sz w:val="20"/>
          <w:szCs w:val="20"/>
          <w:lang w:val="pt-PT"/>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5222"/>
        <w:gridCol w:w="1305"/>
        <w:gridCol w:w="2031"/>
        <w:gridCol w:w="201"/>
        <w:gridCol w:w="201"/>
        <w:gridCol w:w="202"/>
        <w:gridCol w:w="202"/>
        <w:gridCol w:w="203"/>
        <w:gridCol w:w="203"/>
        <w:gridCol w:w="203"/>
        <w:gridCol w:w="203"/>
        <w:gridCol w:w="203"/>
        <w:gridCol w:w="203"/>
        <w:gridCol w:w="203"/>
        <w:gridCol w:w="203"/>
        <w:gridCol w:w="203"/>
        <w:gridCol w:w="203"/>
        <w:gridCol w:w="203"/>
        <w:gridCol w:w="203"/>
        <w:gridCol w:w="1204"/>
      </w:tblGrid>
      <w:tr w:rsidR="00E20A3B" w:rsidRPr="00D21977" w14:paraId="76720003" w14:textId="77777777" w:rsidTr="005F26E1">
        <w:trPr>
          <w:trHeight w:val="424"/>
          <w:tblHeader/>
        </w:trPr>
        <w:tc>
          <w:tcPr>
            <w:tcW w:w="1663" w:type="dxa"/>
            <w:vMerge w:val="restart"/>
            <w:shd w:val="clear" w:color="auto" w:fill="DEEAF6" w:themeFill="accent5" w:themeFillTint="33"/>
            <w:vAlign w:val="center"/>
          </w:tcPr>
          <w:p w14:paraId="4FE16E2D"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5222" w:type="dxa"/>
            <w:vMerge w:val="restart"/>
            <w:shd w:val="clear" w:color="auto" w:fill="DEEAF6" w:themeFill="accent5" w:themeFillTint="33"/>
            <w:vAlign w:val="center"/>
          </w:tcPr>
          <w:p w14:paraId="164C9289" w14:textId="77777777" w:rsidR="00432609" w:rsidRPr="00D21977" w:rsidRDefault="00432609" w:rsidP="00DF0B6E">
            <w:pPr>
              <w:spacing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Medidas</w:t>
            </w:r>
            <w:proofErr w:type="spellEnd"/>
            <w:r w:rsidRPr="00D21977">
              <w:rPr>
                <w:rFonts w:ascii="Garamond" w:eastAsia="Times New Roman" w:hAnsi="Garamond" w:cs="Times New Roman"/>
                <w:b/>
                <w:bCs/>
                <w:sz w:val="20"/>
                <w:szCs w:val="20"/>
                <w:lang w:eastAsia="es-ES"/>
              </w:rPr>
              <w:t xml:space="preserve"> de </w:t>
            </w:r>
            <w:proofErr w:type="spellStart"/>
            <w:r w:rsidRPr="00D21977">
              <w:rPr>
                <w:rFonts w:ascii="Garamond" w:eastAsia="Times New Roman" w:hAnsi="Garamond" w:cs="Times New Roman"/>
                <w:b/>
                <w:bCs/>
                <w:sz w:val="20"/>
                <w:szCs w:val="20"/>
                <w:lang w:eastAsia="es-ES"/>
              </w:rPr>
              <w:t>ação</w:t>
            </w:r>
            <w:proofErr w:type="spellEnd"/>
          </w:p>
        </w:tc>
        <w:tc>
          <w:tcPr>
            <w:tcW w:w="1305" w:type="dxa"/>
            <w:vMerge w:val="restart"/>
            <w:shd w:val="clear" w:color="auto" w:fill="DEEAF6" w:themeFill="accent5" w:themeFillTint="33"/>
            <w:vAlign w:val="center"/>
          </w:tcPr>
          <w:p w14:paraId="129E519D"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responsável</w:t>
            </w:r>
            <w:proofErr w:type="spellEnd"/>
          </w:p>
        </w:tc>
        <w:tc>
          <w:tcPr>
            <w:tcW w:w="2031" w:type="dxa"/>
            <w:vMerge w:val="restart"/>
            <w:shd w:val="clear" w:color="auto" w:fill="DEEAF6" w:themeFill="accent5" w:themeFillTint="33"/>
            <w:vAlign w:val="center"/>
          </w:tcPr>
          <w:p w14:paraId="5EAD9E38"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envolvidas</w:t>
            </w:r>
            <w:proofErr w:type="spellEnd"/>
          </w:p>
        </w:tc>
        <w:tc>
          <w:tcPr>
            <w:tcW w:w="3242" w:type="dxa"/>
            <w:gridSpan w:val="16"/>
            <w:shd w:val="clear" w:color="auto" w:fill="DEEAF6" w:themeFill="accent5" w:themeFillTint="33"/>
            <w:vAlign w:val="center"/>
          </w:tcPr>
          <w:p w14:paraId="459BAE4C"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Calendário</w:t>
            </w:r>
            <w:proofErr w:type="spellEnd"/>
          </w:p>
        </w:tc>
        <w:tc>
          <w:tcPr>
            <w:tcW w:w="1204" w:type="dxa"/>
            <w:vMerge w:val="restart"/>
            <w:shd w:val="clear" w:color="auto" w:fill="DEEAF6" w:themeFill="accent5" w:themeFillTint="33"/>
            <w:vAlign w:val="center"/>
          </w:tcPr>
          <w:p w14:paraId="007A7F4B" w14:textId="5F787D80" w:rsidR="00432609" w:rsidRPr="00D21977" w:rsidRDefault="00432609" w:rsidP="00DF0B6E">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F24D65">
              <w:rPr>
                <w:rFonts w:ascii="Garamond" w:eastAsia="Times New Roman" w:hAnsi="Garamond" w:cs="Times New Roman"/>
                <w:b/>
                <w:bCs/>
                <w:sz w:val="20"/>
                <w:szCs w:val="20"/>
                <w:lang w:eastAsia="es-ES"/>
              </w:rPr>
              <w:t xml:space="preserve"> (</w:t>
            </w:r>
            <w:proofErr w:type="spellStart"/>
            <w:r w:rsidR="00F24D65">
              <w:rPr>
                <w:rFonts w:ascii="Garamond" w:eastAsia="Times New Roman" w:hAnsi="Garamond" w:cs="Times New Roman"/>
                <w:b/>
                <w:bCs/>
                <w:sz w:val="20"/>
                <w:szCs w:val="20"/>
                <w:lang w:eastAsia="es-ES"/>
              </w:rPr>
              <w:t>ECV</w:t>
            </w:r>
            <w:proofErr w:type="spellEnd"/>
            <w:r w:rsidR="00F24D65">
              <w:rPr>
                <w:rFonts w:ascii="Garamond" w:eastAsia="Times New Roman" w:hAnsi="Garamond" w:cs="Times New Roman"/>
                <w:b/>
                <w:bCs/>
                <w:sz w:val="20"/>
                <w:szCs w:val="20"/>
                <w:lang w:eastAsia="es-ES"/>
              </w:rPr>
              <w:t>)</w:t>
            </w:r>
          </w:p>
        </w:tc>
      </w:tr>
      <w:tr w:rsidR="00E20A3B" w:rsidRPr="00D21977" w14:paraId="297F8EB6" w14:textId="77777777" w:rsidTr="005F26E1">
        <w:trPr>
          <w:trHeight w:val="498"/>
          <w:tblHeader/>
        </w:trPr>
        <w:tc>
          <w:tcPr>
            <w:tcW w:w="1663" w:type="dxa"/>
            <w:vMerge/>
            <w:shd w:val="clear" w:color="auto" w:fill="FFFFFF" w:themeFill="background1"/>
            <w:vAlign w:val="center"/>
          </w:tcPr>
          <w:p w14:paraId="0E7773E5"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5222" w:type="dxa"/>
            <w:vMerge/>
            <w:shd w:val="clear" w:color="auto" w:fill="FFFFFF" w:themeFill="background1"/>
          </w:tcPr>
          <w:p w14:paraId="17A5E080" w14:textId="77777777" w:rsidR="00432609" w:rsidRPr="00D21977" w:rsidRDefault="00432609" w:rsidP="00DF0B6E">
            <w:pPr>
              <w:spacing w:after="60"/>
              <w:jc w:val="center"/>
              <w:rPr>
                <w:rFonts w:ascii="Garamond" w:eastAsia="Times New Roman" w:hAnsi="Garamond" w:cs="Times New Roman"/>
                <w:b/>
                <w:bCs/>
                <w:sz w:val="20"/>
                <w:szCs w:val="20"/>
                <w:lang w:eastAsia="es-ES"/>
              </w:rPr>
            </w:pPr>
          </w:p>
        </w:tc>
        <w:tc>
          <w:tcPr>
            <w:tcW w:w="1305" w:type="dxa"/>
            <w:vMerge/>
            <w:shd w:val="clear" w:color="auto" w:fill="FFFFFF" w:themeFill="background1"/>
            <w:vAlign w:val="center"/>
          </w:tcPr>
          <w:p w14:paraId="51A24CD7"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2031" w:type="dxa"/>
            <w:vMerge/>
            <w:shd w:val="clear" w:color="auto" w:fill="FFFFFF" w:themeFill="background1"/>
            <w:vAlign w:val="center"/>
          </w:tcPr>
          <w:p w14:paraId="5A6AB2BD"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806" w:type="dxa"/>
            <w:gridSpan w:val="4"/>
            <w:shd w:val="clear" w:color="auto" w:fill="F2F2F2" w:themeFill="background1" w:themeFillShade="F2"/>
            <w:vAlign w:val="center"/>
          </w:tcPr>
          <w:p w14:paraId="4A57E64F"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2020</w:t>
            </w:r>
          </w:p>
        </w:tc>
        <w:tc>
          <w:tcPr>
            <w:tcW w:w="812" w:type="dxa"/>
            <w:gridSpan w:val="4"/>
            <w:shd w:val="clear" w:color="auto" w:fill="FFFFFF" w:themeFill="background1"/>
            <w:vAlign w:val="center"/>
          </w:tcPr>
          <w:p w14:paraId="292B42E3"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2021</w:t>
            </w:r>
          </w:p>
        </w:tc>
        <w:tc>
          <w:tcPr>
            <w:tcW w:w="812" w:type="dxa"/>
            <w:gridSpan w:val="4"/>
            <w:shd w:val="clear" w:color="auto" w:fill="F2F2F2" w:themeFill="background1" w:themeFillShade="F2"/>
            <w:vAlign w:val="center"/>
          </w:tcPr>
          <w:p w14:paraId="7BB1BE4D"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2022</w:t>
            </w:r>
          </w:p>
        </w:tc>
        <w:tc>
          <w:tcPr>
            <w:tcW w:w="812" w:type="dxa"/>
            <w:gridSpan w:val="4"/>
            <w:shd w:val="clear" w:color="auto" w:fill="FFFFFF" w:themeFill="background1"/>
            <w:vAlign w:val="center"/>
          </w:tcPr>
          <w:p w14:paraId="6CDE86E2"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2023</w:t>
            </w:r>
          </w:p>
        </w:tc>
        <w:tc>
          <w:tcPr>
            <w:tcW w:w="1204" w:type="dxa"/>
            <w:vMerge/>
            <w:shd w:val="clear" w:color="auto" w:fill="FFFFFF" w:themeFill="background1"/>
            <w:vAlign w:val="center"/>
          </w:tcPr>
          <w:p w14:paraId="2FE97022" w14:textId="77777777" w:rsidR="00432609" w:rsidRPr="00D21977" w:rsidRDefault="00432609" w:rsidP="00DF0B6E">
            <w:pPr>
              <w:jc w:val="center"/>
              <w:rPr>
                <w:rFonts w:ascii="Garamond" w:eastAsia="Times New Roman" w:hAnsi="Garamond" w:cs="Times New Roman"/>
                <w:b/>
                <w:bCs/>
                <w:sz w:val="20"/>
                <w:szCs w:val="20"/>
                <w:lang w:eastAsia="es-ES"/>
              </w:rPr>
            </w:pPr>
          </w:p>
        </w:tc>
      </w:tr>
      <w:tr w:rsidR="00F24D65" w:rsidRPr="00D21977" w14:paraId="17204B2F" w14:textId="77777777" w:rsidTr="00922684">
        <w:trPr>
          <w:trHeight w:val="615"/>
        </w:trPr>
        <w:tc>
          <w:tcPr>
            <w:tcW w:w="1663" w:type="dxa"/>
            <w:vMerge w:val="restart"/>
            <w:shd w:val="clear" w:color="auto" w:fill="FFFFFF" w:themeFill="background1"/>
          </w:tcPr>
          <w:p w14:paraId="1D92A51A" w14:textId="77777777" w:rsidR="00F24D65" w:rsidRPr="00EB750A" w:rsidRDefault="00F24D65" w:rsidP="00F24D65">
            <w:pPr>
              <w:spacing w:after="240"/>
              <w:rPr>
                <w:rFonts w:ascii="Garamond" w:hAnsi="Garamond"/>
                <w:sz w:val="20"/>
                <w:szCs w:val="20"/>
                <w:lang w:val="pt-PT"/>
              </w:rPr>
            </w:pPr>
            <w:r w:rsidRPr="00EB750A">
              <w:rPr>
                <w:rFonts w:ascii="Garamond" w:hAnsi="Garamond"/>
                <w:sz w:val="20"/>
                <w:szCs w:val="20"/>
                <w:lang w:val="pt-PT"/>
              </w:rPr>
              <w:t>3.1. Maior integração da igualdade de género, co-responsabilidade e não violência nas práticas educativas nos vários níveis de ensino (pré-escolar, básico, secundário, educação de adultos), ensino superior e formação profissional</w:t>
            </w:r>
          </w:p>
        </w:tc>
        <w:tc>
          <w:tcPr>
            <w:tcW w:w="5222" w:type="dxa"/>
            <w:shd w:val="clear" w:color="auto" w:fill="FFFFFF" w:themeFill="background1"/>
          </w:tcPr>
          <w:p w14:paraId="1DD486C7"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3.1.1. Concluir a integração de conteúdos sobre a educação para a igualdade de género, e ilustrações e linguagem sensível ao género, nos Planos Curriculares do Ensino Básico e Secundário.</w:t>
            </w:r>
          </w:p>
        </w:tc>
        <w:tc>
          <w:tcPr>
            <w:tcW w:w="1305" w:type="dxa"/>
            <w:shd w:val="clear" w:color="auto" w:fill="FFFFFF" w:themeFill="background1"/>
            <w:vAlign w:val="center"/>
          </w:tcPr>
          <w:p w14:paraId="7D4339D6" w14:textId="77777777" w:rsidR="00F24D65" w:rsidRPr="00D21977" w:rsidRDefault="00F24D65" w:rsidP="00F24D65">
            <w:pPr>
              <w:jc w:val="center"/>
              <w:rPr>
                <w:rFonts w:ascii="Garamond" w:hAnsi="Garamond"/>
                <w:sz w:val="20"/>
                <w:szCs w:val="20"/>
              </w:rPr>
            </w:pPr>
            <w:proofErr w:type="spellStart"/>
            <w:r w:rsidRPr="00D21977">
              <w:rPr>
                <w:rFonts w:ascii="Garamond" w:hAnsi="Garamond"/>
                <w:sz w:val="20"/>
                <w:szCs w:val="20"/>
              </w:rPr>
              <w:t>DNE</w:t>
            </w:r>
            <w:proofErr w:type="spellEnd"/>
          </w:p>
        </w:tc>
        <w:tc>
          <w:tcPr>
            <w:tcW w:w="2031" w:type="dxa"/>
            <w:shd w:val="clear" w:color="auto" w:fill="FFFFFF" w:themeFill="background1"/>
            <w:vAlign w:val="center"/>
          </w:tcPr>
          <w:p w14:paraId="170EB3C4" w14:textId="77777777" w:rsidR="00F24D65" w:rsidRPr="00D21977" w:rsidRDefault="00F24D65" w:rsidP="00F24D65">
            <w:pPr>
              <w:jc w:val="center"/>
              <w:rPr>
                <w:rFonts w:ascii="Garamond" w:eastAsia="Times New Roman" w:hAnsi="Garamond" w:cs="Times New Roman"/>
                <w:color w:val="000000"/>
                <w:sz w:val="20"/>
                <w:szCs w:val="20"/>
                <w:lang w:eastAsia="es-ES"/>
              </w:rPr>
            </w:pPr>
          </w:p>
        </w:tc>
        <w:tc>
          <w:tcPr>
            <w:tcW w:w="201" w:type="dxa"/>
            <w:shd w:val="clear" w:color="auto" w:fill="F2F2F2" w:themeFill="background1" w:themeFillShade="F2"/>
            <w:vAlign w:val="center"/>
          </w:tcPr>
          <w:p w14:paraId="2A1324C5"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3B7666BE"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850644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F250A02"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AFDCA5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549313E"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3F3011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C7DF34C"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16EB94E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6BD64F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AD8721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C9E9675"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5AFECAC3"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BB586E2"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7E04897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F1A2300"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78BD7437" w14:textId="2CBADF8B"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2 460 000</w:t>
            </w:r>
          </w:p>
        </w:tc>
      </w:tr>
      <w:tr w:rsidR="00F24D65" w:rsidRPr="00D21977" w14:paraId="7EF804D9" w14:textId="77777777" w:rsidTr="00922684">
        <w:trPr>
          <w:trHeight w:val="615"/>
        </w:trPr>
        <w:tc>
          <w:tcPr>
            <w:tcW w:w="1663" w:type="dxa"/>
            <w:vMerge/>
            <w:shd w:val="clear" w:color="auto" w:fill="FFFFFF" w:themeFill="background1"/>
          </w:tcPr>
          <w:p w14:paraId="4CF0FE73"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545E5A57"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3.1.2. Realizar uma análise da implementação dos currículos revistos e respectivos materiais didáctico-pedagógicos, compilar boas práticas e implementar recomendações.</w:t>
            </w:r>
          </w:p>
        </w:tc>
        <w:tc>
          <w:tcPr>
            <w:tcW w:w="1305" w:type="dxa"/>
            <w:shd w:val="clear" w:color="auto" w:fill="FFFFFF" w:themeFill="background1"/>
            <w:vAlign w:val="center"/>
          </w:tcPr>
          <w:p w14:paraId="42BCB045" w14:textId="77777777" w:rsidR="00F24D65" w:rsidRPr="00D21977" w:rsidRDefault="00F24D65" w:rsidP="00F24D65">
            <w:pPr>
              <w:jc w:val="center"/>
              <w:rPr>
                <w:rFonts w:ascii="Garamond" w:hAnsi="Garamond"/>
                <w:sz w:val="20"/>
                <w:szCs w:val="20"/>
              </w:rPr>
            </w:pPr>
            <w:proofErr w:type="spellStart"/>
            <w:r w:rsidRPr="00D21977">
              <w:rPr>
                <w:rFonts w:ascii="Garamond" w:hAnsi="Garamond"/>
                <w:sz w:val="20"/>
                <w:szCs w:val="20"/>
              </w:rPr>
              <w:t>ICIEG</w:t>
            </w:r>
            <w:proofErr w:type="spellEnd"/>
          </w:p>
        </w:tc>
        <w:tc>
          <w:tcPr>
            <w:tcW w:w="2031" w:type="dxa"/>
            <w:shd w:val="clear" w:color="auto" w:fill="FFFFFF" w:themeFill="background1"/>
            <w:vAlign w:val="center"/>
          </w:tcPr>
          <w:p w14:paraId="5BC319C9"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1" w:type="dxa"/>
            <w:shd w:val="clear" w:color="auto" w:fill="F2F2F2" w:themeFill="background1" w:themeFillShade="F2"/>
            <w:vAlign w:val="center"/>
          </w:tcPr>
          <w:p w14:paraId="66C1223D"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1A4B5F6B"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2" w:type="dxa"/>
            <w:shd w:val="clear" w:color="auto" w:fill="F2F2F2" w:themeFill="background1" w:themeFillShade="F2"/>
            <w:vAlign w:val="center"/>
          </w:tcPr>
          <w:p w14:paraId="58985CD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82F980C"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4E8F7A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872703A"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59484CB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5B4EF9D"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2F2F2" w:themeFill="background1" w:themeFillShade="F2"/>
            <w:vAlign w:val="center"/>
          </w:tcPr>
          <w:p w14:paraId="495924A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BE0644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A74AFF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98EA5F7"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1081C06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CBF4127"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30335A2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D171E21"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3AEBB127" w14:textId="181EB349"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3 050 000</w:t>
            </w:r>
          </w:p>
        </w:tc>
      </w:tr>
      <w:tr w:rsidR="00F24D65" w:rsidRPr="00D21977" w14:paraId="75EB7916" w14:textId="77777777" w:rsidTr="00922684">
        <w:trPr>
          <w:trHeight w:val="615"/>
        </w:trPr>
        <w:tc>
          <w:tcPr>
            <w:tcW w:w="1663" w:type="dxa"/>
            <w:vMerge/>
            <w:shd w:val="clear" w:color="auto" w:fill="FFFFFF" w:themeFill="background1"/>
          </w:tcPr>
          <w:p w14:paraId="0BDEF751"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03C282EB"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 xml:space="preserve">3.1.3. Elaborar e implementar módulos de formação para os docentes dos diferentes níveis educativos (presencial e on-line) e pessoal da educação com responsabilidades de supervisão pedagógica e fiscalização.   </w:t>
            </w:r>
          </w:p>
        </w:tc>
        <w:tc>
          <w:tcPr>
            <w:tcW w:w="1305" w:type="dxa"/>
            <w:shd w:val="clear" w:color="auto" w:fill="FFFFFF" w:themeFill="background1"/>
            <w:vAlign w:val="center"/>
          </w:tcPr>
          <w:p w14:paraId="58253674" w14:textId="77777777" w:rsidR="00F24D65" w:rsidRPr="00D21977" w:rsidRDefault="00F24D65" w:rsidP="00F24D65">
            <w:pPr>
              <w:jc w:val="center"/>
              <w:rPr>
                <w:rFonts w:ascii="Garamond" w:hAnsi="Garamond"/>
                <w:sz w:val="20"/>
                <w:szCs w:val="20"/>
              </w:rPr>
            </w:pPr>
            <w:proofErr w:type="spellStart"/>
            <w:r w:rsidRPr="00D21977">
              <w:rPr>
                <w:rFonts w:ascii="Garamond" w:hAnsi="Garamond"/>
                <w:sz w:val="20"/>
                <w:szCs w:val="20"/>
              </w:rPr>
              <w:t>DNE</w:t>
            </w:r>
            <w:proofErr w:type="spellEnd"/>
          </w:p>
        </w:tc>
        <w:tc>
          <w:tcPr>
            <w:tcW w:w="2031" w:type="dxa"/>
            <w:shd w:val="clear" w:color="auto" w:fill="FFFFFF" w:themeFill="background1"/>
            <w:vAlign w:val="center"/>
          </w:tcPr>
          <w:p w14:paraId="26A6EC1D"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IUP</w:t>
            </w:r>
            <w:proofErr w:type="spellEnd"/>
          </w:p>
        </w:tc>
        <w:tc>
          <w:tcPr>
            <w:tcW w:w="201" w:type="dxa"/>
            <w:shd w:val="clear" w:color="auto" w:fill="F2F2F2" w:themeFill="background1" w:themeFillShade="F2"/>
            <w:vAlign w:val="center"/>
          </w:tcPr>
          <w:p w14:paraId="6CBCE48E"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25991B7E"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2" w:type="dxa"/>
            <w:shd w:val="clear" w:color="auto" w:fill="F2F2F2" w:themeFill="background1" w:themeFillShade="F2"/>
            <w:vAlign w:val="center"/>
          </w:tcPr>
          <w:p w14:paraId="7DC066A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92EB8C8"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7073BFC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390F715"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B63A6B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8FE8169"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26B759F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302EA6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1E7B94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1BAB6CD"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6303953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B7F448E"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7C75C78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D75C032"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395B12C2" w14:textId="6CD0BE8D"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4 595 000</w:t>
            </w:r>
          </w:p>
        </w:tc>
      </w:tr>
      <w:tr w:rsidR="00F24D65" w:rsidRPr="00D21977" w14:paraId="64340600" w14:textId="77777777" w:rsidTr="00922684">
        <w:trPr>
          <w:trHeight w:val="615"/>
        </w:trPr>
        <w:tc>
          <w:tcPr>
            <w:tcW w:w="1663" w:type="dxa"/>
            <w:vMerge/>
            <w:shd w:val="clear" w:color="auto" w:fill="FFFFFF" w:themeFill="background1"/>
          </w:tcPr>
          <w:p w14:paraId="65912E50"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0DAA8D81"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 xml:space="preserve">3.1.4. Elaborar e implementar uma proposta de integração do género no curriculum dos cursos públicos e privados de graduação de docentes de todos os níveis do sistema educativo e capacitação dos formadores de docentes </w:t>
            </w:r>
          </w:p>
        </w:tc>
        <w:tc>
          <w:tcPr>
            <w:tcW w:w="1305" w:type="dxa"/>
            <w:shd w:val="clear" w:color="auto" w:fill="FFFFFF" w:themeFill="background1"/>
            <w:vAlign w:val="center"/>
          </w:tcPr>
          <w:p w14:paraId="63034A8E" w14:textId="77777777" w:rsidR="00F24D65" w:rsidRPr="00D21977" w:rsidRDefault="00F24D65" w:rsidP="00F24D65">
            <w:pPr>
              <w:jc w:val="center"/>
              <w:rPr>
                <w:rFonts w:ascii="Garamond" w:hAnsi="Garamond"/>
                <w:sz w:val="20"/>
                <w:szCs w:val="20"/>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p>
        </w:tc>
        <w:tc>
          <w:tcPr>
            <w:tcW w:w="2031" w:type="dxa"/>
            <w:shd w:val="clear" w:color="auto" w:fill="FFFFFF" w:themeFill="background1"/>
            <w:vAlign w:val="center"/>
          </w:tcPr>
          <w:p w14:paraId="10500860"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IUP</w:t>
            </w:r>
            <w:proofErr w:type="spellEnd"/>
            <w:r w:rsidRPr="00D21977">
              <w:rPr>
                <w:rFonts w:ascii="Garamond" w:eastAsia="Times New Roman" w:hAnsi="Garamond" w:cs="Times New Roman"/>
                <w:color w:val="000000"/>
                <w:sz w:val="20"/>
                <w:szCs w:val="20"/>
                <w:lang w:eastAsia="es-ES"/>
              </w:rPr>
              <w:t xml:space="preserve">, ARES, </w:t>
            </w: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w:t>
            </w:r>
          </w:p>
        </w:tc>
        <w:tc>
          <w:tcPr>
            <w:tcW w:w="201" w:type="dxa"/>
            <w:shd w:val="clear" w:color="auto" w:fill="F2F2F2" w:themeFill="background1" w:themeFillShade="F2"/>
            <w:vAlign w:val="center"/>
          </w:tcPr>
          <w:p w14:paraId="695DF5BB"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54A9033D"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2" w:type="dxa"/>
            <w:shd w:val="clear" w:color="auto" w:fill="F2F2F2" w:themeFill="background1" w:themeFillShade="F2"/>
            <w:vAlign w:val="center"/>
          </w:tcPr>
          <w:p w14:paraId="72EE221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349F7C0A"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65666CD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56957F5"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560172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26572D5"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8F347A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8105ED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713D03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E2709CC"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5AAFA5B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F74FF5A"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6674D71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B6B89EF"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579758BC" w14:textId="1F2B088F"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1 230 000</w:t>
            </w:r>
          </w:p>
        </w:tc>
      </w:tr>
      <w:tr w:rsidR="00F24D65" w:rsidRPr="00D21977" w14:paraId="3FE393E2" w14:textId="77777777" w:rsidTr="00922684">
        <w:trPr>
          <w:trHeight w:val="615"/>
        </w:trPr>
        <w:tc>
          <w:tcPr>
            <w:tcW w:w="1663" w:type="dxa"/>
            <w:vMerge/>
            <w:shd w:val="clear" w:color="auto" w:fill="FFFFFF" w:themeFill="background1"/>
          </w:tcPr>
          <w:p w14:paraId="3AD728CF"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6B455BDF"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3.1.5. Identificar os cursos superiores prioritários para a integração curricular da igualdade de género, e elaborar e testar uma proposta de integração curricular.</w:t>
            </w:r>
          </w:p>
        </w:tc>
        <w:tc>
          <w:tcPr>
            <w:tcW w:w="1305" w:type="dxa"/>
            <w:shd w:val="clear" w:color="auto" w:fill="FFFFFF" w:themeFill="background1"/>
            <w:vAlign w:val="center"/>
          </w:tcPr>
          <w:p w14:paraId="5EE26F93" w14:textId="77777777" w:rsidR="00F24D65" w:rsidRPr="00D21977" w:rsidRDefault="00F24D65" w:rsidP="00F24D65">
            <w:pPr>
              <w:jc w:val="center"/>
              <w:rPr>
                <w:rFonts w:ascii="Garamond" w:hAnsi="Garamond"/>
                <w:sz w:val="20"/>
                <w:szCs w:val="20"/>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p>
        </w:tc>
        <w:tc>
          <w:tcPr>
            <w:tcW w:w="2031" w:type="dxa"/>
            <w:shd w:val="clear" w:color="auto" w:fill="FFFFFF" w:themeFill="background1"/>
            <w:vAlign w:val="center"/>
          </w:tcPr>
          <w:p w14:paraId="2FDF3418" w14:textId="6C9CE90E"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ARES, </w:t>
            </w:r>
            <w:proofErr w:type="spellStart"/>
            <w:r w:rsidRPr="00D21977">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UNFPA</w:t>
            </w:r>
            <w:proofErr w:type="spellEnd"/>
          </w:p>
        </w:tc>
        <w:tc>
          <w:tcPr>
            <w:tcW w:w="201" w:type="dxa"/>
            <w:shd w:val="clear" w:color="auto" w:fill="F2F2F2" w:themeFill="background1" w:themeFillShade="F2"/>
            <w:vAlign w:val="center"/>
          </w:tcPr>
          <w:p w14:paraId="20DE4075"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095B83C7"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2" w:type="dxa"/>
            <w:shd w:val="clear" w:color="auto" w:fill="F2F2F2" w:themeFill="background1" w:themeFillShade="F2"/>
            <w:vAlign w:val="center"/>
          </w:tcPr>
          <w:p w14:paraId="16DB1069" w14:textId="557A7D44"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6D113893" w14:textId="1CCBE770"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48B45497" w14:textId="40515B91"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91E01FE" w14:textId="0FA63A62"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F3F3EA6" w14:textId="771A88B5"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85323D2" w14:textId="4FFB700E"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08920E0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62FE04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5BAF7A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0BC8E6E"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5CB0B89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2A7A17B"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73EA91F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8EED055"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4CBB1363" w14:textId="50F407A0"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1 755 000</w:t>
            </w:r>
          </w:p>
        </w:tc>
      </w:tr>
      <w:tr w:rsidR="00F24D65" w:rsidRPr="00D21977" w14:paraId="05183642" w14:textId="77777777" w:rsidTr="00922684">
        <w:trPr>
          <w:trHeight w:val="615"/>
        </w:trPr>
        <w:tc>
          <w:tcPr>
            <w:tcW w:w="1663" w:type="dxa"/>
            <w:vMerge/>
            <w:shd w:val="clear" w:color="auto" w:fill="FFFFFF" w:themeFill="background1"/>
          </w:tcPr>
          <w:p w14:paraId="18AD138E"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42D3E8E1" w14:textId="77777777" w:rsidR="00F24D65" w:rsidRPr="00EB750A" w:rsidRDefault="00F24D65" w:rsidP="00F24D65">
            <w:pPr>
              <w:spacing w:after="60"/>
              <w:rPr>
                <w:rFonts w:ascii="Garamond" w:hAnsi="Garamond" w:cs="Arial"/>
                <w:sz w:val="20"/>
                <w:szCs w:val="20"/>
                <w:lang w:val="pt-PT"/>
              </w:rPr>
            </w:pPr>
            <w:r w:rsidRPr="00EB750A">
              <w:rPr>
                <w:rFonts w:ascii="Garamond" w:hAnsi="Garamond"/>
                <w:sz w:val="20"/>
                <w:szCs w:val="20"/>
                <w:lang w:val="pt-PT"/>
              </w:rPr>
              <w:t>3.1.6. Identificar os conteúdos de género a integrar de forma transversal no currículo da formação profissional e conteúdos específicos dos diferentes cursos e revisar programas.</w:t>
            </w:r>
          </w:p>
        </w:tc>
        <w:tc>
          <w:tcPr>
            <w:tcW w:w="1305" w:type="dxa"/>
            <w:shd w:val="clear" w:color="auto" w:fill="FFFFFF" w:themeFill="background1"/>
            <w:vAlign w:val="center"/>
          </w:tcPr>
          <w:p w14:paraId="5699E5B7" w14:textId="77777777" w:rsidR="00F24D65" w:rsidRPr="00D21977" w:rsidRDefault="00F24D65" w:rsidP="00F24D65">
            <w:pPr>
              <w:jc w:val="center"/>
              <w:rPr>
                <w:rFonts w:ascii="Garamond" w:hAnsi="Garamond"/>
                <w:sz w:val="20"/>
                <w:szCs w:val="20"/>
              </w:rPr>
            </w:pPr>
            <w:r w:rsidRPr="00D21977">
              <w:rPr>
                <w:rFonts w:ascii="Garamond" w:hAnsi="Garamond"/>
                <w:sz w:val="20"/>
                <w:szCs w:val="20"/>
              </w:rPr>
              <w:t>IEFP</w:t>
            </w:r>
          </w:p>
        </w:tc>
        <w:tc>
          <w:tcPr>
            <w:tcW w:w="2031" w:type="dxa"/>
            <w:shd w:val="clear" w:color="auto" w:fill="FFFFFF" w:themeFill="background1"/>
            <w:vAlign w:val="center"/>
          </w:tcPr>
          <w:p w14:paraId="690E7F7C" w14:textId="460D5065"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SNQ</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LuxDev</w:t>
            </w:r>
            <w:proofErr w:type="spellEnd"/>
          </w:p>
        </w:tc>
        <w:tc>
          <w:tcPr>
            <w:tcW w:w="201" w:type="dxa"/>
            <w:shd w:val="clear" w:color="auto" w:fill="F2F2F2" w:themeFill="background1" w:themeFillShade="F2"/>
            <w:vAlign w:val="center"/>
          </w:tcPr>
          <w:p w14:paraId="6C3DA85D"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1470DC58"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8C1C67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CE7299B"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B33F48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337C07E"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CE0947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EAD5CD9"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2F2F2" w:themeFill="background1" w:themeFillShade="F2"/>
            <w:vAlign w:val="center"/>
          </w:tcPr>
          <w:p w14:paraId="2BCFB7B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AC7BAE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B59039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0EB4DA8"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3E0F20C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568C6E8"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FA3ABF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508FBF8"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1204" w:type="dxa"/>
            <w:shd w:val="clear" w:color="auto" w:fill="FFFFFF" w:themeFill="background1"/>
            <w:vAlign w:val="center"/>
          </w:tcPr>
          <w:p w14:paraId="04B73FD3" w14:textId="3CD56F60"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2 770 000</w:t>
            </w:r>
          </w:p>
        </w:tc>
      </w:tr>
      <w:tr w:rsidR="00F24D65" w:rsidRPr="00D21977" w14:paraId="0B44F328" w14:textId="77777777" w:rsidTr="00922684">
        <w:trPr>
          <w:trHeight w:val="615"/>
        </w:trPr>
        <w:tc>
          <w:tcPr>
            <w:tcW w:w="1663" w:type="dxa"/>
            <w:vMerge/>
            <w:shd w:val="clear" w:color="auto" w:fill="FFFFFF" w:themeFill="background1"/>
          </w:tcPr>
          <w:p w14:paraId="0CE622B9"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73CED524"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3.1.7. Rever o perfil dos formadores certificados do sistema de formação profissional, para que inclua competências de género e ministrar o Módulo de Género da Formação Profissional aos formadores certificados.   </w:t>
            </w:r>
          </w:p>
        </w:tc>
        <w:tc>
          <w:tcPr>
            <w:tcW w:w="1305" w:type="dxa"/>
            <w:shd w:val="clear" w:color="auto" w:fill="FFFFFF" w:themeFill="background1"/>
            <w:vAlign w:val="center"/>
          </w:tcPr>
          <w:p w14:paraId="60D3C049"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hAnsi="Garamond"/>
                <w:sz w:val="20"/>
                <w:szCs w:val="20"/>
              </w:rPr>
              <w:t>IEFP</w:t>
            </w:r>
          </w:p>
        </w:tc>
        <w:tc>
          <w:tcPr>
            <w:tcW w:w="2031" w:type="dxa"/>
            <w:shd w:val="clear" w:color="auto" w:fill="FFFFFF" w:themeFill="background1"/>
            <w:vAlign w:val="center"/>
          </w:tcPr>
          <w:p w14:paraId="36849440" w14:textId="5257CB6D"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SNQ</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LuxDev</w:t>
            </w:r>
            <w:proofErr w:type="spellEnd"/>
          </w:p>
        </w:tc>
        <w:tc>
          <w:tcPr>
            <w:tcW w:w="201" w:type="dxa"/>
            <w:shd w:val="clear" w:color="auto" w:fill="F2F2F2" w:themeFill="background1" w:themeFillShade="F2"/>
            <w:vAlign w:val="center"/>
          </w:tcPr>
          <w:p w14:paraId="17382C07" w14:textId="6180E6F3"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60FDB4AD" w14:textId="2928D6D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00092A2B" w14:textId="1EC6B26D"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7AA35483" w14:textId="47B7BB8A"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6EE1BD3" w14:textId="6EA282F5"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7AE6D67" w14:textId="6B86EB6F"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9A7FD0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CA2017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E1F97AA" w14:textId="3202FA09"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D0A0F46" w14:textId="373EF6B9"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5F8EB5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96831B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D47B7D6" w14:textId="058BEDAE"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364405E" w14:textId="6429D0D9"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80635C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14924A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2E0EDD1A" w14:textId="631E7F14"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1 520 000</w:t>
            </w:r>
          </w:p>
        </w:tc>
      </w:tr>
      <w:tr w:rsidR="00F24D65" w:rsidRPr="00D21977" w14:paraId="327A7223" w14:textId="77777777" w:rsidTr="005F26E1">
        <w:trPr>
          <w:trHeight w:val="615"/>
        </w:trPr>
        <w:tc>
          <w:tcPr>
            <w:tcW w:w="1663" w:type="dxa"/>
            <w:vMerge/>
            <w:shd w:val="clear" w:color="auto" w:fill="FFFFFF" w:themeFill="background1"/>
          </w:tcPr>
          <w:p w14:paraId="6F310EA9" w14:textId="77777777" w:rsidR="00F24D65" w:rsidRPr="00D21977" w:rsidRDefault="00F24D65" w:rsidP="00F24D65">
            <w:pPr>
              <w:spacing w:after="240"/>
              <w:rPr>
                <w:rFonts w:ascii="Garamond" w:hAnsi="Garamond"/>
                <w:sz w:val="20"/>
                <w:szCs w:val="20"/>
              </w:rPr>
            </w:pPr>
          </w:p>
        </w:tc>
        <w:tc>
          <w:tcPr>
            <w:tcW w:w="5222" w:type="dxa"/>
            <w:shd w:val="clear" w:color="auto" w:fill="FFFFFF" w:themeFill="background1"/>
          </w:tcPr>
          <w:p w14:paraId="480C4E06"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3.1.8. Definir e integrar critérios de </w:t>
            </w:r>
            <w:proofErr w:type="spellStart"/>
            <w:r w:rsidRPr="00EB750A">
              <w:rPr>
                <w:rFonts w:ascii="Garamond" w:hAnsi="Garamond"/>
                <w:sz w:val="20"/>
                <w:szCs w:val="20"/>
                <w:lang w:val="pt-PT"/>
              </w:rPr>
              <w:t>transversalização</w:t>
            </w:r>
            <w:proofErr w:type="spellEnd"/>
            <w:r w:rsidRPr="00EB750A">
              <w:rPr>
                <w:rFonts w:ascii="Garamond" w:hAnsi="Garamond"/>
                <w:sz w:val="20"/>
                <w:szCs w:val="20"/>
                <w:lang w:val="pt-PT"/>
              </w:rPr>
              <w:t xml:space="preserve"> da igualdade de género no sistema nacional de garantia de qualidade do ensino superior.</w:t>
            </w:r>
          </w:p>
        </w:tc>
        <w:tc>
          <w:tcPr>
            <w:tcW w:w="1305" w:type="dxa"/>
            <w:shd w:val="clear" w:color="auto" w:fill="FFFFFF" w:themeFill="background1"/>
            <w:vAlign w:val="center"/>
          </w:tcPr>
          <w:p w14:paraId="1B1A13EC"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ARES</w:t>
            </w:r>
          </w:p>
        </w:tc>
        <w:tc>
          <w:tcPr>
            <w:tcW w:w="2031" w:type="dxa"/>
            <w:shd w:val="clear" w:color="auto" w:fill="FFFFFF" w:themeFill="background1"/>
            <w:vAlign w:val="center"/>
          </w:tcPr>
          <w:p w14:paraId="527B131C"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Universidades</w:t>
            </w:r>
            <w:proofErr w:type="spellEnd"/>
          </w:p>
        </w:tc>
        <w:tc>
          <w:tcPr>
            <w:tcW w:w="201" w:type="dxa"/>
            <w:shd w:val="clear" w:color="auto" w:fill="F2F2F2" w:themeFill="background1" w:themeFillShade="F2"/>
            <w:vAlign w:val="center"/>
          </w:tcPr>
          <w:p w14:paraId="5698F2DC"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44A9CC0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4104BD73"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DE4B24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9973A6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9A89D0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49D932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C23F99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B2A0FD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7AD53D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F761833"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08B461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A0D2AB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62D5FA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5BBCFC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11EE90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09DE5BF5" w14:textId="23FE0DDD"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500 000</w:t>
            </w:r>
          </w:p>
        </w:tc>
      </w:tr>
      <w:tr w:rsidR="00F24D65" w:rsidRPr="00D21977" w14:paraId="016D80C3" w14:textId="77777777" w:rsidTr="00922684">
        <w:trPr>
          <w:trHeight w:val="615"/>
        </w:trPr>
        <w:tc>
          <w:tcPr>
            <w:tcW w:w="1663" w:type="dxa"/>
            <w:vMerge/>
            <w:shd w:val="clear" w:color="auto" w:fill="FFFFFF" w:themeFill="background1"/>
          </w:tcPr>
          <w:p w14:paraId="1E798208"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367E342A" w14:textId="77777777" w:rsidR="00F24D65" w:rsidRPr="00EB750A" w:rsidRDefault="00F24D65" w:rsidP="00F24D65">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3.1.9. Apoiar a definição de um plano de produção de pesquisas e conhecimentos associados à igualdade de género no contexto universitário e operacionalizar uma base dados, acessível, para a sua divulgação</w:t>
            </w:r>
          </w:p>
        </w:tc>
        <w:tc>
          <w:tcPr>
            <w:tcW w:w="1305" w:type="dxa"/>
            <w:shd w:val="clear" w:color="auto" w:fill="FFFFFF" w:themeFill="background1"/>
            <w:vAlign w:val="center"/>
          </w:tcPr>
          <w:p w14:paraId="22A3FF22"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p>
        </w:tc>
        <w:tc>
          <w:tcPr>
            <w:tcW w:w="2031" w:type="dxa"/>
            <w:shd w:val="clear" w:color="auto" w:fill="FFFFFF" w:themeFill="background1"/>
            <w:vAlign w:val="center"/>
          </w:tcPr>
          <w:p w14:paraId="087F86F5"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ARES, </w:t>
            </w: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xml:space="preserve"> </w:t>
            </w:r>
          </w:p>
        </w:tc>
        <w:tc>
          <w:tcPr>
            <w:tcW w:w="201" w:type="dxa"/>
            <w:shd w:val="clear" w:color="auto" w:fill="F2F2F2" w:themeFill="background1" w:themeFillShade="F2"/>
            <w:vAlign w:val="center"/>
          </w:tcPr>
          <w:p w14:paraId="1F69230C"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1F72461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7DF8E70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0C3FA9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971673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E91AC8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5959BE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78BB2D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5595AA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FF732A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95FDC4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D9384C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F59F4C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91137E3"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499CA0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AE7F16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0F245F6D" w14:textId="6466AAD4"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410 000</w:t>
            </w:r>
          </w:p>
        </w:tc>
      </w:tr>
      <w:tr w:rsidR="00F24D65" w:rsidRPr="00D21977" w14:paraId="1B0869B0" w14:textId="77777777" w:rsidTr="00922684">
        <w:trPr>
          <w:trHeight w:val="615"/>
        </w:trPr>
        <w:tc>
          <w:tcPr>
            <w:tcW w:w="1663" w:type="dxa"/>
            <w:vMerge w:val="restart"/>
            <w:shd w:val="clear" w:color="auto" w:fill="FFFFFF" w:themeFill="background1"/>
          </w:tcPr>
          <w:p w14:paraId="60F17A1A" w14:textId="77777777" w:rsidR="00F24D65" w:rsidRPr="00EB750A" w:rsidRDefault="00F24D65" w:rsidP="00F24D65">
            <w:pPr>
              <w:spacing w:after="240"/>
              <w:rPr>
                <w:rFonts w:ascii="Garamond" w:hAnsi="Garamond"/>
                <w:sz w:val="20"/>
                <w:szCs w:val="20"/>
                <w:lang w:val="pt-PT"/>
              </w:rPr>
            </w:pPr>
            <w:r w:rsidRPr="00EB750A">
              <w:rPr>
                <w:rFonts w:ascii="Garamond" w:hAnsi="Garamond"/>
                <w:sz w:val="20"/>
                <w:szCs w:val="20"/>
                <w:lang w:val="pt-PT"/>
              </w:rPr>
              <w:t xml:space="preserve">3.2. Escolhas vocacionais das meninas/ mulheres e dos meninos/ </w:t>
            </w:r>
            <w:proofErr w:type="gramStart"/>
            <w:r w:rsidRPr="00EB750A">
              <w:rPr>
                <w:rFonts w:ascii="Garamond" w:hAnsi="Garamond"/>
                <w:sz w:val="20"/>
                <w:szCs w:val="20"/>
                <w:lang w:val="pt-PT"/>
              </w:rPr>
              <w:t>homens diversificadas</w:t>
            </w:r>
            <w:proofErr w:type="gramEnd"/>
          </w:p>
        </w:tc>
        <w:tc>
          <w:tcPr>
            <w:tcW w:w="5222" w:type="dxa"/>
            <w:shd w:val="clear" w:color="auto" w:fill="FFFFFF" w:themeFill="background1"/>
          </w:tcPr>
          <w:p w14:paraId="2AE6194E"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3.2.1. Elaborar um relatório analítico (</w:t>
            </w:r>
            <w:proofErr w:type="spellStart"/>
            <w:r w:rsidRPr="00EB750A">
              <w:rPr>
                <w:rFonts w:ascii="Garamond" w:hAnsi="Garamond"/>
                <w:i/>
                <w:iCs/>
                <w:sz w:val="20"/>
                <w:szCs w:val="20"/>
                <w:lang w:val="pt-PT"/>
              </w:rPr>
              <w:t>paper</w:t>
            </w:r>
            <w:proofErr w:type="spellEnd"/>
            <w:r w:rsidRPr="00EB750A">
              <w:rPr>
                <w:rFonts w:ascii="Garamond" w:hAnsi="Garamond"/>
                <w:sz w:val="20"/>
                <w:szCs w:val="20"/>
                <w:lang w:val="pt-PT"/>
              </w:rPr>
              <w:t xml:space="preserve">) e recomendações em relação a mulheres e homens na </w:t>
            </w:r>
            <w:proofErr w:type="spellStart"/>
            <w:r w:rsidRPr="00EB750A">
              <w:rPr>
                <w:rFonts w:ascii="Garamond" w:hAnsi="Garamond"/>
                <w:sz w:val="20"/>
                <w:szCs w:val="20"/>
                <w:lang w:val="pt-PT"/>
              </w:rPr>
              <w:t>STEM</w:t>
            </w:r>
            <w:proofErr w:type="spellEnd"/>
            <w:r w:rsidRPr="00EB750A">
              <w:rPr>
                <w:rFonts w:ascii="Garamond" w:hAnsi="Garamond"/>
                <w:sz w:val="20"/>
                <w:szCs w:val="20"/>
                <w:lang w:val="pt-PT"/>
              </w:rPr>
              <w:t xml:space="preserve"> e divulgar a todos os intervenientes (EFE) </w:t>
            </w:r>
          </w:p>
        </w:tc>
        <w:tc>
          <w:tcPr>
            <w:tcW w:w="1305" w:type="dxa"/>
            <w:shd w:val="clear" w:color="auto" w:fill="FFFFFF" w:themeFill="background1"/>
            <w:vAlign w:val="center"/>
          </w:tcPr>
          <w:p w14:paraId="58658CD1"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CIGEF</w:t>
            </w:r>
            <w:proofErr w:type="spellEnd"/>
          </w:p>
        </w:tc>
        <w:tc>
          <w:tcPr>
            <w:tcW w:w="2031" w:type="dxa"/>
            <w:shd w:val="clear" w:color="auto" w:fill="FFFFFF" w:themeFill="background1"/>
            <w:vAlign w:val="center"/>
          </w:tcPr>
          <w:p w14:paraId="4AD812B4" w14:textId="77777777" w:rsidR="00F24D65" w:rsidRPr="00EB750A" w:rsidRDefault="00F24D65" w:rsidP="00F24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Instituições do </w:t>
            </w:r>
            <w:proofErr w:type="spellStart"/>
            <w:r w:rsidRPr="00EB750A">
              <w:rPr>
                <w:rFonts w:ascii="Garamond" w:eastAsia="Times New Roman" w:hAnsi="Garamond" w:cs="Times New Roman"/>
                <w:color w:val="000000"/>
                <w:sz w:val="20"/>
                <w:szCs w:val="20"/>
                <w:lang w:val="pt-PT" w:eastAsia="es-ES"/>
              </w:rPr>
              <w:t>setor</w:t>
            </w:r>
            <w:proofErr w:type="spellEnd"/>
            <w:r w:rsidRPr="00EB750A">
              <w:rPr>
                <w:rFonts w:ascii="Garamond" w:eastAsia="Times New Roman" w:hAnsi="Garamond" w:cs="Times New Roman"/>
                <w:color w:val="000000"/>
                <w:sz w:val="20"/>
                <w:szCs w:val="20"/>
                <w:lang w:val="pt-PT" w:eastAsia="es-ES"/>
              </w:rPr>
              <w:t xml:space="preserve"> EFE, Universidades, </w:t>
            </w:r>
            <w:proofErr w:type="spellStart"/>
            <w:r w:rsidRPr="00EB750A">
              <w:rPr>
                <w:rFonts w:ascii="Garamond" w:eastAsia="Times New Roman" w:hAnsi="Garamond" w:cs="Times New Roman"/>
                <w:color w:val="000000"/>
                <w:sz w:val="20"/>
                <w:szCs w:val="20"/>
                <w:lang w:val="pt-PT" w:eastAsia="es-ES"/>
              </w:rPr>
              <w:t>OSC</w:t>
            </w:r>
            <w:proofErr w:type="spellEnd"/>
          </w:p>
        </w:tc>
        <w:tc>
          <w:tcPr>
            <w:tcW w:w="201" w:type="dxa"/>
            <w:shd w:val="clear" w:color="auto" w:fill="F2F2F2" w:themeFill="background1" w:themeFillShade="F2"/>
            <w:vAlign w:val="center"/>
          </w:tcPr>
          <w:p w14:paraId="5E5268FE" w14:textId="77777777" w:rsidR="00F24D65" w:rsidRPr="00F35105" w:rsidRDefault="00F24D65" w:rsidP="00F24D65">
            <w:pPr>
              <w:jc w:val="center"/>
              <w:rPr>
                <w:rFonts w:ascii="Garamond" w:eastAsia="Times New Roman" w:hAnsi="Garamond" w:cs="Times New Roman"/>
                <w:b/>
                <w:bCs/>
                <w:color w:val="000000"/>
                <w:sz w:val="12"/>
                <w:szCs w:val="12"/>
                <w:lang w:val="pt-PT" w:eastAsia="es-ES"/>
              </w:rPr>
            </w:pPr>
          </w:p>
        </w:tc>
        <w:tc>
          <w:tcPr>
            <w:tcW w:w="201" w:type="dxa"/>
            <w:shd w:val="clear" w:color="auto" w:fill="F2F2F2" w:themeFill="background1" w:themeFillShade="F2"/>
            <w:vAlign w:val="center"/>
          </w:tcPr>
          <w:p w14:paraId="1A92BDC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0A884009"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280D5597"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22993DC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BE4A0E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CFEEB4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A941553"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E02DC8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ED31CE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408BF6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EA3CB6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CBFFBD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C2D995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C613CF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96D4BD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01043F98" w14:textId="51B47529"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500 000</w:t>
            </w:r>
          </w:p>
        </w:tc>
      </w:tr>
      <w:tr w:rsidR="00F24D65" w:rsidRPr="00D21977" w14:paraId="1EF40CD7" w14:textId="77777777" w:rsidTr="00922684">
        <w:trPr>
          <w:trHeight w:val="615"/>
        </w:trPr>
        <w:tc>
          <w:tcPr>
            <w:tcW w:w="1663" w:type="dxa"/>
            <w:vMerge/>
            <w:shd w:val="clear" w:color="auto" w:fill="FFFFFF" w:themeFill="background1"/>
          </w:tcPr>
          <w:p w14:paraId="2CCB32A5"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0A62C1A5"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3.2.2. Definir e implementar medidas especiais temporárias para promover um maior número de mulheres e meninas nas áreas das técnicas de ponta e das </w:t>
            </w:r>
            <w:proofErr w:type="spellStart"/>
            <w:r w:rsidRPr="00EB750A">
              <w:rPr>
                <w:rFonts w:ascii="Garamond" w:hAnsi="Garamond"/>
                <w:sz w:val="20"/>
                <w:szCs w:val="20"/>
                <w:lang w:val="pt-PT"/>
              </w:rPr>
              <w:t>STEM</w:t>
            </w:r>
            <w:proofErr w:type="spellEnd"/>
            <w:r w:rsidRPr="00EB750A">
              <w:rPr>
                <w:rFonts w:ascii="Garamond" w:hAnsi="Garamond"/>
                <w:sz w:val="20"/>
                <w:szCs w:val="20"/>
                <w:lang w:val="pt-PT"/>
              </w:rPr>
              <w:t>.</w:t>
            </w:r>
          </w:p>
        </w:tc>
        <w:tc>
          <w:tcPr>
            <w:tcW w:w="1305" w:type="dxa"/>
            <w:shd w:val="clear" w:color="auto" w:fill="FFFFFF" w:themeFill="background1"/>
            <w:vAlign w:val="center"/>
          </w:tcPr>
          <w:p w14:paraId="09AB7CAC"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12DA8447" w14:textId="77777777" w:rsidR="00F24D65" w:rsidRPr="00EB750A" w:rsidRDefault="00F24D65" w:rsidP="00F24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IEFP, </w:t>
            </w:r>
            <w:proofErr w:type="spellStart"/>
            <w:r w:rsidRPr="00EB750A">
              <w:rPr>
                <w:rFonts w:ascii="Garamond" w:eastAsia="Times New Roman" w:hAnsi="Garamond" w:cs="Times New Roman"/>
                <w:color w:val="000000"/>
                <w:sz w:val="20"/>
                <w:szCs w:val="20"/>
                <w:lang w:val="pt-PT" w:eastAsia="es-ES"/>
              </w:rPr>
              <w:t>DGEFPEP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CERMI</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CEFP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atores</w:t>
            </w:r>
            <w:proofErr w:type="spellEnd"/>
            <w:r w:rsidRPr="00EB750A">
              <w:rPr>
                <w:rFonts w:ascii="Garamond" w:eastAsia="Times New Roman" w:hAnsi="Garamond" w:cs="Times New Roman"/>
                <w:color w:val="000000"/>
                <w:sz w:val="20"/>
                <w:szCs w:val="20"/>
                <w:lang w:val="pt-PT" w:eastAsia="es-ES"/>
              </w:rPr>
              <w:t xml:space="preserve"> da EFE, </w:t>
            </w:r>
            <w:proofErr w:type="spellStart"/>
            <w:r w:rsidRPr="00EB750A">
              <w:rPr>
                <w:rFonts w:ascii="Garamond" w:eastAsia="Times New Roman" w:hAnsi="Garamond" w:cs="Times New Roman"/>
                <w:color w:val="000000"/>
                <w:sz w:val="20"/>
                <w:szCs w:val="20"/>
                <w:lang w:val="pt-PT" w:eastAsia="es-ES"/>
              </w:rPr>
              <w:t>ICIEG</w:t>
            </w:r>
            <w:proofErr w:type="spellEnd"/>
          </w:p>
        </w:tc>
        <w:tc>
          <w:tcPr>
            <w:tcW w:w="201" w:type="dxa"/>
            <w:shd w:val="clear" w:color="auto" w:fill="F2F2F2" w:themeFill="background1" w:themeFillShade="F2"/>
            <w:vAlign w:val="center"/>
          </w:tcPr>
          <w:p w14:paraId="641152F2" w14:textId="77777777" w:rsidR="00F24D65" w:rsidRPr="00F35105" w:rsidRDefault="00F24D65" w:rsidP="00F24D65">
            <w:pPr>
              <w:jc w:val="center"/>
              <w:rPr>
                <w:rFonts w:ascii="Garamond" w:eastAsia="Times New Roman" w:hAnsi="Garamond" w:cs="Times New Roman"/>
                <w:b/>
                <w:bCs/>
                <w:color w:val="000000"/>
                <w:sz w:val="12"/>
                <w:szCs w:val="12"/>
                <w:lang w:val="pt-PT" w:eastAsia="es-ES"/>
              </w:rPr>
            </w:pPr>
          </w:p>
        </w:tc>
        <w:tc>
          <w:tcPr>
            <w:tcW w:w="201" w:type="dxa"/>
            <w:shd w:val="clear" w:color="auto" w:fill="F2F2F2" w:themeFill="background1" w:themeFillShade="F2"/>
            <w:vAlign w:val="center"/>
          </w:tcPr>
          <w:p w14:paraId="07A80A7C" w14:textId="77777777" w:rsidR="00F24D65" w:rsidRPr="00F35105" w:rsidRDefault="00F24D65" w:rsidP="00F24D65">
            <w:pPr>
              <w:jc w:val="center"/>
              <w:rPr>
                <w:rFonts w:ascii="Garamond" w:eastAsia="Times New Roman" w:hAnsi="Garamond" w:cs="Times New Roman"/>
                <w:color w:val="000000"/>
                <w:sz w:val="12"/>
                <w:szCs w:val="12"/>
                <w:lang w:val="pt-PT" w:eastAsia="es-ES"/>
              </w:rPr>
            </w:pPr>
          </w:p>
        </w:tc>
        <w:tc>
          <w:tcPr>
            <w:tcW w:w="202" w:type="dxa"/>
            <w:shd w:val="clear" w:color="auto" w:fill="F2F2F2" w:themeFill="background1" w:themeFillShade="F2"/>
            <w:vAlign w:val="center"/>
          </w:tcPr>
          <w:p w14:paraId="54A6FCE1"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254028AB"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3" w:type="dxa"/>
            <w:shd w:val="clear" w:color="auto" w:fill="FFFFFF" w:themeFill="background1"/>
            <w:vAlign w:val="center"/>
          </w:tcPr>
          <w:p w14:paraId="2964F54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12341E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0A3CD8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70F832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926B52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D01428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4633F3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E7DF87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1B1463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8DEADA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1B8B01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547693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1F9B2C02" w14:textId="12FF8030"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0</w:t>
            </w:r>
          </w:p>
        </w:tc>
      </w:tr>
      <w:tr w:rsidR="00F24D65" w:rsidRPr="00D21977" w14:paraId="2DFF9992" w14:textId="77777777" w:rsidTr="00922684">
        <w:trPr>
          <w:trHeight w:val="615"/>
        </w:trPr>
        <w:tc>
          <w:tcPr>
            <w:tcW w:w="1663" w:type="dxa"/>
            <w:vMerge/>
            <w:shd w:val="clear" w:color="auto" w:fill="FFFFFF" w:themeFill="background1"/>
          </w:tcPr>
          <w:p w14:paraId="139D4BDB"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473C96F"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3.2.3. Integrar a igualdade de género em matéria de orientação escolar, vocacional e profissional em todos os documentos e instrumentos orientadores da área, em vigor e/ou em curso de desenvolvimento </w:t>
            </w:r>
          </w:p>
        </w:tc>
        <w:tc>
          <w:tcPr>
            <w:tcW w:w="1305" w:type="dxa"/>
            <w:shd w:val="clear" w:color="auto" w:fill="FFFFFF" w:themeFill="background1"/>
            <w:vAlign w:val="center"/>
          </w:tcPr>
          <w:p w14:paraId="390355A1"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4FF8E511"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1A78A661"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21938B9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345FDE9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5CEB883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2D6AB9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082478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0FEE74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DFC45F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215229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FDC0F0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839978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475CB1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5FBFC2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F06429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E36229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DDA562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2C28A2F0" w14:textId="6EE56031"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585 000</w:t>
            </w:r>
          </w:p>
        </w:tc>
      </w:tr>
      <w:tr w:rsidR="00F24D65" w:rsidRPr="00D21977" w14:paraId="34F8C64F" w14:textId="77777777" w:rsidTr="00922684">
        <w:trPr>
          <w:trHeight w:val="615"/>
        </w:trPr>
        <w:tc>
          <w:tcPr>
            <w:tcW w:w="1663" w:type="dxa"/>
            <w:vMerge/>
            <w:shd w:val="clear" w:color="auto" w:fill="FFFFFF" w:themeFill="background1"/>
          </w:tcPr>
          <w:p w14:paraId="41B33B59"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3F89FD9"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3.2.4. Realizar formação em matéria de género e mercado de trabalho para os intervenientes e responsáveis </w:t>
            </w:r>
            <w:proofErr w:type="spellStart"/>
            <w:r w:rsidRPr="00EB750A">
              <w:rPr>
                <w:rFonts w:ascii="Garamond" w:hAnsi="Garamond"/>
                <w:sz w:val="20"/>
                <w:szCs w:val="20"/>
                <w:lang w:val="pt-PT"/>
              </w:rPr>
              <w:t>pela</w:t>
            </w:r>
            <w:proofErr w:type="spellEnd"/>
            <w:r w:rsidRPr="00EB750A">
              <w:rPr>
                <w:rFonts w:ascii="Garamond" w:hAnsi="Garamond"/>
                <w:sz w:val="20"/>
                <w:szCs w:val="20"/>
                <w:lang w:val="pt-PT"/>
              </w:rPr>
              <w:t xml:space="preserve"> orientação escolar, vocacional e profissional. </w:t>
            </w:r>
          </w:p>
        </w:tc>
        <w:tc>
          <w:tcPr>
            <w:tcW w:w="1305" w:type="dxa"/>
            <w:shd w:val="clear" w:color="auto" w:fill="FFFFFF" w:themeFill="background1"/>
            <w:vAlign w:val="center"/>
          </w:tcPr>
          <w:p w14:paraId="44190B7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0FDABB71"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55558949"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4D8087F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6EBFAE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360514EF" w14:textId="7CA52F19"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C00E452" w14:textId="680CCFF6"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944134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3A45D70" w14:textId="6F1787B3"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3A178F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4A97491" w14:textId="3EDC3568"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3E9AF4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6F6E189" w14:textId="310C45BD"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836FFF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1066D3D" w14:textId="4E92F033"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E99941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4D291B7" w14:textId="6CD49933"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D2CFA2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1184F6B2" w14:textId="70A81ED3"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2 020 000</w:t>
            </w:r>
          </w:p>
        </w:tc>
      </w:tr>
      <w:tr w:rsidR="005F26E1" w:rsidRPr="00D21977" w14:paraId="592A3EA6" w14:textId="77777777" w:rsidTr="00293732">
        <w:trPr>
          <w:trHeight w:val="615"/>
        </w:trPr>
        <w:tc>
          <w:tcPr>
            <w:tcW w:w="1663" w:type="dxa"/>
            <w:vMerge/>
            <w:shd w:val="clear" w:color="auto" w:fill="FFFFFF" w:themeFill="background1"/>
          </w:tcPr>
          <w:p w14:paraId="46DC8EA7" w14:textId="77777777" w:rsidR="005F26E1" w:rsidRPr="00D21977" w:rsidRDefault="005F26E1" w:rsidP="005F26E1">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6598139" w14:textId="0FF0DB5A" w:rsidR="005F26E1" w:rsidRPr="00EB750A" w:rsidRDefault="005F26E1" w:rsidP="005F26E1">
            <w:pPr>
              <w:spacing w:after="60"/>
              <w:rPr>
                <w:rFonts w:ascii="Garamond" w:hAnsi="Garamond"/>
                <w:sz w:val="20"/>
                <w:szCs w:val="20"/>
                <w:lang w:val="pt-PT"/>
              </w:rPr>
            </w:pPr>
            <w:r w:rsidRPr="00EB750A">
              <w:rPr>
                <w:rFonts w:ascii="Garamond" w:hAnsi="Garamond"/>
                <w:sz w:val="20"/>
                <w:szCs w:val="20"/>
                <w:lang w:val="pt-PT"/>
              </w:rPr>
              <w:t xml:space="preserve">3.2.5. Elaborar e implementar instrumentos de seguimento da integração do género nos serviços e </w:t>
            </w:r>
            <w:proofErr w:type="spellStart"/>
            <w:r w:rsidRPr="00EB750A">
              <w:rPr>
                <w:rFonts w:ascii="Garamond" w:hAnsi="Garamond"/>
                <w:sz w:val="20"/>
                <w:szCs w:val="20"/>
                <w:lang w:val="pt-PT"/>
              </w:rPr>
              <w:t>ações</w:t>
            </w:r>
            <w:proofErr w:type="spellEnd"/>
            <w:r w:rsidRPr="00EB750A">
              <w:rPr>
                <w:rFonts w:ascii="Garamond" w:hAnsi="Garamond"/>
                <w:sz w:val="20"/>
                <w:szCs w:val="20"/>
                <w:lang w:val="pt-PT"/>
              </w:rPr>
              <w:t xml:space="preserve"> de orientação escolar, vocacional e profissional, documentando e partilhando desafios e boas prática</w:t>
            </w:r>
            <w:r w:rsidR="00293732">
              <w:rPr>
                <w:rFonts w:ascii="Garamond" w:hAnsi="Garamond"/>
                <w:sz w:val="20"/>
                <w:szCs w:val="20"/>
                <w:lang w:val="pt-PT"/>
              </w:rPr>
              <w:t>s</w:t>
            </w:r>
          </w:p>
        </w:tc>
        <w:tc>
          <w:tcPr>
            <w:tcW w:w="1305" w:type="dxa"/>
            <w:shd w:val="clear" w:color="auto" w:fill="FFFFFF" w:themeFill="background1"/>
            <w:vAlign w:val="center"/>
          </w:tcPr>
          <w:p w14:paraId="02BF3869" w14:textId="77777777" w:rsidR="005F26E1" w:rsidRPr="00D21977" w:rsidRDefault="005F26E1" w:rsidP="005F26E1">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7CE3B94E" w14:textId="77777777" w:rsidR="005F26E1" w:rsidRPr="00D21977" w:rsidRDefault="005F26E1" w:rsidP="005F26E1">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4748E923" w14:textId="77777777" w:rsidR="005F26E1" w:rsidRPr="00F35105" w:rsidRDefault="005F26E1" w:rsidP="005F26E1">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5324C199"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4423FB46"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336B8D77" w14:textId="77777777" w:rsidR="005F26E1" w:rsidRPr="00F35105" w:rsidRDefault="005F26E1" w:rsidP="005F26E1">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01ECA53" w14:textId="3AA3A8BE"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8449F8D"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BA9D669"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D937374" w14:textId="77777777" w:rsidR="005F26E1" w:rsidRPr="00F35105" w:rsidRDefault="005F26E1" w:rsidP="005F26E1">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CC105FA"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40F23AE"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3D8BE94"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D13EAB1" w14:textId="77777777" w:rsidR="005F26E1" w:rsidRPr="00F35105" w:rsidRDefault="005F26E1" w:rsidP="005F26E1">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01F413E"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A16E985"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C099936" w14:textId="77777777" w:rsidR="005F26E1" w:rsidRPr="00F35105" w:rsidRDefault="005F26E1" w:rsidP="005F26E1">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7479D3B" w14:textId="77777777" w:rsidR="005F26E1" w:rsidRPr="00F35105" w:rsidRDefault="005F26E1" w:rsidP="005F26E1">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1167E0DD" w14:textId="261BBE33" w:rsidR="005F26E1" w:rsidRPr="00D21977" w:rsidRDefault="00293732" w:rsidP="005F26E1">
            <w:pPr>
              <w:rPr>
                <w:rFonts w:ascii="Garamond" w:eastAsia="Times New Roman" w:hAnsi="Garamond" w:cs="Times New Roman"/>
                <w:color w:val="000000"/>
                <w:sz w:val="20"/>
                <w:szCs w:val="20"/>
                <w:lang w:eastAsia="es-ES"/>
              </w:rPr>
            </w:pPr>
            <w:r w:rsidRPr="00390034">
              <w:rPr>
                <w:rFonts w:ascii="Garamond" w:hAnsi="Garamond"/>
                <w:i/>
                <w:iCs/>
                <w:sz w:val="20"/>
                <w:szCs w:val="20"/>
                <w:lang w:val="pt-PT"/>
              </w:rPr>
              <w:t>junto com 3.2.3</w:t>
            </w:r>
          </w:p>
        </w:tc>
      </w:tr>
      <w:tr w:rsidR="00F24D65" w:rsidRPr="00D21977" w14:paraId="74557516" w14:textId="77777777" w:rsidTr="00922684">
        <w:trPr>
          <w:trHeight w:val="615"/>
        </w:trPr>
        <w:tc>
          <w:tcPr>
            <w:tcW w:w="1663" w:type="dxa"/>
            <w:vMerge/>
            <w:shd w:val="clear" w:color="auto" w:fill="FFFFFF" w:themeFill="background1"/>
          </w:tcPr>
          <w:p w14:paraId="44B24145"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057EBB2D"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3.2.6. Realizar campanhas de sensibilização para uma maior participação feminina em áreas e cursos com segregação de género.</w:t>
            </w:r>
          </w:p>
        </w:tc>
        <w:tc>
          <w:tcPr>
            <w:tcW w:w="1305" w:type="dxa"/>
            <w:shd w:val="clear" w:color="auto" w:fill="FFFFFF" w:themeFill="background1"/>
            <w:vAlign w:val="center"/>
          </w:tcPr>
          <w:p w14:paraId="69DF6F48"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3BBD175D"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DGEFPEP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60362E70"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19A06ED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3AC99E2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63C5FD4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D92CAA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37599E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19CF01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CB40B7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228649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2A6D91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5E2BC4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65D5B0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67A5C6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F37F07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010507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CEC5D5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22C4D614" w14:textId="3C148A03"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520 000</w:t>
            </w:r>
          </w:p>
        </w:tc>
      </w:tr>
      <w:tr w:rsidR="00F24D65" w:rsidRPr="00D21977" w14:paraId="7B8363D3" w14:textId="77777777" w:rsidTr="00922684">
        <w:trPr>
          <w:trHeight w:val="537"/>
        </w:trPr>
        <w:tc>
          <w:tcPr>
            <w:tcW w:w="1663" w:type="dxa"/>
            <w:vMerge/>
            <w:shd w:val="clear" w:color="auto" w:fill="FFFFFF" w:themeFill="background1"/>
          </w:tcPr>
          <w:p w14:paraId="0D79B333"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0DC55B7"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3.2.7. Pilotar iniciativas de promoção de competências das </w:t>
            </w:r>
            <w:proofErr w:type="spellStart"/>
            <w:r w:rsidRPr="00EB750A">
              <w:rPr>
                <w:rFonts w:ascii="Garamond" w:hAnsi="Garamond"/>
                <w:sz w:val="20"/>
                <w:szCs w:val="20"/>
                <w:lang w:val="pt-PT"/>
              </w:rPr>
              <w:t>TICs</w:t>
            </w:r>
            <w:proofErr w:type="spellEnd"/>
            <w:r w:rsidRPr="00EB750A">
              <w:rPr>
                <w:rFonts w:ascii="Garamond" w:hAnsi="Garamond"/>
                <w:sz w:val="20"/>
                <w:szCs w:val="20"/>
                <w:lang w:val="pt-PT"/>
              </w:rPr>
              <w:t xml:space="preserve"> para as meninas</w:t>
            </w:r>
          </w:p>
        </w:tc>
        <w:tc>
          <w:tcPr>
            <w:tcW w:w="1305" w:type="dxa"/>
            <w:shd w:val="clear" w:color="auto" w:fill="FFFFFF" w:themeFill="background1"/>
            <w:vAlign w:val="center"/>
          </w:tcPr>
          <w:p w14:paraId="6FD10B12"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CIGEF</w:t>
            </w:r>
            <w:proofErr w:type="spellEnd"/>
          </w:p>
        </w:tc>
        <w:tc>
          <w:tcPr>
            <w:tcW w:w="2031" w:type="dxa"/>
            <w:shd w:val="clear" w:color="auto" w:fill="FFFFFF" w:themeFill="background1"/>
            <w:vAlign w:val="center"/>
          </w:tcPr>
          <w:p w14:paraId="41A29738"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p>
        </w:tc>
        <w:tc>
          <w:tcPr>
            <w:tcW w:w="201" w:type="dxa"/>
            <w:shd w:val="clear" w:color="auto" w:fill="F2F2F2" w:themeFill="background1" w:themeFillShade="F2"/>
            <w:vAlign w:val="center"/>
          </w:tcPr>
          <w:p w14:paraId="1590058E"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5131D3A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7F90A66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6B4D5C6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1DE5C8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A910FD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A19B90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7DBCFB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26BC12E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82DA14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98FE7B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0B9650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3654F3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09D38D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A996E1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B220D4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54632B5D" w14:textId="7AFF57C6"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3 000 000</w:t>
            </w:r>
          </w:p>
        </w:tc>
      </w:tr>
      <w:tr w:rsidR="00F24D65" w:rsidRPr="00D21977" w14:paraId="2939634A" w14:textId="77777777" w:rsidTr="00922684">
        <w:trPr>
          <w:trHeight w:val="615"/>
        </w:trPr>
        <w:tc>
          <w:tcPr>
            <w:tcW w:w="1663" w:type="dxa"/>
            <w:vMerge w:val="restart"/>
            <w:shd w:val="clear" w:color="auto" w:fill="FFFFFF" w:themeFill="background1"/>
          </w:tcPr>
          <w:p w14:paraId="7A999C12" w14:textId="77777777" w:rsidR="00F24D65" w:rsidRPr="00EB750A" w:rsidRDefault="00F24D65" w:rsidP="00F24D65">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3.3. Desempenho dos meninos no ensino básico promovido, direito à educação das alunas grávidas protegido e engajamento dos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escolares com a prevenção da gravidez na adolescência</w:t>
            </w:r>
          </w:p>
        </w:tc>
        <w:tc>
          <w:tcPr>
            <w:tcW w:w="5222" w:type="dxa"/>
            <w:shd w:val="clear" w:color="auto" w:fill="FFFFFF" w:themeFill="background1"/>
          </w:tcPr>
          <w:p w14:paraId="720559A5"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3.3.1. Analisar as dinâmicas subjacentes ao menor sucesso dos meninos no EB (onde ele é mais elevado) e pilotar e avaliar estratégias/intervenções, informadas em boas práticas nacionais e internacionais</w:t>
            </w:r>
          </w:p>
        </w:tc>
        <w:tc>
          <w:tcPr>
            <w:tcW w:w="1305" w:type="dxa"/>
            <w:shd w:val="clear" w:color="auto" w:fill="FFFFFF" w:themeFill="background1"/>
            <w:vAlign w:val="center"/>
          </w:tcPr>
          <w:p w14:paraId="524CF990"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6E0EF56E"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CIGEF</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Delegações, Escolas</w:t>
            </w:r>
          </w:p>
        </w:tc>
        <w:tc>
          <w:tcPr>
            <w:tcW w:w="201" w:type="dxa"/>
            <w:shd w:val="clear" w:color="auto" w:fill="F2F2F2" w:themeFill="background1" w:themeFillShade="F2"/>
            <w:vAlign w:val="center"/>
          </w:tcPr>
          <w:p w14:paraId="4EEA8149" w14:textId="77777777" w:rsidR="00F24D65" w:rsidRPr="00F35105" w:rsidRDefault="00F24D65" w:rsidP="00F24D65">
            <w:pPr>
              <w:jc w:val="center"/>
              <w:rPr>
                <w:rFonts w:ascii="Garamond" w:eastAsia="Times New Roman" w:hAnsi="Garamond" w:cs="Times New Roman"/>
                <w:b/>
                <w:bCs/>
                <w:color w:val="000000"/>
                <w:sz w:val="12"/>
                <w:szCs w:val="12"/>
                <w:lang w:val="pt-PT" w:eastAsia="es-ES"/>
              </w:rPr>
            </w:pPr>
          </w:p>
        </w:tc>
        <w:tc>
          <w:tcPr>
            <w:tcW w:w="201" w:type="dxa"/>
            <w:shd w:val="clear" w:color="auto" w:fill="F2F2F2" w:themeFill="background1" w:themeFillShade="F2"/>
            <w:vAlign w:val="center"/>
          </w:tcPr>
          <w:p w14:paraId="156E9EF8" w14:textId="77777777" w:rsidR="00F24D65" w:rsidRPr="00F35105" w:rsidRDefault="00F24D65" w:rsidP="00F24D65">
            <w:pPr>
              <w:jc w:val="center"/>
              <w:rPr>
                <w:rFonts w:ascii="Garamond" w:eastAsia="Times New Roman" w:hAnsi="Garamond" w:cs="Times New Roman"/>
                <w:color w:val="000000"/>
                <w:sz w:val="12"/>
                <w:szCs w:val="12"/>
                <w:lang w:val="pt-PT" w:eastAsia="es-ES"/>
              </w:rPr>
            </w:pPr>
          </w:p>
        </w:tc>
        <w:tc>
          <w:tcPr>
            <w:tcW w:w="202" w:type="dxa"/>
            <w:shd w:val="clear" w:color="auto" w:fill="F2F2F2" w:themeFill="background1" w:themeFillShade="F2"/>
            <w:vAlign w:val="center"/>
          </w:tcPr>
          <w:p w14:paraId="4FD55494" w14:textId="31F9B221" w:rsidR="00F24D65" w:rsidRPr="00F35105" w:rsidRDefault="00F24D65" w:rsidP="00F24D65">
            <w:pPr>
              <w:jc w:val="center"/>
              <w:rPr>
                <w:rFonts w:ascii="Garamond" w:eastAsia="Times New Roman" w:hAnsi="Garamond" w:cs="Times New Roman"/>
                <w:color w:val="000000"/>
                <w:sz w:val="12"/>
                <w:szCs w:val="12"/>
                <w:lang w:val="pt-PT" w:eastAsia="es-ES"/>
              </w:rPr>
            </w:pPr>
            <w:r w:rsidRPr="00EC5181">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61A8C5B" w14:textId="53336EDC" w:rsidR="00F24D65" w:rsidRPr="00F35105" w:rsidRDefault="00F24D65" w:rsidP="00F24D65">
            <w:pPr>
              <w:jc w:val="center"/>
              <w:rPr>
                <w:rFonts w:ascii="Garamond" w:eastAsia="Times New Roman" w:hAnsi="Garamond" w:cs="Times New Roman"/>
                <w:color w:val="000000"/>
                <w:sz w:val="12"/>
                <w:szCs w:val="12"/>
                <w:lang w:eastAsia="es-ES"/>
              </w:rPr>
            </w:pPr>
            <w:r w:rsidRPr="00EC5181">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38749B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822BB7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77F2FA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5540F1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4D3644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4CBBEFB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0E7D7C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94D019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A4409E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F3DA8C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B80D8C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908EEC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06BD5A2F" w14:textId="30D73A19"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1 830 000</w:t>
            </w:r>
          </w:p>
        </w:tc>
      </w:tr>
      <w:tr w:rsidR="00F24D65" w:rsidRPr="00D21977" w14:paraId="6ABC08F1" w14:textId="77777777" w:rsidTr="00922684">
        <w:trPr>
          <w:trHeight w:val="615"/>
        </w:trPr>
        <w:tc>
          <w:tcPr>
            <w:tcW w:w="1663" w:type="dxa"/>
            <w:vMerge/>
            <w:shd w:val="clear" w:color="auto" w:fill="FFFFFF" w:themeFill="background1"/>
          </w:tcPr>
          <w:p w14:paraId="19A2D9CA"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789CDF0"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3.3.2. Implementar uma experiência piloto (estudo/</w:t>
            </w:r>
            <w:proofErr w:type="spellStart"/>
            <w:r w:rsidRPr="00EB750A">
              <w:rPr>
                <w:rFonts w:ascii="Garamond" w:hAnsi="Garamond"/>
                <w:sz w:val="20"/>
                <w:szCs w:val="20"/>
                <w:lang w:val="pt-PT"/>
              </w:rPr>
              <w:t>ação</w:t>
            </w:r>
            <w:proofErr w:type="spellEnd"/>
            <w:r w:rsidRPr="00EB750A">
              <w:rPr>
                <w:rFonts w:ascii="Garamond" w:hAnsi="Garamond"/>
                <w:sz w:val="20"/>
                <w:szCs w:val="20"/>
                <w:lang w:val="pt-PT"/>
              </w:rPr>
              <w:t xml:space="preserve">) em ES seleccionadas, documentar e divulgar desafios e boas práticas na prevenção da gravidez na adolescência e integração de alunas grávidas e divulgar recomendações </w:t>
            </w:r>
          </w:p>
        </w:tc>
        <w:tc>
          <w:tcPr>
            <w:tcW w:w="1305" w:type="dxa"/>
            <w:shd w:val="clear" w:color="auto" w:fill="FFFFFF" w:themeFill="background1"/>
            <w:vAlign w:val="center"/>
          </w:tcPr>
          <w:p w14:paraId="1CAE2278"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5F6D047F"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Escolas</w:t>
            </w:r>
            <w:proofErr w:type="spellEnd"/>
          </w:p>
        </w:tc>
        <w:tc>
          <w:tcPr>
            <w:tcW w:w="201" w:type="dxa"/>
            <w:shd w:val="clear" w:color="auto" w:fill="F2F2F2" w:themeFill="background1" w:themeFillShade="F2"/>
            <w:vAlign w:val="center"/>
          </w:tcPr>
          <w:p w14:paraId="74527119"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19C9BAA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B0B5C9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2DEBA2E3"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3D4A18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F45815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87F195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EFC877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8E6683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A3869B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13D18C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FEC6F3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C73AAE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C6F7D8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C2FDE0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365130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7796AEC7" w14:textId="4BDC8B9A"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1 480 000</w:t>
            </w:r>
          </w:p>
        </w:tc>
      </w:tr>
      <w:tr w:rsidR="00F24D65" w:rsidRPr="00D21977" w14:paraId="34B7F95F" w14:textId="77777777" w:rsidTr="00922684">
        <w:trPr>
          <w:trHeight w:val="615"/>
        </w:trPr>
        <w:tc>
          <w:tcPr>
            <w:tcW w:w="1663" w:type="dxa"/>
            <w:vMerge/>
            <w:shd w:val="clear" w:color="auto" w:fill="FFFFFF" w:themeFill="background1"/>
          </w:tcPr>
          <w:p w14:paraId="4AB0011B"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5D2756CD"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3.3.3. Operacionalizar um sistema de registo de situações de gravidez na adolescência na escola e das medidas de enquadramento e acompanhamento implementadas, e analisar e seguir tendências </w:t>
            </w:r>
          </w:p>
        </w:tc>
        <w:tc>
          <w:tcPr>
            <w:tcW w:w="1305" w:type="dxa"/>
            <w:shd w:val="clear" w:color="auto" w:fill="FFFFFF" w:themeFill="background1"/>
            <w:vAlign w:val="center"/>
          </w:tcPr>
          <w:p w14:paraId="4939E930"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4DB3B3CC"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CIGEF</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Delegações, Escolas</w:t>
            </w:r>
          </w:p>
        </w:tc>
        <w:tc>
          <w:tcPr>
            <w:tcW w:w="201" w:type="dxa"/>
            <w:shd w:val="clear" w:color="auto" w:fill="F2F2F2" w:themeFill="background1" w:themeFillShade="F2"/>
            <w:vAlign w:val="center"/>
          </w:tcPr>
          <w:p w14:paraId="02057F64" w14:textId="77777777" w:rsidR="00F24D65" w:rsidRPr="00F35105" w:rsidRDefault="00F24D65" w:rsidP="00F24D65">
            <w:pPr>
              <w:jc w:val="center"/>
              <w:rPr>
                <w:rFonts w:ascii="Garamond" w:eastAsia="Times New Roman" w:hAnsi="Garamond" w:cs="Times New Roman"/>
                <w:b/>
                <w:bCs/>
                <w:color w:val="000000"/>
                <w:sz w:val="12"/>
                <w:szCs w:val="12"/>
                <w:lang w:val="pt-PT" w:eastAsia="es-ES"/>
              </w:rPr>
            </w:pPr>
          </w:p>
        </w:tc>
        <w:tc>
          <w:tcPr>
            <w:tcW w:w="201" w:type="dxa"/>
            <w:shd w:val="clear" w:color="auto" w:fill="F2F2F2" w:themeFill="background1" w:themeFillShade="F2"/>
            <w:vAlign w:val="center"/>
          </w:tcPr>
          <w:p w14:paraId="27F4D07C" w14:textId="77777777" w:rsidR="00F24D65" w:rsidRPr="00F35105" w:rsidRDefault="00F24D65" w:rsidP="00F24D65">
            <w:pPr>
              <w:jc w:val="center"/>
              <w:rPr>
                <w:rFonts w:ascii="Garamond" w:eastAsia="Times New Roman" w:hAnsi="Garamond" w:cs="Times New Roman"/>
                <w:color w:val="000000"/>
                <w:sz w:val="12"/>
                <w:szCs w:val="12"/>
                <w:lang w:val="pt-PT" w:eastAsia="es-ES"/>
              </w:rPr>
            </w:pPr>
          </w:p>
        </w:tc>
        <w:tc>
          <w:tcPr>
            <w:tcW w:w="202" w:type="dxa"/>
            <w:shd w:val="clear" w:color="auto" w:fill="F2F2F2" w:themeFill="background1" w:themeFillShade="F2"/>
            <w:vAlign w:val="center"/>
          </w:tcPr>
          <w:p w14:paraId="75EEDE8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7DB6B0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7A50BB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1BF12B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A3EE3C1" w14:textId="283ADC00"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9B4500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55702D5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B88069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C70F012" w14:textId="26B8BB73"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3B6C4F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5B0380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462A37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725B8D1" w14:textId="24983746"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D2FE06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40C084EB" w14:textId="66E46776"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725 000</w:t>
            </w:r>
          </w:p>
        </w:tc>
      </w:tr>
      <w:tr w:rsidR="00F24D65" w:rsidRPr="00D21977" w14:paraId="53CD65F3" w14:textId="77777777" w:rsidTr="00922684">
        <w:trPr>
          <w:trHeight w:val="615"/>
        </w:trPr>
        <w:tc>
          <w:tcPr>
            <w:tcW w:w="1663" w:type="dxa"/>
            <w:vMerge/>
            <w:shd w:val="clear" w:color="auto" w:fill="FFFFFF" w:themeFill="background1"/>
          </w:tcPr>
          <w:p w14:paraId="10E68EBA"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77FE278B"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3.3.4. Avaliar o nível de implementação e cumprimento das medidas impostas </w:t>
            </w:r>
            <w:proofErr w:type="spellStart"/>
            <w:r w:rsidRPr="00EB750A">
              <w:rPr>
                <w:rFonts w:ascii="Garamond" w:hAnsi="Garamond"/>
                <w:sz w:val="20"/>
                <w:szCs w:val="20"/>
                <w:lang w:val="pt-PT"/>
              </w:rPr>
              <w:t>pelo</w:t>
            </w:r>
            <w:proofErr w:type="spellEnd"/>
            <w:r w:rsidRPr="00EB750A">
              <w:rPr>
                <w:rFonts w:ascii="Garamond" w:hAnsi="Garamond"/>
                <w:sz w:val="20"/>
                <w:szCs w:val="20"/>
                <w:lang w:val="pt-PT"/>
              </w:rPr>
              <w:t xml:space="preserve"> Decreto-Lei n. 47/2017, visando o acesso e permanência com qualidade no sistema de ensino das alunas grávidas, puérperas e lactantes</w:t>
            </w:r>
          </w:p>
        </w:tc>
        <w:tc>
          <w:tcPr>
            <w:tcW w:w="1305" w:type="dxa"/>
            <w:shd w:val="clear" w:color="auto" w:fill="FFFFFF" w:themeFill="background1"/>
            <w:vAlign w:val="center"/>
          </w:tcPr>
          <w:p w14:paraId="6C40059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6F245DA1"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Delegações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Escolas</w:t>
            </w:r>
            <w:proofErr w:type="spellEnd"/>
          </w:p>
        </w:tc>
        <w:tc>
          <w:tcPr>
            <w:tcW w:w="201" w:type="dxa"/>
            <w:shd w:val="clear" w:color="auto" w:fill="F2F2F2" w:themeFill="background1" w:themeFillShade="F2"/>
            <w:vAlign w:val="center"/>
          </w:tcPr>
          <w:p w14:paraId="6128E498"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78D685D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8D9752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2970305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FFA2A0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B2C2F6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9228356" w14:textId="481D81CE"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C15780C" w14:textId="3B019E2A"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EAB3D4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A5B7DC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2F4133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892882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87E82E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870DB5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C9B895F" w14:textId="19CF854C"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5F1E982" w14:textId="49396C6E"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5C9824EC" w14:textId="636215DF"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1 840 000</w:t>
            </w:r>
          </w:p>
        </w:tc>
      </w:tr>
      <w:tr w:rsidR="00F24D65" w:rsidRPr="00D21977" w14:paraId="3F71BAD3" w14:textId="77777777" w:rsidTr="00922684">
        <w:trPr>
          <w:trHeight w:val="615"/>
        </w:trPr>
        <w:tc>
          <w:tcPr>
            <w:tcW w:w="1663" w:type="dxa"/>
            <w:vMerge w:val="restart"/>
            <w:shd w:val="clear" w:color="auto" w:fill="FFFFFF" w:themeFill="background1"/>
          </w:tcPr>
          <w:p w14:paraId="09CCEA8E" w14:textId="77777777" w:rsidR="00F24D65" w:rsidRPr="00EB750A" w:rsidRDefault="00F24D65" w:rsidP="00F24D65">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3.4. Maior engajamento dos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escolares com a prevenção da violência em meio escolar, em particular da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e com a identificação, sinalização e acompanhamento de situações de violência contra alunas</w:t>
            </w:r>
          </w:p>
        </w:tc>
        <w:tc>
          <w:tcPr>
            <w:tcW w:w="5222" w:type="dxa"/>
            <w:shd w:val="clear" w:color="auto" w:fill="FFFFFF" w:themeFill="background1"/>
          </w:tcPr>
          <w:p w14:paraId="154F03CF"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3.4.1. Elaborar um Plano de Prevenção e Combate à violência nas Escolas e sua implementação.</w:t>
            </w:r>
          </w:p>
        </w:tc>
        <w:tc>
          <w:tcPr>
            <w:tcW w:w="1305" w:type="dxa"/>
            <w:shd w:val="clear" w:color="auto" w:fill="FFFFFF" w:themeFill="background1"/>
            <w:vAlign w:val="center"/>
          </w:tcPr>
          <w:p w14:paraId="1351D4D9"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455F4899"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p>
        </w:tc>
        <w:tc>
          <w:tcPr>
            <w:tcW w:w="201" w:type="dxa"/>
            <w:shd w:val="clear" w:color="auto" w:fill="F2F2F2" w:themeFill="background1" w:themeFillShade="F2"/>
            <w:vAlign w:val="center"/>
          </w:tcPr>
          <w:p w14:paraId="7370DF29"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4C2E0FF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1E27827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CC52C9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34C14B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8C2859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98AFF8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4793DE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A487D5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9FC615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22E58F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7189F5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6A6177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CDDF22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99F095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4537677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798A086A" w14:textId="44EDFD74"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255 000</w:t>
            </w:r>
          </w:p>
        </w:tc>
      </w:tr>
      <w:tr w:rsidR="00F24D65" w:rsidRPr="00D21977" w14:paraId="2A39C48A" w14:textId="77777777" w:rsidTr="00922684">
        <w:trPr>
          <w:trHeight w:val="615"/>
        </w:trPr>
        <w:tc>
          <w:tcPr>
            <w:tcW w:w="1663" w:type="dxa"/>
            <w:vMerge/>
            <w:shd w:val="clear" w:color="auto" w:fill="FFFFFF" w:themeFill="background1"/>
          </w:tcPr>
          <w:p w14:paraId="09191549"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225242D3"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3.4.2. Estabelecer procedimentos e instrumentos para a identificação, registo &amp; encaminhamento de casos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em particular no caso de condutas que se conformam como crime</w:t>
            </w:r>
          </w:p>
        </w:tc>
        <w:tc>
          <w:tcPr>
            <w:tcW w:w="1305" w:type="dxa"/>
            <w:shd w:val="clear" w:color="auto" w:fill="FFFFFF" w:themeFill="background1"/>
            <w:vAlign w:val="center"/>
          </w:tcPr>
          <w:p w14:paraId="48DA600F"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7CA3FD42"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ICCA,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3A37B6B3"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0668D64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7EF064A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7529A8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70040D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FC3FFE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D3CF03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5D79F9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C12D77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9E01DF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5EA2F4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3424602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2899C3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43A16D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389EBB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D2500F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4FA28E4B" w14:textId="79212520"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0</w:t>
            </w:r>
          </w:p>
        </w:tc>
      </w:tr>
      <w:tr w:rsidR="00F24D65" w:rsidRPr="00D21977" w14:paraId="7AA22B94" w14:textId="77777777" w:rsidTr="00922684">
        <w:trPr>
          <w:trHeight w:val="615"/>
        </w:trPr>
        <w:tc>
          <w:tcPr>
            <w:tcW w:w="1663" w:type="dxa"/>
            <w:vMerge/>
            <w:shd w:val="clear" w:color="auto" w:fill="FFFFFF" w:themeFill="background1"/>
          </w:tcPr>
          <w:p w14:paraId="0535AE30"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776828EC"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3.4.3. Formar docentes (formação inicial &amp; contínua, presencial e cursos modulares on-line) sobre formas de prevenção e combate a violência no contexto escolar, em especial,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w:t>
            </w:r>
          </w:p>
        </w:tc>
        <w:tc>
          <w:tcPr>
            <w:tcW w:w="1305" w:type="dxa"/>
            <w:shd w:val="clear" w:color="auto" w:fill="FFFFFF" w:themeFill="background1"/>
            <w:vAlign w:val="center"/>
          </w:tcPr>
          <w:p w14:paraId="71F6DC7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2675CA3B"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UniCV</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IUP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0FDC0809"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072D098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65D2513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0834D8D"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843037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DEA00D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52F32E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EC109A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E9D4DC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3BD7E9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47AF5D9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2DA592B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3FA46C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37B1BE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4E99F2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18B139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6F7BC785" w14:textId="079A429A"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2 630 000</w:t>
            </w:r>
          </w:p>
        </w:tc>
      </w:tr>
      <w:tr w:rsidR="00F24D65" w:rsidRPr="00D21977" w14:paraId="51BDAEA6" w14:textId="77777777" w:rsidTr="00922684">
        <w:trPr>
          <w:trHeight w:val="615"/>
        </w:trPr>
        <w:tc>
          <w:tcPr>
            <w:tcW w:w="1663" w:type="dxa"/>
            <w:vMerge/>
            <w:shd w:val="clear" w:color="auto" w:fill="FFFFFF" w:themeFill="background1"/>
          </w:tcPr>
          <w:p w14:paraId="3A6ECD1E"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47BFD795"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3.4.4. Desenvolver campanhas de prevenção da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dirigidas às comunidades educativas e estimular e apoiar o desenvolvimento de </w:t>
            </w:r>
            <w:proofErr w:type="spellStart"/>
            <w:r w:rsidRPr="00EB750A">
              <w:rPr>
                <w:rFonts w:ascii="Garamond" w:hAnsi="Garamond"/>
                <w:sz w:val="20"/>
                <w:szCs w:val="20"/>
                <w:lang w:val="pt-PT"/>
              </w:rPr>
              <w:t>projetos</w:t>
            </w:r>
            <w:proofErr w:type="spellEnd"/>
            <w:r w:rsidRPr="00EB750A">
              <w:rPr>
                <w:rFonts w:ascii="Garamond" w:hAnsi="Garamond"/>
                <w:sz w:val="20"/>
                <w:szCs w:val="20"/>
                <w:lang w:val="pt-PT"/>
              </w:rPr>
              <w:t xml:space="preserve"> e planos para a igualdade de género nas escolas. </w:t>
            </w:r>
          </w:p>
        </w:tc>
        <w:tc>
          <w:tcPr>
            <w:tcW w:w="1305" w:type="dxa"/>
            <w:shd w:val="clear" w:color="auto" w:fill="FFFFFF" w:themeFill="background1"/>
            <w:vAlign w:val="center"/>
          </w:tcPr>
          <w:p w14:paraId="25BE473F"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031" w:type="dxa"/>
            <w:shd w:val="clear" w:color="auto" w:fill="FFFFFF" w:themeFill="background1"/>
            <w:vAlign w:val="center"/>
          </w:tcPr>
          <w:p w14:paraId="0FC006BE"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DNE</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xml:space="preserve">, Rede SOL,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parceiros locais</w:t>
            </w:r>
          </w:p>
        </w:tc>
        <w:tc>
          <w:tcPr>
            <w:tcW w:w="201" w:type="dxa"/>
            <w:shd w:val="clear" w:color="auto" w:fill="F2F2F2" w:themeFill="background1" w:themeFillShade="F2"/>
            <w:vAlign w:val="center"/>
          </w:tcPr>
          <w:p w14:paraId="54CF6C1B"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347333C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2964FA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1B7B9FC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0AC64E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0A8288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E27431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346B6B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ADC0B4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6AA892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75D551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12965A1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D0A7B5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62BB7A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630D70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AB6408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2CD71141" w14:textId="43F9B8BB"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720 000</w:t>
            </w:r>
          </w:p>
        </w:tc>
      </w:tr>
      <w:tr w:rsidR="00F24D65" w:rsidRPr="00D21977" w14:paraId="47897D62" w14:textId="77777777" w:rsidTr="00922684">
        <w:trPr>
          <w:trHeight w:val="615"/>
        </w:trPr>
        <w:tc>
          <w:tcPr>
            <w:tcW w:w="1663" w:type="dxa"/>
            <w:vMerge/>
            <w:shd w:val="clear" w:color="auto" w:fill="FFFFFF" w:themeFill="background1"/>
          </w:tcPr>
          <w:p w14:paraId="74E1ED72"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1A5F11C6"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3.4.5. Desenvolver e pilotar uma iniciativa de rodas de conversa com alunos e alunas adolescentes (Ser Homem, Ser Mulher) nas escolas secundárias</w:t>
            </w:r>
          </w:p>
        </w:tc>
        <w:tc>
          <w:tcPr>
            <w:tcW w:w="1305" w:type="dxa"/>
            <w:shd w:val="clear" w:color="auto" w:fill="FFFFFF" w:themeFill="background1"/>
            <w:vAlign w:val="center"/>
          </w:tcPr>
          <w:p w14:paraId="4C398703"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031" w:type="dxa"/>
            <w:shd w:val="clear" w:color="auto" w:fill="FFFFFF" w:themeFill="background1"/>
            <w:vAlign w:val="center"/>
          </w:tcPr>
          <w:p w14:paraId="55FD4CC3"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escolas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ESAD</w:t>
            </w:r>
          </w:p>
        </w:tc>
        <w:tc>
          <w:tcPr>
            <w:tcW w:w="201" w:type="dxa"/>
            <w:shd w:val="clear" w:color="auto" w:fill="F2F2F2" w:themeFill="background1" w:themeFillShade="F2"/>
            <w:vAlign w:val="center"/>
          </w:tcPr>
          <w:p w14:paraId="7176CA66"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753FAB0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2691350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2BAC8019"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13BB132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ADA915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E07809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0DCF89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839D408"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D88179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08FCE0C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6847261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C8D930F"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E4F513C"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3EC39C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87125A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77BDCDB4" w14:textId="5E30ACE8"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2 085 000</w:t>
            </w:r>
          </w:p>
        </w:tc>
      </w:tr>
      <w:tr w:rsidR="00F24D65" w:rsidRPr="00D21977" w14:paraId="2807D3C3" w14:textId="77777777" w:rsidTr="00922684">
        <w:trPr>
          <w:trHeight w:val="615"/>
        </w:trPr>
        <w:tc>
          <w:tcPr>
            <w:tcW w:w="1663" w:type="dxa"/>
            <w:vMerge/>
            <w:shd w:val="clear" w:color="auto" w:fill="FFFFFF" w:themeFill="background1"/>
          </w:tcPr>
          <w:p w14:paraId="009BF059"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79602E57"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3.4.6. Assegurar que as questões de assédio sexual são tratadas de forma integrada em todas as iniciativas curriculares e de combate à violência no meio escolar, junto com demais temáticas</w:t>
            </w:r>
          </w:p>
        </w:tc>
        <w:tc>
          <w:tcPr>
            <w:tcW w:w="1305" w:type="dxa"/>
            <w:shd w:val="clear" w:color="auto" w:fill="FFFFFF" w:themeFill="background1"/>
            <w:vAlign w:val="center"/>
          </w:tcPr>
          <w:p w14:paraId="79DEBFA8"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716B85B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UniCV</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IUP</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ICIEG</w:t>
            </w:r>
            <w:proofErr w:type="spellEnd"/>
          </w:p>
        </w:tc>
        <w:tc>
          <w:tcPr>
            <w:tcW w:w="201" w:type="dxa"/>
            <w:shd w:val="clear" w:color="auto" w:fill="F2F2F2" w:themeFill="background1" w:themeFillShade="F2"/>
            <w:vAlign w:val="center"/>
          </w:tcPr>
          <w:p w14:paraId="44F6B1A6"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470A0F3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7F75A2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174A261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2A51D3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35EE2C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A2DF82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095DB8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014222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4F6E6CD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A530D2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3F2CC48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37D02DB"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DE356C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58544F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4B2CF4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2AC6CF34" w14:textId="0C662B5B"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255 000</w:t>
            </w:r>
          </w:p>
        </w:tc>
      </w:tr>
      <w:tr w:rsidR="00F24D65" w:rsidRPr="00D21977" w14:paraId="2E9C0A97" w14:textId="77777777" w:rsidTr="00922684">
        <w:trPr>
          <w:trHeight w:val="615"/>
        </w:trPr>
        <w:tc>
          <w:tcPr>
            <w:tcW w:w="1663" w:type="dxa"/>
            <w:vMerge/>
            <w:shd w:val="clear" w:color="auto" w:fill="FFFFFF" w:themeFill="background1"/>
          </w:tcPr>
          <w:p w14:paraId="4F539976"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5533117E"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3.4.7. Desenvolver e pilotar oferta de seminários extracurriculares em matéria de igualdade de género e de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no ensino superior (com possibilidade de obtenção de créditos)</w:t>
            </w:r>
          </w:p>
        </w:tc>
        <w:tc>
          <w:tcPr>
            <w:tcW w:w="1305" w:type="dxa"/>
            <w:shd w:val="clear" w:color="auto" w:fill="FFFFFF" w:themeFill="background1"/>
            <w:vAlign w:val="center"/>
          </w:tcPr>
          <w:p w14:paraId="2332EF82"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UniCV</w:t>
            </w:r>
            <w:proofErr w:type="spellEnd"/>
          </w:p>
        </w:tc>
        <w:tc>
          <w:tcPr>
            <w:tcW w:w="2031" w:type="dxa"/>
            <w:shd w:val="clear" w:color="auto" w:fill="FFFFFF" w:themeFill="background1"/>
            <w:vAlign w:val="center"/>
          </w:tcPr>
          <w:p w14:paraId="741B14C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OSC</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Universidades</w:t>
            </w:r>
            <w:proofErr w:type="spellEnd"/>
            <w:r w:rsidRPr="00D21977">
              <w:rPr>
                <w:rFonts w:ascii="Garamond" w:eastAsia="Times New Roman" w:hAnsi="Garamond" w:cs="Times New Roman"/>
                <w:color w:val="000000"/>
                <w:sz w:val="20"/>
                <w:szCs w:val="20"/>
                <w:lang w:eastAsia="es-ES"/>
              </w:rPr>
              <w:t xml:space="preserve"> </w:t>
            </w:r>
          </w:p>
        </w:tc>
        <w:tc>
          <w:tcPr>
            <w:tcW w:w="201" w:type="dxa"/>
            <w:shd w:val="clear" w:color="auto" w:fill="F2F2F2" w:themeFill="background1" w:themeFillShade="F2"/>
            <w:vAlign w:val="center"/>
          </w:tcPr>
          <w:p w14:paraId="4DFA2715"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10BA416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546BA7B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410D0FA3"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D1DADF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6A8B19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0B15F7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FA85D3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90D63C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1BA47E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126524A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4D3B523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7CDC904"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2CA591C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6D5FB0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3A0BE17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1204" w:type="dxa"/>
            <w:shd w:val="clear" w:color="auto" w:fill="FFFFFF" w:themeFill="background1"/>
            <w:vAlign w:val="center"/>
          </w:tcPr>
          <w:p w14:paraId="74D51BE5" w14:textId="469A0B30"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995 000</w:t>
            </w:r>
          </w:p>
        </w:tc>
      </w:tr>
      <w:tr w:rsidR="00F24D65" w:rsidRPr="00D21977" w14:paraId="5346949B" w14:textId="77777777" w:rsidTr="00922684">
        <w:trPr>
          <w:trHeight w:val="615"/>
        </w:trPr>
        <w:tc>
          <w:tcPr>
            <w:tcW w:w="1663" w:type="dxa"/>
            <w:vMerge/>
            <w:shd w:val="clear" w:color="auto" w:fill="FFFFFF" w:themeFill="background1"/>
          </w:tcPr>
          <w:p w14:paraId="334F1A00"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7CA52EFD"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3.4.8. Desenvolver um programa anual de </w:t>
            </w:r>
            <w:proofErr w:type="spellStart"/>
            <w:r w:rsidRPr="00EB750A">
              <w:rPr>
                <w:rFonts w:ascii="Garamond" w:hAnsi="Garamond"/>
                <w:sz w:val="20"/>
                <w:szCs w:val="20"/>
                <w:lang w:val="pt-PT"/>
              </w:rPr>
              <w:t>IEC</w:t>
            </w:r>
            <w:proofErr w:type="spellEnd"/>
            <w:r w:rsidRPr="00EB750A">
              <w:rPr>
                <w:rFonts w:ascii="Garamond" w:hAnsi="Garamond"/>
                <w:sz w:val="20"/>
                <w:szCs w:val="20"/>
                <w:lang w:val="pt-PT"/>
              </w:rPr>
              <w:t xml:space="preserve"> sobre género e </w:t>
            </w:r>
            <w:proofErr w:type="spellStart"/>
            <w:r w:rsidRPr="00EB750A">
              <w:rPr>
                <w:rFonts w:ascii="Garamond" w:hAnsi="Garamond"/>
                <w:sz w:val="20"/>
                <w:szCs w:val="20"/>
                <w:lang w:val="pt-PT"/>
              </w:rPr>
              <w:t>VBG</w:t>
            </w:r>
            <w:proofErr w:type="spellEnd"/>
            <w:r w:rsidRPr="00EB750A">
              <w:rPr>
                <w:rFonts w:ascii="Garamond" w:hAnsi="Garamond"/>
                <w:sz w:val="20"/>
                <w:szCs w:val="20"/>
                <w:lang w:val="pt-PT"/>
              </w:rPr>
              <w:t xml:space="preserve"> nas universidades e formação profissional, e pilotar experiências de roda de conversa com estudantes do sexo masculino (Ser Homem)</w:t>
            </w:r>
          </w:p>
        </w:tc>
        <w:tc>
          <w:tcPr>
            <w:tcW w:w="1305" w:type="dxa"/>
            <w:shd w:val="clear" w:color="auto" w:fill="FFFFFF" w:themeFill="background1"/>
            <w:vAlign w:val="center"/>
          </w:tcPr>
          <w:p w14:paraId="68089A91" w14:textId="4D7793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CIGEF</w:t>
            </w:r>
            <w:proofErr w:type="spellEnd"/>
            <w:r w:rsidRPr="00D21977">
              <w:rPr>
                <w:rFonts w:ascii="Garamond" w:eastAsia="Times New Roman" w:hAnsi="Garamond" w:cs="Times New Roman"/>
                <w:color w:val="000000"/>
                <w:sz w:val="20"/>
                <w:szCs w:val="20"/>
                <w:lang w:eastAsia="es-ES"/>
              </w:rPr>
              <w:t>/</w:t>
            </w:r>
            <w:r>
              <w:rPr>
                <w:rFonts w:ascii="Garamond" w:eastAsia="Times New Roman" w:hAnsi="Garamond" w:cs="Times New Roman"/>
                <w:color w:val="000000"/>
                <w:sz w:val="20"/>
                <w:szCs w:val="20"/>
                <w:lang w:eastAsia="es-ES"/>
              </w:rPr>
              <w:t>IEFP</w:t>
            </w:r>
          </w:p>
        </w:tc>
        <w:tc>
          <w:tcPr>
            <w:tcW w:w="2031" w:type="dxa"/>
            <w:shd w:val="clear" w:color="auto" w:fill="FFFFFF" w:themeFill="background1"/>
            <w:vAlign w:val="center"/>
          </w:tcPr>
          <w:p w14:paraId="2D1E93DB" w14:textId="3000CA70" w:rsidR="00F24D65" w:rsidRPr="00EB750A" w:rsidRDefault="00F24D65" w:rsidP="00F24D65">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Centros de FP, </w:t>
            </w:r>
            <w:proofErr w:type="spellStart"/>
            <w:r w:rsidRPr="00EB750A">
              <w:rPr>
                <w:rFonts w:ascii="Garamond" w:eastAsia="Times New Roman" w:hAnsi="Garamond" w:cs="Times New Roman"/>
                <w:color w:val="000000"/>
                <w:sz w:val="20"/>
                <w:szCs w:val="20"/>
                <w:lang w:val="pt-PT" w:eastAsia="es-ES"/>
              </w:rPr>
              <w:t>ETHCV</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CERMI</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Universidades </w:t>
            </w:r>
          </w:p>
        </w:tc>
        <w:tc>
          <w:tcPr>
            <w:tcW w:w="201" w:type="dxa"/>
            <w:shd w:val="clear" w:color="auto" w:fill="F2F2F2" w:themeFill="background1" w:themeFillShade="F2"/>
            <w:vAlign w:val="center"/>
          </w:tcPr>
          <w:p w14:paraId="091AF09C"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698D3F0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6AB8C04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4CB4FC2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639F28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81B06A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FDA2E8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038857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3648FC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3EBA61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124EDAE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630AC0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443854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D5C78E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F97827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275314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24F12C8B" w14:textId="1EAC1512"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720 000</w:t>
            </w:r>
          </w:p>
        </w:tc>
      </w:tr>
      <w:tr w:rsidR="00F24D65" w:rsidRPr="00D21977" w14:paraId="148DDC5E" w14:textId="77777777" w:rsidTr="00922684">
        <w:trPr>
          <w:trHeight w:val="615"/>
        </w:trPr>
        <w:tc>
          <w:tcPr>
            <w:tcW w:w="1663" w:type="dxa"/>
            <w:vMerge w:val="restart"/>
            <w:shd w:val="clear" w:color="auto" w:fill="FFFFFF" w:themeFill="background1"/>
          </w:tcPr>
          <w:p w14:paraId="55BFDC6B" w14:textId="77777777" w:rsidR="00F24D65" w:rsidRPr="00EB750A" w:rsidRDefault="00F24D65" w:rsidP="00F24D65">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3.5. Melhorado o acesso à educação de grupos de mulheres específicos, tais como as mulheres rurais, mulheres com deficiência e mulheres imigrantes</w:t>
            </w:r>
          </w:p>
        </w:tc>
        <w:tc>
          <w:tcPr>
            <w:tcW w:w="5222" w:type="dxa"/>
            <w:shd w:val="clear" w:color="auto" w:fill="FFFFFF" w:themeFill="background1"/>
          </w:tcPr>
          <w:p w14:paraId="3C77D41B"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3.5.1. Identificar as necessidades não cobertas de alfabetização das mulheres, em particular das mulheres rurais, e impedimentos ao acesso e disponibilizar programas de alfabetização e formação de adultos e formação profissional</w:t>
            </w:r>
          </w:p>
        </w:tc>
        <w:tc>
          <w:tcPr>
            <w:tcW w:w="1305" w:type="dxa"/>
            <w:shd w:val="clear" w:color="auto" w:fill="FFFFFF" w:themeFill="background1"/>
            <w:vAlign w:val="center"/>
          </w:tcPr>
          <w:p w14:paraId="5C10E47A"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DGAEA</w:t>
            </w:r>
            <w:proofErr w:type="spellEnd"/>
            <w:r w:rsidRPr="00D21977">
              <w:rPr>
                <w:rFonts w:ascii="Garamond" w:eastAsia="Times New Roman" w:hAnsi="Garamond" w:cs="Times New Roman"/>
                <w:color w:val="000000"/>
                <w:sz w:val="20"/>
                <w:szCs w:val="20"/>
                <w:lang w:eastAsia="es-ES"/>
              </w:rPr>
              <w:t xml:space="preserve">/ </w:t>
            </w:r>
            <w:proofErr w:type="spellStart"/>
            <w:r w:rsidRPr="00D21977">
              <w:rPr>
                <w:rFonts w:ascii="Garamond" w:eastAsia="Times New Roman" w:hAnsi="Garamond" w:cs="Times New Roman"/>
                <w:color w:val="000000"/>
                <w:sz w:val="20"/>
                <w:szCs w:val="20"/>
                <w:lang w:eastAsia="es-ES"/>
              </w:rPr>
              <w:t>DNE</w:t>
            </w:r>
            <w:proofErr w:type="spellEnd"/>
          </w:p>
        </w:tc>
        <w:tc>
          <w:tcPr>
            <w:tcW w:w="2031" w:type="dxa"/>
            <w:shd w:val="clear" w:color="auto" w:fill="FFFFFF" w:themeFill="background1"/>
            <w:vAlign w:val="center"/>
          </w:tcPr>
          <w:p w14:paraId="0F19FFE7" w14:textId="77777777" w:rsidR="00F24D65" w:rsidRPr="00D21977" w:rsidRDefault="00F24D65" w:rsidP="00F24D65">
            <w:pPr>
              <w:jc w:val="center"/>
              <w:rPr>
                <w:rFonts w:ascii="Garamond" w:eastAsia="Times New Roman" w:hAnsi="Garamond" w:cs="Times New Roman"/>
                <w:color w:val="000000"/>
                <w:sz w:val="20"/>
                <w:szCs w:val="20"/>
                <w:lang w:eastAsia="es-ES"/>
              </w:rPr>
            </w:pPr>
            <w:r w:rsidRPr="00D21977">
              <w:rPr>
                <w:rFonts w:ascii="Garamond" w:eastAsia="Times New Roman" w:hAnsi="Garamond" w:cs="Times New Roman"/>
                <w:color w:val="000000"/>
                <w:sz w:val="20"/>
                <w:szCs w:val="20"/>
                <w:lang w:eastAsia="es-ES"/>
              </w:rPr>
              <w:t xml:space="preserve">IEFP, </w:t>
            </w:r>
            <w:proofErr w:type="spellStart"/>
            <w:r w:rsidRPr="00D21977">
              <w:rPr>
                <w:rFonts w:ascii="Garamond" w:eastAsia="Times New Roman" w:hAnsi="Garamond" w:cs="Times New Roman"/>
                <w:color w:val="000000"/>
                <w:sz w:val="20"/>
                <w:szCs w:val="20"/>
                <w:lang w:eastAsia="es-ES"/>
              </w:rPr>
              <w:t>Delegacões</w:t>
            </w:r>
            <w:proofErr w:type="spellEnd"/>
          </w:p>
        </w:tc>
        <w:tc>
          <w:tcPr>
            <w:tcW w:w="201" w:type="dxa"/>
            <w:shd w:val="clear" w:color="auto" w:fill="F2F2F2" w:themeFill="background1" w:themeFillShade="F2"/>
            <w:vAlign w:val="center"/>
          </w:tcPr>
          <w:p w14:paraId="737B03C0" w14:textId="77777777" w:rsidR="00F24D65" w:rsidRPr="00F35105" w:rsidRDefault="00F24D65" w:rsidP="00F24D65">
            <w:pPr>
              <w:jc w:val="center"/>
              <w:rPr>
                <w:rFonts w:ascii="Garamond" w:eastAsia="Times New Roman" w:hAnsi="Garamond" w:cs="Times New Roman"/>
                <w:b/>
                <w:bCs/>
                <w:color w:val="000000"/>
                <w:sz w:val="12"/>
                <w:szCs w:val="12"/>
                <w:lang w:eastAsia="es-ES"/>
              </w:rPr>
            </w:pPr>
          </w:p>
        </w:tc>
        <w:tc>
          <w:tcPr>
            <w:tcW w:w="201" w:type="dxa"/>
            <w:shd w:val="clear" w:color="auto" w:fill="F2F2F2" w:themeFill="background1" w:themeFillShade="F2"/>
            <w:vAlign w:val="center"/>
          </w:tcPr>
          <w:p w14:paraId="514BDDDA"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668ACCD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2" w:type="dxa"/>
            <w:shd w:val="clear" w:color="auto" w:fill="F2F2F2" w:themeFill="background1" w:themeFillShade="F2"/>
            <w:vAlign w:val="center"/>
          </w:tcPr>
          <w:p w14:paraId="75E1030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43D58B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080469B"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4218D03"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62B8AB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F75C4D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40DE3E4"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03EC960C"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2644F34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E357EA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548855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6A2F343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FF2056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72C54250" w14:textId="4AB104D7"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305 000</w:t>
            </w:r>
          </w:p>
        </w:tc>
      </w:tr>
      <w:tr w:rsidR="00F24D65" w:rsidRPr="00D21977" w14:paraId="6C63EFC0" w14:textId="77777777" w:rsidTr="00922684">
        <w:trPr>
          <w:trHeight w:val="615"/>
        </w:trPr>
        <w:tc>
          <w:tcPr>
            <w:tcW w:w="1663" w:type="dxa"/>
            <w:vMerge/>
            <w:shd w:val="clear" w:color="auto" w:fill="FFFFFF" w:themeFill="background1"/>
          </w:tcPr>
          <w:p w14:paraId="214BCBCE"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73D66683"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3.5.2. Continuar a adaptar a oferta de cursos de português, programa de alfabetização e formação de adultos para mulheres imigrantes e sensibilizar os líderes comunitários e homens para a importância da educação e formação profissional das mulheres</w:t>
            </w:r>
          </w:p>
        </w:tc>
        <w:tc>
          <w:tcPr>
            <w:tcW w:w="1305" w:type="dxa"/>
            <w:shd w:val="clear" w:color="auto" w:fill="FFFFFF" w:themeFill="background1"/>
            <w:vAlign w:val="center"/>
          </w:tcPr>
          <w:p w14:paraId="0327B724"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DGI</w:t>
            </w:r>
            <w:proofErr w:type="spellEnd"/>
          </w:p>
        </w:tc>
        <w:tc>
          <w:tcPr>
            <w:tcW w:w="2031" w:type="dxa"/>
            <w:shd w:val="clear" w:color="auto" w:fill="FFFFFF" w:themeFill="background1"/>
            <w:vAlign w:val="center"/>
          </w:tcPr>
          <w:p w14:paraId="25A983D2" w14:textId="77777777" w:rsidR="00F24D65" w:rsidRPr="00EB750A" w:rsidRDefault="00F24D65" w:rsidP="00F24D65">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Imigrantes, </w:t>
            </w:r>
            <w:proofErr w:type="spellStart"/>
            <w:r w:rsidRPr="00EB750A">
              <w:rPr>
                <w:rFonts w:ascii="Garamond" w:eastAsia="Times New Roman" w:hAnsi="Garamond" w:cs="Times New Roman"/>
                <w:color w:val="000000"/>
                <w:sz w:val="20"/>
                <w:szCs w:val="20"/>
                <w:lang w:val="pt-PT" w:eastAsia="es-ES"/>
              </w:rPr>
              <w:t>DGAEA</w:t>
            </w:r>
            <w:proofErr w:type="spellEnd"/>
            <w:r w:rsidRPr="00EB750A">
              <w:rPr>
                <w:rFonts w:ascii="Garamond" w:eastAsia="Times New Roman" w:hAnsi="Garamond" w:cs="Times New Roman"/>
                <w:color w:val="000000"/>
                <w:sz w:val="20"/>
                <w:szCs w:val="20"/>
                <w:lang w:val="pt-PT" w:eastAsia="es-ES"/>
              </w:rPr>
              <w:t>, IEFP</w:t>
            </w:r>
          </w:p>
        </w:tc>
        <w:tc>
          <w:tcPr>
            <w:tcW w:w="201" w:type="dxa"/>
            <w:shd w:val="clear" w:color="auto" w:fill="F2F2F2" w:themeFill="background1" w:themeFillShade="F2"/>
            <w:vAlign w:val="center"/>
          </w:tcPr>
          <w:p w14:paraId="7332DB6A" w14:textId="77777777" w:rsidR="00F24D65" w:rsidRPr="00F35105" w:rsidRDefault="00F24D65" w:rsidP="00F24D65">
            <w:pPr>
              <w:jc w:val="center"/>
              <w:rPr>
                <w:rFonts w:ascii="Garamond" w:eastAsia="Times New Roman" w:hAnsi="Garamond" w:cs="Times New Roman"/>
                <w:b/>
                <w:bCs/>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1" w:type="dxa"/>
            <w:shd w:val="clear" w:color="auto" w:fill="F2F2F2" w:themeFill="background1" w:themeFillShade="F2"/>
            <w:vAlign w:val="center"/>
          </w:tcPr>
          <w:p w14:paraId="01187755"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22A6BB3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2" w:type="dxa"/>
            <w:shd w:val="clear" w:color="auto" w:fill="F2F2F2" w:themeFill="background1" w:themeFillShade="F2"/>
            <w:vAlign w:val="center"/>
          </w:tcPr>
          <w:p w14:paraId="7169F85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096802A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63A539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6A6F93E"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3EB48A61"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2F2D7053"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D3AE5C2"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78D39D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5FF1ACD3"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57FF6D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92C737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9555C6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4AC7285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5563B001" w14:textId="041399E1"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720 000</w:t>
            </w:r>
          </w:p>
        </w:tc>
      </w:tr>
      <w:tr w:rsidR="00F24D65" w:rsidRPr="00D21977" w14:paraId="136CB8A9" w14:textId="77777777" w:rsidTr="00922684">
        <w:trPr>
          <w:trHeight w:val="615"/>
        </w:trPr>
        <w:tc>
          <w:tcPr>
            <w:tcW w:w="1663" w:type="dxa"/>
            <w:vMerge/>
            <w:shd w:val="clear" w:color="auto" w:fill="FFFFFF" w:themeFill="background1"/>
          </w:tcPr>
          <w:p w14:paraId="50F18D56"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5DC80E5B"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 xml:space="preserve">3.5.3. Monitorizar a adesão aos incentivos disponibilizados às mulheres e homens com deficiência para estudos de vários níveis e reforçar a divulgação e análise de desafios </w:t>
            </w:r>
          </w:p>
        </w:tc>
        <w:tc>
          <w:tcPr>
            <w:tcW w:w="1305" w:type="dxa"/>
            <w:shd w:val="clear" w:color="auto" w:fill="FFFFFF" w:themeFill="background1"/>
            <w:vAlign w:val="center"/>
          </w:tcPr>
          <w:p w14:paraId="5EDBAB66"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DGIS</w:t>
            </w:r>
            <w:proofErr w:type="spellEnd"/>
          </w:p>
        </w:tc>
        <w:tc>
          <w:tcPr>
            <w:tcW w:w="2031" w:type="dxa"/>
            <w:shd w:val="clear" w:color="auto" w:fill="FFFFFF" w:themeFill="background1"/>
            <w:vAlign w:val="center"/>
          </w:tcPr>
          <w:p w14:paraId="2C4B48F0" w14:textId="77777777" w:rsidR="00F24D65" w:rsidRPr="00D21977" w:rsidRDefault="00F24D65" w:rsidP="00F24D65">
            <w:pPr>
              <w:jc w:val="center"/>
              <w:rPr>
                <w:rFonts w:ascii="Garamond" w:eastAsia="Times New Roman" w:hAnsi="Garamond" w:cs="Times New Roman"/>
                <w:color w:val="000000"/>
                <w:sz w:val="20"/>
                <w:szCs w:val="20"/>
                <w:lang w:val="en-GB" w:eastAsia="es-ES"/>
              </w:rPr>
            </w:pPr>
            <w:proofErr w:type="spellStart"/>
            <w:r w:rsidRPr="00D21977">
              <w:rPr>
                <w:rFonts w:ascii="Garamond" w:eastAsia="Times New Roman" w:hAnsi="Garamond" w:cs="Times New Roman"/>
                <w:color w:val="000000"/>
                <w:sz w:val="20"/>
                <w:szCs w:val="20"/>
                <w:lang w:val="en-GB" w:eastAsia="es-ES"/>
              </w:rPr>
              <w:t>APIMUD</w:t>
            </w:r>
            <w:proofErr w:type="spellEnd"/>
            <w:r w:rsidRPr="00D21977">
              <w:rPr>
                <w:rFonts w:ascii="Garamond" w:eastAsia="Times New Roman" w:hAnsi="Garamond" w:cs="Times New Roman"/>
                <w:color w:val="000000"/>
                <w:sz w:val="20"/>
                <w:szCs w:val="20"/>
                <w:lang w:val="en-GB" w:eastAsia="es-ES"/>
              </w:rPr>
              <w:t xml:space="preserve">, Ass. </w:t>
            </w:r>
            <w:proofErr w:type="spellStart"/>
            <w:r w:rsidRPr="00D21977">
              <w:rPr>
                <w:rFonts w:ascii="Garamond" w:eastAsia="Times New Roman" w:hAnsi="Garamond" w:cs="Times New Roman"/>
                <w:color w:val="000000"/>
                <w:sz w:val="20"/>
                <w:szCs w:val="20"/>
                <w:lang w:val="en-GB" w:eastAsia="es-ES"/>
              </w:rPr>
              <w:t>PcD</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DNE</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DGES</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IEFP</w:t>
            </w:r>
            <w:proofErr w:type="spellEnd"/>
            <w:r w:rsidRPr="00D21977">
              <w:rPr>
                <w:rFonts w:ascii="Garamond" w:eastAsia="Times New Roman" w:hAnsi="Garamond" w:cs="Times New Roman"/>
                <w:color w:val="000000"/>
                <w:sz w:val="20"/>
                <w:szCs w:val="20"/>
                <w:lang w:val="en-GB" w:eastAsia="es-ES"/>
              </w:rPr>
              <w:t xml:space="preserve"> </w:t>
            </w:r>
          </w:p>
        </w:tc>
        <w:tc>
          <w:tcPr>
            <w:tcW w:w="201" w:type="dxa"/>
            <w:shd w:val="clear" w:color="auto" w:fill="F2F2F2" w:themeFill="background1" w:themeFillShade="F2"/>
            <w:vAlign w:val="center"/>
          </w:tcPr>
          <w:p w14:paraId="5F39F3B4" w14:textId="77777777" w:rsidR="00F24D65" w:rsidRPr="00F35105" w:rsidRDefault="00F24D65" w:rsidP="00F24D65">
            <w:pPr>
              <w:jc w:val="center"/>
              <w:rPr>
                <w:rFonts w:ascii="Garamond" w:eastAsia="Times New Roman" w:hAnsi="Garamond" w:cs="Times New Roman"/>
                <w:b/>
                <w:bCs/>
                <w:color w:val="000000"/>
                <w:sz w:val="12"/>
                <w:szCs w:val="12"/>
                <w:lang w:val="en-GB" w:eastAsia="es-ES"/>
              </w:rPr>
            </w:pPr>
          </w:p>
        </w:tc>
        <w:tc>
          <w:tcPr>
            <w:tcW w:w="201" w:type="dxa"/>
            <w:shd w:val="clear" w:color="auto" w:fill="F2F2F2" w:themeFill="background1" w:themeFillShade="F2"/>
            <w:vAlign w:val="center"/>
          </w:tcPr>
          <w:p w14:paraId="4D473C65"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2" w:type="dxa"/>
            <w:shd w:val="clear" w:color="auto" w:fill="F2F2F2" w:themeFill="background1" w:themeFillShade="F2"/>
            <w:vAlign w:val="center"/>
          </w:tcPr>
          <w:p w14:paraId="40E4E022"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2" w:type="dxa"/>
            <w:shd w:val="clear" w:color="auto" w:fill="F2F2F2" w:themeFill="background1" w:themeFillShade="F2"/>
            <w:vAlign w:val="center"/>
          </w:tcPr>
          <w:p w14:paraId="2777525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79EB33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E4E1622"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4B3BEF6"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5EB1CE70"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66498E2E"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EE05F57"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70B6644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2F2F2" w:themeFill="background1" w:themeFillShade="F2"/>
            <w:vAlign w:val="center"/>
          </w:tcPr>
          <w:p w14:paraId="203198D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29C127A1"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721A15D0"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6DC3D3F5" w14:textId="77777777" w:rsidR="00F24D65" w:rsidRPr="00F35105" w:rsidRDefault="00F24D65" w:rsidP="00F24D65">
            <w:pPr>
              <w:jc w:val="center"/>
              <w:rPr>
                <w:rFonts w:ascii="Garamond" w:eastAsia="Times New Roman" w:hAnsi="Garamond" w:cs="Times New Roman"/>
                <w:color w:val="000000"/>
                <w:sz w:val="12"/>
                <w:szCs w:val="12"/>
                <w:lang w:eastAsia="es-ES"/>
              </w:rPr>
            </w:pPr>
          </w:p>
        </w:tc>
        <w:tc>
          <w:tcPr>
            <w:tcW w:w="203" w:type="dxa"/>
            <w:shd w:val="clear" w:color="auto" w:fill="FFFFFF" w:themeFill="background1"/>
            <w:vAlign w:val="center"/>
          </w:tcPr>
          <w:p w14:paraId="0CA7408A"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07639C38" w14:textId="7F03042F"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635 000</w:t>
            </w:r>
          </w:p>
        </w:tc>
      </w:tr>
      <w:tr w:rsidR="00F24D65" w:rsidRPr="00D21977" w14:paraId="48E49ACF" w14:textId="77777777" w:rsidTr="00922684">
        <w:trPr>
          <w:trHeight w:val="615"/>
        </w:trPr>
        <w:tc>
          <w:tcPr>
            <w:tcW w:w="1663" w:type="dxa"/>
            <w:vMerge/>
            <w:shd w:val="clear" w:color="auto" w:fill="FFFFFF" w:themeFill="background1"/>
          </w:tcPr>
          <w:p w14:paraId="4CF4D43B" w14:textId="77777777" w:rsidR="00F24D65" w:rsidRPr="00D21977" w:rsidRDefault="00F24D65" w:rsidP="00F24D65">
            <w:pPr>
              <w:spacing w:after="240"/>
              <w:rPr>
                <w:rFonts w:ascii="Garamond" w:eastAsia="Times New Roman" w:hAnsi="Garamond" w:cs="Times New Roman"/>
                <w:color w:val="000000"/>
                <w:sz w:val="20"/>
                <w:szCs w:val="20"/>
                <w:lang w:eastAsia="es-ES"/>
              </w:rPr>
            </w:pPr>
          </w:p>
        </w:tc>
        <w:tc>
          <w:tcPr>
            <w:tcW w:w="5222" w:type="dxa"/>
            <w:shd w:val="clear" w:color="auto" w:fill="FFFFFF" w:themeFill="background1"/>
          </w:tcPr>
          <w:p w14:paraId="677EB50C" w14:textId="77777777" w:rsidR="00F24D65" w:rsidRPr="00EB750A" w:rsidRDefault="00F24D65" w:rsidP="00F24D65">
            <w:pPr>
              <w:spacing w:after="60"/>
              <w:rPr>
                <w:rFonts w:ascii="Garamond" w:hAnsi="Garamond"/>
                <w:sz w:val="20"/>
                <w:szCs w:val="20"/>
                <w:lang w:val="pt-PT"/>
              </w:rPr>
            </w:pPr>
            <w:r w:rsidRPr="00EB750A">
              <w:rPr>
                <w:rFonts w:ascii="Garamond" w:hAnsi="Garamond"/>
                <w:sz w:val="20"/>
                <w:szCs w:val="20"/>
                <w:lang w:val="pt-PT"/>
              </w:rPr>
              <w:t>3.5.4. Identificar em parceria com as associações de defesa dos direitos das mulheres com deficiência as necessidades de alfabetização e formação profissional existentes e pilotar abordagens adequadas às suas necessidades</w:t>
            </w:r>
          </w:p>
        </w:tc>
        <w:tc>
          <w:tcPr>
            <w:tcW w:w="1305" w:type="dxa"/>
            <w:shd w:val="clear" w:color="auto" w:fill="FFFFFF" w:themeFill="background1"/>
            <w:vAlign w:val="center"/>
          </w:tcPr>
          <w:p w14:paraId="02F4707E" w14:textId="77777777" w:rsidR="00F24D65" w:rsidRPr="00D21977" w:rsidRDefault="00F24D65" w:rsidP="00F24D65">
            <w:pPr>
              <w:jc w:val="center"/>
              <w:rPr>
                <w:rFonts w:ascii="Garamond" w:eastAsia="Times New Roman" w:hAnsi="Garamond" w:cs="Times New Roman"/>
                <w:color w:val="000000"/>
                <w:sz w:val="20"/>
                <w:szCs w:val="20"/>
                <w:lang w:eastAsia="es-ES"/>
              </w:rPr>
            </w:pPr>
            <w:proofErr w:type="spellStart"/>
            <w:r w:rsidRPr="00D21977">
              <w:rPr>
                <w:rFonts w:ascii="Garamond" w:eastAsia="Times New Roman" w:hAnsi="Garamond" w:cs="Times New Roman"/>
                <w:color w:val="000000"/>
                <w:sz w:val="20"/>
                <w:szCs w:val="20"/>
                <w:lang w:eastAsia="es-ES"/>
              </w:rPr>
              <w:t>ICIEG</w:t>
            </w:r>
            <w:proofErr w:type="spellEnd"/>
          </w:p>
        </w:tc>
        <w:tc>
          <w:tcPr>
            <w:tcW w:w="2031" w:type="dxa"/>
            <w:shd w:val="clear" w:color="auto" w:fill="FFFFFF" w:themeFill="background1"/>
            <w:vAlign w:val="center"/>
          </w:tcPr>
          <w:p w14:paraId="768C5129" w14:textId="77777777" w:rsidR="00F24D65" w:rsidRPr="00D21977" w:rsidRDefault="00F24D65" w:rsidP="00F24D65">
            <w:pPr>
              <w:jc w:val="center"/>
              <w:rPr>
                <w:rFonts w:ascii="Garamond" w:eastAsia="Times New Roman" w:hAnsi="Garamond" w:cs="Times New Roman"/>
                <w:color w:val="000000"/>
                <w:sz w:val="20"/>
                <w:szCs w:val="20"/>
                <w:lang w:val="en-GB" w:eastAsia="es-ES"/>
              </w:rPr>
            </w:pPr>
            <w:proofErr w:type="spellStart"/>
            <w:r w:rsidRPr="00D21977">
              <w:rPr>
                <w:rFonts w:ascii="Garamond" w:eastAsia="Times New Roman" w:hAnsi="Garamond" w:cs="Times New Roman"/>
                <w:color w:val="000000"/>
                <w:sz w:val="20"/>
                <w:szCs w:val="20"/>
                <w:lang w:val="en-GB" w:eastAsia="es-ES"/>
              </w:rPr>
              <w:t>APIMUD</w:t>
            </w:r>
            <w:proofErr w:type="spellEnd"/>
            <w:r w:rsidRPr="00D21977">
              <w:rPr>
                <w:rFonts w:ascii="Garamond" w:eastAsia="Times New Roman" w:hAnsi="Garamond" w:cs="Times New Roman"/>
                <w:color w:val="000000"/>
                <w:sz w:val="20"/>
                <w:szCs w:val="20"/>
                <w:lang w:val="en-GB" w:eastAsia="es-ES"/>
              </w:rPr>
              <w:t xml:space="preserve">, Ass. </w:t>
            </w:r>
            <w:proofErr w:type="spellStart"/>
            <w:r w:rsidRPr="00D21977">
              <w:rPr>
                <w:rFonts w:ascii="Garamond" w:eastAsia="Times New Roman" w:hAnsi="Garamond" w:cs="Times New Roman"/>
                <w:color w:val="000000"/>
                <w:sz w:val="20"/>
                <w:szCs w:val="20"/>
                <w:lang w:val="en-GB" w:eastAsia="es-ES"/>
              </w:rPr>
              <w:t>PcD</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DGAEA</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IEFP</w:t>
            </w:r>
            <w:proofErr w:type="spellEnd"/>
            <w:r w:rsidRPr="00D21977">
              <w:rPr>
                <w:rFonts w:ascii="Garamond" w:eastAsia="Times New Roman" w:hAnsi="Garamond" w:cs="Times New Roman"/>
                <w:color w:val="000000"/>
                <w:sz w:val="20"/>
                <w:szCs w:val="20"/>
                <w:lang w:val="en-GB" w:eastAsia="es-ES"/>
              </w:rPr>
              <w:t xml:space="preserve">, </w:t>
            </w:r>
            <w:proofErr w:type="spellStart"/>
            <w:r w:rsidRPr="00D21977">
              <w:rPr>
                <w:rFonts w:ascii="Garamond" w:eastAsia="Times New Roman" w:hAnsi="Garamond" w:cs="Times New Roman"/>
                <w:color w:val="000000"/>
                <w:sz w:val="20"/>
                <w:szCs w:val="20"/>
                <w:lang w:val="en-GB" w:eastAsia="es-ES"/>
              </w:rPr>
              <w:t>OSC</w:t>
            </w:r>
            <w:proofErr w:type="spellEnd"/>
          </w:p>
        </w:tc>
        <w:tc>
          <w:tcPr>
            <w:tcW w:w="201" w:type="dxa"/>
            <w:shd w:val="clear" w:color="auto" w:fill="F2F2F2" w:themeFill="background1" w:themeFillShade="F2"/>
            <w:vAlign w:val="center"/>
          </w:tcPr>
          <w:p w14:paraId="0012855E" w14:textId="77777777" w:rsidR="00F24D65" w:rsidRPr="00F35105" w:rsidRDefault="00F24D65" w:rsidP="00F24D65">
            <w:pPr>
              <w:jc w:val="center"/>
              <w:rPr>
                <w:rFonts w:ascii="Garamond" w:eastAsia="Times New Roman" w:hAnsi="Garamond" w:cs="Times New Roman"/>
                <w:b/>
                <w:bCs/>
                <w:color w:val="000000"/>
                <w:sz w:val="12"/>
                <w:szCs w:val="12"/>
                <w:lang w:val="en-GB" w:eastAsia="es-ES"/>
              </w:rPr>
            </w:pPr>
          </w:p>
        </w:tc>
        <w:tc>
          <w:tcPr>
            <w:tcW w:w="201" w:type="dxa"/>
            <w:shd w:val="clear" w:color="auto" w:fill="F2F2F2" w:themeFill="background1" w:themeFillShade="F2"/>
            <w:vAlign w:val="center"/>
          </w:tcPr>
          <w:p w14:paraId="619307BE"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2" w:type="dxa"/>
            <w:shd w:val="clear" w:color="auto" w:fill="F2F2F2" w:themeFill="background1" w:themeFillShade="F2"/>
            <w:vAlign w:val="center"/>
          </w:tcPr>
          <w:p w14:paraId="609CDE63"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2" w:type="dxa"/>
            <w:shd w:val="clear" w:color="auto" w:fill="F2F2F2" w:themeFill="background1" w:themeFillShade="F2"/>
            <w:vAlign w:val="center"/>
          </w:tcPr>
          <w:p w14:paraId="7D0C65AF"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3" w:type="dxa"/>
            <w:shd w:val="clear" w:color="auto" w:fill="FFFFFF" w:themeFill="background1"/>
            <w:vAlign w:val="center"/>
          </w:tcPr>
          <w:p w14:paraId="5FA5F617"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3" w:type="dxa"/>
            <w:shd w:val="clear" w:color="auto" w:fill="FFFFFF" w:themeFill="background1"/>
            <w:vAlign w:val="center"/>
          </w:tcPr>
          <w:p w14:paraId="7CDEB295" w14:textId="77777777" w:rsidR="00F24D65" w:rsidRPr="00F35105" w:rsidRDefault="00F24D65" w:rsidP="00F24D65">
            <w:pPr>
              <w:jc w:val="center"/>
              <w:rPr>
                <w:rFonts w:ascii="Garamond" w:eastAsia="Times New Roman" w:hAnsi="Garamond" w:cs="Times New Roman"/>
                <w:color w:val="000000"/>
                <w:sz w:val="12"/>
                <w:szCs w:val="12"/>
                <w:lang w:val="en-GB" w:eastAsia="es-ES"/>
              </w:rPr>
            </w:pPr>
          </w:p>
        </w:tc>
        <w:tc>
          <w:tcPr>
            <w:tcW w:w="203" w:type="dxa"/>
            <w:shd w:val="clear" w:color="auto" w:fill="FFFFFF" w:themeFill="background1"/>
            <w:vAlign w:val="center"/>
          </w:tcPr>
          <w:p w14:paraId="0676035B"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786B6C08"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4C1C750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7AC26CC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0FD3E2F7"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2F2F2" w:themeFill="background1" w:themeFillShade="F2"/>
            <w:vAlign w:val="center"/>
          </w:tcPr>
          <w:p w14:paraId="4EB6DB19"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8001EDB"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7AC8A0F"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51391466"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203" w:type="dxa"/>
            <w:shd w:val="clear" w:color="auto" w:fill="FFFFFF" w:themeFill="background1"/>
            <w:vAlign w:val="center"/>
          </w:tcPr>
          <w:p w14:paraId="15D07AAD" w14:textId="77777777" w:rsidR="00F24D65" w:rsidRPr="00F35105" w:rsidRDefault="00F24D65" w:rsidP="00F24D65">
            <w:pPr>
              <w:jc w:val="center"/>
              <w:rPr>
                <w:rFonts w:ascii="Garamond" w:eastAsia="Times New Roman" w:hAnsi="Garamond" w:cs="Times New Roman"/>
                <w:color w:val="000000"/>
                <w:sz w:val="12"/>
                <w:szCs w:val="12"/>
                <w:lang w:eastAsia="es-ES"/>
              </w:rPr>
            </w:pPr>
            <w:r w:rsidRPr="00F35105">
              <w:rPr>
                <w:rFonts w:ascii="Garamond" w:eastAsia="Times New Roman" w:hAnsi="Garamond" w:cs="Times New Roman"/>
                <w:b/>
                <w:bCs/>
                <w:color w:val="000000"/>
                <w:sz w:val="12"/>
                <w:szCs w:val="12"/>
                <w:lang w:eastAsia="es-ES"/>
              </w:rPr>
              <w:t>X</w:t>
            </w:r>
          </w:p>
        </w:tc>
        <w:tc>
          <w:tcPr>
            <w:tcW w:w="1204" w:type="dxa"/>
            <w:shd w:val="clear" w:color="auto" w:fill="FFFFFF" w:themeFill="background1"/>
            <w:vAlign w:val="center"/>
          </w:tcPr>
          <w:p w14:paraId="79FF0EB8" w14:textId="31C468CD" w:rsidR="00F24D65" w:rsidRPr="00D21977" w:rsidRDefault="00F24D65" w:rsidP="00F24D65">
            <w:pPr>
              <w:jc w:val="center"/>
              <w:rPr>
                <w:rFonts w:ascii="Garamond" w:eastAsia="Times New Roman" w:hAnsi="Garamond" w:cs="Times New Roman"/>
                <w:color w:val="000000"/>
                <w:sz w:val="20"/>
                <w:szCs w:val="20"/>
                <w:lang w:eastAsia="es-ES"/>
              </w:rPr>
            </w:pPr>
            <w:r w:rsidRPr="00F24D65">
              <w:rPr>
                <w:rFonts w:ascii="Garamond" w:eastAsia="Times New Roman" w:hAnsi="Garamond" w:cs="Times New Roman"/>
                <w:color w:val="000000"/>
                <w:sz w:val="20"/>
                <w:szCs w:val="20"/>
                <w:lang w:eastAsia="es-ES"/>
              </w:rPr>
              <w:t>1 245 000</w:t>
            </w:r>
          </w:p>
        </w:tc>
      </w:tr>
    </w:tbl>
    <w:p w14:paraId="0513DBAF" w14:textId="77777777" w:rsidR="00432609" w:rsidRDefault="00432609" w:rsidP="00432609">
      <w:pPr>
        <w:rPr>
          <w:rFonts w:ascii="Garamond" w:hAnsi="Garamond"/>
          <w:b/>
          <w:sz w:val="20"/>
          <w:szCs w:val="20"/>
        </w:rPr>
      </w:pPr>
    </w:p>
    <w:p w14:paraId="65DF6BF0" w14:textId="7CBC9319" w:rsidR="00432609" w:rsidRDefault="00432609" w:rsidP="009F6506">
      <w:pPr>
        <w:pStyle w:val="PargrafodaLista"/>
        <w:ind w:left="0"/>
        <w:jc w:val="both"/>
        <w:rPr>
          <w:rFonts w:ascii="Garamond" w:hAnsi="Garamond"/>
          <w:b/>
          <w:sz w:val="20"/>
          <w:szCs w:val="20"/>
          <w:lang w:val="pt-PT"/>
        </w:rPr>
      </w:pPr>
      <w:r w:rsidRPr="00EB750A">
        <w:rPr>
          <w:rFonts w:ascii="Garamond" w:hAnsi="Garamond"/>
          <w:b/>
          <w:sz w:val="20"/>
          <w:szCs w:val="20"/>
          <w:lang w:val="pt-PT"/>
        </w:rPr>
        <w:t xml:space="preserve">Eixo 4 - Saúde e direitos sexuais e reprodutivos </w:t>
      </w:r>
    </w:p>
    <w:p w14:paraId="696422E9" w14:textId="77777777" w:rsidR="00E20A3B" w:rsidRPr="00EB750A" w:rsidRDefault="00E20A3B" w:rsidP="009F6506">
      <w:pPr>
        <w:pStyle w:val="PargrafodaLista"/>
        <w:ind w:left="0"/>
        <w:jc w:val="both"/>
        <w:rPr>
          <w:rFonts w:ascii="Garamond" w:hAnsi="Garamond"/>
          <w:b/>
          <w:sz w:val="20"/>
          <w:szCs w:val="20"/>
          <w:lang w:val="pt-PT"/>
        </w:rPr>
      </w:pPr>
    </w:p>
    <w:p w14:paraId="473CCC33" w14:textId="419C3629" w:rsidR="00432609" w:rsidRDefault="00432609" w:rsidP="00432609">
      <w:pPr>
        <w:shd w:val="clear" w:color="auto" w:fill="FFFFFF" w:themeFill="background1"/>
        <w:rPr>
          <w:rFonts w:ascii="Garamond" w:hAnsi="Garamond"/>
          <w:bCs/>
          <w:sz w:val="20"/>
          <w:szCs w:val="20"/>
          <w:lang w:val="pt-PT"/>
        </w:rPr>
      </w:pPr>
      <w:proofErr w:type="spellStart"/>
      <w:r w:rsidRPr="00EB750A">
        <w:rPr>
          <w:rFonts w:ascii="Garamond" w:hAnsi="Garamond"/>
          <w:b/>
          <w:sz w:val="20"/>
          <w:szCs w:val="20"/>
          <w:lang w:val="pt-PT"/>
        </w:rPr>
        <w:t>Objetivo</w:t>
      </w:r>
      <w:proofErr w:type="spellEnd"/>
      <w:r w:rsidRPr="00EB750A">
        <w:rPr>
          <w:rFonts w:ascii="Garamond" w:hAnsi="Garamond"/>
          <w:b/>
          <w:sz w:val="20"/>
          <w:szCs w:val="20"/>
          <w:lang w:val="pt-PT"/>
        </w:rPr>
        <w:t xml:space="preserve"> estratégico</w:t>
      </w:r>
      <w:r w:rsidRPr="00EB750A">
        <w:rPr>
          <w:rFonts w:ascii="Garamond" w:hAnsi="Garamond"/>
          <w:bCs/>
          <w:sz w:val="20"/>
          <w:szCs w:val="20"/>
          <w:lang w:val="pt-PT"/>
        </w:rPr>
        <w:t xml:space="preserve">: Promover o aumento da procura de serviços de saúde e </w:t>
      </w:r>
      <w:proofErr w:type="spellStart"/>
      <w:r w:rsidRPr="00EB750A">
        <w:rPr>
          <w:rFonts w:ascii="Garamond" w:hAnsi="Garamond"/>
          <w:bCs/>
          <w:sz w:val="20"/>
          <w:szCs w:val="20"/>
          <w:lang w:val="pt-PT"/>
        </w:rPr>
        <w:t>SSR</w:t>
      </w:r>
      <w:proofErr w:type="spellEnd"/>
      <w:r w:rsidRPr="00EB750A">
        <w:rPr>
          <w:rFonts w:ascii="Garamond" w:hAnsi="Garamond"/>
          <w:bCs/>
          <w:sz w:val="20"/>
          <w:szCs w:val="20"/>
          <w:lang w:val="pt-PT"/>
        </w:rPr>
        <w:t xml:space="preserve"> e a oferta de serviços de qualidade que respeitam as especificidades de cada pessoa</w:t>
      </w:r>
    </w:p>
    <w:p w14:paraId="20D6A3DB" w14:textId="77777777" w:rsidR="00E20A3B" w:rsidRPr="00EB750A" w:rsidRDefault="00E20A3B" w:rsidP="00432609">
      <w:pPr>
        <w:shd w:val="clear" w:color="auto" w:fill="FFFFFF" w:themeFill="background1"/>
        <w:rPr>
          <w:rFonts w:ascii="Garamond" w:hAnsi="Garamond"/>
          <w:bCs/>
          <w:sz w:val="20"/>
          <w:szCs w:val="20"/>
          <w:lang w:val="pt-PT"/>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9"/>
        <w:gridCol w:w="4904"/>
        <w:gridCol w:w="1459"/>
        <w:gridCol w:w="2044"/>
        <w:gridCol w:w="205"/>
        <w:gridCol w:w="205"/>
        <w:gridCol w:w="205"/>
        <w:gridCol w:w="205"/>
        <w:gridCol w:w="205"/>
        <w:gridCol w:w="205"/>
        <w:gridCol w:w="205"/>
        <w:gridCol w:w="205"/>
        <w:gridCol w:w="205"/>
        <w:gridCol w:w="205"/>
        <w:gridCol w:w="205"/>
        <w:gridCol w:w="205"/>
        <w:gridCol w:w="205"/>
        <w:gridCol w:w="205"/>
        <w:gridCol w:w="205"/>
        <w:gridCol w:w="205"/>
        <w:gridCol w:w="1101"/>
      </w:tblGrid>
      <w:tr w:rsidR="00087143" w:rsidRPr="00441BCC" w14:paraId="4564F773" w14:textId="77777777" w:rsidTr="00087143">
        <w:trPr>
          <w:trHeight w:val="424"/>
          <w:tblHeader/>
        </w:trPr>
        <w:tc>
          <w:tcPr>
            <w:tcW w:w="1879" w:type="dxa"/>
            <w:vMerge w:val="restart"/>
            <w:shd w:val="clear" w:color="auto" w:fill="DEEAF6" w:themeFill="accent5" w:themeFillTint="33"/>
            <w:vAlign w:val="center"/>
          </w:tcPr>
          <w:p w14:paraId="02729D98"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Resultados</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esperados</w:t>
            </w:r>
            <w:proofErr w:type="spellEnd"/>
          </w:p>
        </w:tc>
        <w:tc>
          <w:tcPr>
            <w:tcW w:w="4904" w:type="dxa"/>
            <w:vMerge w:val="restart"/>
            <w:shd w:val="clear" w:color="auto" w:fill="DEEAF6" w:themeFill="accent5" w:themeFillTint="33"/>
            <w:vAlign w:val="center"/>
          </w:tcPr>
          <w:p w14:paraId="02147443" w14:textId="77777777" w:rsidR="00432609" w:rsidRPr="00441BCC" w:rsidRDefault="00432609" w:rsidP="00DF0B6E">
            <w:pPr>
              <w:spacing w:after="60"/>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Medidas</w:t>
            </w:r>
            <w:proofErr w:type="spellEnd"/>
            <w:r w:rsidRPr="00441BCC">
              <w:rPr>
                <w:rFonts w:ascii="Garamond" w:eastAsia="Times New Roman" w:hAnsi="Garamond" w:cs="Times New Roman"/>
                <w:b/>
                <w:bCs/>
                <w:sz w:val="20"/>
                <w:szCs w:val="20"/>
                <w:lang w:eastAsia="es-ES"/>
              </w:rPr>
              <w:t xml:space="preserve"> de </w:t>
            </w:r>
            <w:proofErr w:type="spellStart"/>
            <w:r w:rsidRPr="00441BCC">
              <w:rPr>
                <w:rFonts w:ascii="Garamond" w:eastAsia="Times New Roman" w:hAnsi="Garamond" w:cs="Times New Roman"/>
                <w:b/>
                <w:bCs/>
                <w:sz w:val="20"/>
                <w:szCs w:val="20"/>
                <w:lang w:eastAsia="es-ES"/>
              </w:rPr>
              <w:t>ação</w:t>
            </w:r>
            <w:proofErr w:type="spellEnd"/>
          </w:p>
        </w:tc>
        <w:tc>
          <w:tcPr>
            <w:tcW w:w="1459" w:type="dxa"/>
            <w:vMerge w:val="restart"/>
            <w:shd w:val="clear" w:color="auto" w:fill="DEEAF6" w:themeFill="accent5" w:themeFillTint="33"/>
            <w:vAlign w:val="center"/>
          </w:tcPr>
          <w:p w14:paraId="65BCEFFA"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Entidade</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responsável</w:t>
            </w:r>
            <w:proofErr w:type="spellEnd"/>
          </w:p>
        </w:tc>
        <w:tc>
          <w:tcPr>
            <w:tcW w:w="2044" w:type="dxa"/>
            <w:vMerge w:val="restart"/>
            <w:shd w:val="clear" w:color="auto" w:fill="DEEAF6" w:themeFill="accent5" w:themeFillTint="33"/>
            <w:vAlign w:val="center"/>
          </w:tcPr>
          <w:p w14:paraId="1C4F3F28"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Entidades</w:t>
            </w:r>
            <w:proofErr w:type="spellEnd"/>
            <w:r w:rsidRPr="00441BCC">
              <w:rPr>
                <w:rFonts w:ascii="Garamond" w:eastAsia="Times New Roman" w:hAnsi="Garamond" w:cs="Times New Roman"/>
                <w:b/>
                <w:bCs/>
                <w:sz w:val="20"/>
                <w:szCs w:val="20"/>
                <w:lang w:eastAsia="es-ES"/>
              </w:rPr>
              <w:t xml:space="preserve"> </w:t>
            </w:r>
            <w:proofErr w:type="spellStart"/>
            <w:r w:rsidRPr="00441BCC">
              <w:rPr>
                <w:rFonts w:ascii="Garamond" w:eastAsia="Times New Roman" w:hAnsi="Garamond" w:cs="Times New Roman"/>
                <w:b/>
                <w:bCs/>
                <w:sz w:val="20"/>
                <w:szCs w:val="20"/>
                <w:lang w:eastAsia="es-ES"/>
              </w:rPr>
              <w:t>envolvidas</w:t>
            </w:r>
            <w:proofErr w:type="spellEnd"/>
          </w:p>
        </w:tc>
        <w:tc>
          <w:tcPr>
            <w:tcW w:w="3280" w:type="dxa"/>
            <w:gridSpan w:val="16"/>
            <w:shd w:val="clear" w:color="auto" w:fill="DEEAF6" w:themeFill="accent5" w:themeFillTint="33"/>
            <w:vAlign w:val="center"/>
          </w:tcPr>
          <w:p w14:paraId="27369E9A" w14:textId="77777777" w:rsidR="00432609" w:rsidRPr="00441BCC" w:rsidRDefault="00432609" w:rsidP="00DF0B6E">
            <w:pPr>
              <w:jc w:val="center"/>
              <w:rPr>
                <w:rFonts w:ascii="Garamond" w:eastAsia="Times New Roman" w:hAnsi="Garamond" w:cs="Times New Roman"/>
                <w:b/>
                <w:bCs/>
                <w:sz w:val="20"/>
                <w:szCs w:val="20"/>
                <w:lang w:eastAsia="es-ES"/>
              </w:rPr>
            </w:pPr>
            <w:proofErr w:type="spellStart"/>
            <w:r w:rsidRPr="00441BCC">
              <w:rPr>
                <w:rFonts w:ascii="Garamond" w:eastAsia="Times New Roman" w:hAnsi="Garamond" w:cs="Times New Roman"/>
                <w:b/>
                <w:bCs/>
                <w:sz w:val="20"/>
                <w:szCs w:val="20"/>
                <w:lang w:eastAsia="es-ES"/>
              </w:rPr>
              <w:t>Calendário</w:t>
            </w:r>
            <w:proofErr w:type="spellEnd"/>
          </w:p>
        </w:tc>
        <w:tc>
          <w:tcPr>
            <w:tcW w:w="1101" w:type="dxa"/>
            <w:vMerge w:val="restart"/>
            <w:shd w:val="clear" w:color="auto" w:fill="DEEAF6" w:themeFill="accent5" w:themeFillTint="33"/>
            <w:vAlign w:val="center"/>
          </w:tcPr>
          <w:p w14:paraId="756F2ED7" w14:textId="07A32069" w:rsidR="00432609" w:rsidRPr="00441BCC" w:rsidRDefault="00432609" w:rsidP="00DF0B6E">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C1191E">
              <w:rPr>
                <w:rFonts w:ascii="Garamond" w:eastAsia="Times New Roman" w:hAnsi="Garamond" w:cs="Times New Roman"/>
                <w:b/>
                <w:bCs/>
                <w:sz w:val="20"/>
                <w:szCs w:val="20"/>
                <w:lang w:eastAsia="es-ES"/>
              </w:rPr>
              <w:t xml:space="preserve"> (</w:t>
            </w:r>
            <w:proofErr w:type="spellStart"/>
            <w:r w:rsidR="00C1191E">
              <w:rPr>
                <w:rFonts w:ascii="Garamond" w:eastAsia="Times New Roman" w:hAnsi="Garamond" w:cs="Times New Roman"/>
                <w:b/>
                <w:bCs/>
                <w:sz w:val="20"/>
                <w:szCs w:val="20"/>
                <w:lang w:eastAsia="es-ES"/>
              </w:rPr>
              <w:t>ECV</w:t>
            </w:r>
            <w:proofErr w:type="spellEnd"/>
            <w:r w:rsidR="00C1191E">
              <w:rPr>
                <w:rFonts w:ascii="Garamond" w:eastAsia="Times New Roman" w:hAnsi="Garamond" w:cs="Times New Roman"/>
                <w:b/>
                <w:bCs/>
                <w:sz w:val="20"/>
                <w:szCs w:val="20"/>
                <w:lang w:eastAsia="es-ES"/>
              </w:rPr>
              <w:t>)</w:t>
            </w:r>
          </w:p>
        </w:tc>
      </w:tr>
      <w:tr w:rsidR="00087143" w:rsidRPr="00441BCC" w14:paraId="6B7A3D76" w14:textId="77777777" w:rsidTr="00087143">
        <w:trPr>
          <w:trHeight w:val="498"/>
          <w:tblHeader/>
        </w:trPr>
        <w:tc>
          <w:tcPr>
            <w:tcW w:w="1879" w:type="dxa"/>
            <w:vMerge/>
            <w:shd w:val="clear" w:color="auto" w:fill="FFFFFF" w:themeFill="background1"/>
            <w:vAlign w:val="center"/>
          </w:tcPr>
          <w:p w14:paraId="4D75CEAB"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4904" w:type="dxa"/>
            <w:vMerge/>
            <w:shd w:val="clear" w:color="auto" w:fill="FFFFFF" w:themeFill="background1"/>
          </w:tcPr>
          <w:p w14:paraId="3B86526F" w14:textId="77777777" w:rsidR="00432609" w:rsidRPr="00441BCC" w:rsidRDefault="00432609" w:rsidP="00DF0B6E">
            <w:pPr>
              <w:spacing w:after="60"/>
              <w:jc w:val="center"/>
              <w:rPr>
                <w:rFonts w:ascii="Garamond" w:eastAsia="Times New Roman" w:hAnsi="Garamond" w:cs="Times New Roman"/>
                <w:b/>
                <w:bCs/>
                <w:sz w:val="20"/>
                <w:szCs w:val="20"/>
                <w:lang w:eastAsia="es-ES"/>
              </w:rPr>
            </w:pPr>
          </w:p>
        </w:tc>
        <w:tc>
          <w:tcPr>
            <w:tcW w:w="1459" w:type="dxa"/>
            <w:vMerge/>
            <w:shd w:val="clear" w:color="auto" w:fill="FFFFFF" w:themeFill="background1"/>
            <w:vAlign w:val="center"/>
          </w:tcPr>
          <w:p w14:paraId="2B153DC6"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2044" w:type="dxa"/>
            <w:vMerge/>
            <w:shd w:val="clear" w:color="auto" w:fill="FFFFFF" w:themeFill="background1"/>
            <w:vAlign w:val="center"/>
          </w:tcPr>
          <w:p w14:paraId="68EF9969" w14:textId="77777777" w:rsidR="00432609" w:rsidRPr="00441BCC" w:rsidRDefault="00432609" w:rsidP="00DF0B6E">
            <w:pPr>
              <w:jc w:val="center"/>
              <w:rPr>
                <w:rFonts w:ascii="Garamond" w:eastAsia="Times New Roman" w:hAnsi="Garamond" w:cs="Times New Roman"/>
                <w:b/>
                <w:bCs/>
                <w:sz w:val="20"/>
                <w:szCs w:val="20"/>
                <w:lang w:eastAsia="es-ES"/>
              </w:rPr>
            </w:pPr>
          </w:p>
        </w:tc>
        <w:tc>
          <w:tcPr>
            <w:tcW w:w="820" w:type="dxa"/>
            <w:gridSpan w:val="4"/>
            <w:shd w:val="clear" w:color="auto" w:fill="F2F2F2" w:themeFill="background1" w:themeFillShade="F2"/>
            <w:vAlign w:val="center"/>
          </w:tcPr>
          <w:p w14:paraId="4ADD5219"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2020</w:t>
            </w:r>
          </w:p>
        </w:tc>
        <w:tc>
          <w:tcPr>
            <w:tcW w:w="820" w:type="dxa"/>
            <w:gridSpan w:val="4"/>
            <w:shd w:val="clear" w:color="auto" w:fill="FFFFFF" w:themeFill="background1"/>
            <w:vAlign w:val="center"/>
          </w:tcPr>
          <w:p w14:paraId="27A353B6"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2021</w:t>
            </w:r>
          </w:p>
        </w:tc>
        <w:tc>
          <w:tcPr>
            <w:tcW w:w="820" w:type="dxa"/>
            <w:gridSpan w:val="4"/>
            <w:shd w:val="clear" w:color="auto" w:fill="F2F2F2" w:themeFill="background1" w:themeFillShade="F2"/>
            <w:vAlign w:val="center"/>
          </w:tcPr>
          <w:p w14:paraId="3FCF43A9"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2022</w:t>
            </w:r>
          </w:p>
        </w:tc>
        <w:tc>
          <w:tcPr>
            <w:tcW w:w="820" w:type="dxa"/>
            <w:gridSpan w:val="4"/>
            <w:shd w:val="clear" w:color="auto" w:fill="FFFFFF" w:themeFill="background1"/>
            <w:vAlign w:val="center"/>
          </w:tcPr>
          <w:p w14:paraId="0D637C5F" w14:textId="77777777" w:rsidR="00432609" w:rsidRPr="00441BCC" w:rsidRDefault="00432609" w:rsidP="00DF0B6E">
            <w:pPr>
              <w:jc w:val="center"/>
              <w:rPr>
                <w:rFonts w:ascii="Garamond" w:eastAsia="Times New Roman" w:hAnsi="Garamond" w:cs="Times New Roman"/>
                <w:b/>
                <w:bCs/>
                <w:sz w:val="20"/>
                <w:szCs w:val="20"/>
                <w:lang w:eastAsia="es-ES"/>
              </w:rPr>
            </w:pPr>
            <w:r w:rsidRPr="00441BCC">
              <w:rPr>
                <w:rFonts w:ascii="Garamond" w:eastAsia="Times New Roman" w:hAnsi="Garamond" w:cs="Times New Roman"/>
                <w:b/>
                <w:bCs/>
                <w:sz w:val="20"/>
                <w:szCs w:val="20"/>
                <w:lang w:eastAsia="es-ES"/>
              </w:rPr>
              <w:t>2023</w:t>
            </w:r>
          </w:p>
        </w:tc>
        <w:tc>
          <w:tcPr>
            <w:tcW w:w="1101" w:type="dxa"/>
            <w:vMerge/>
            <w:shd w:val="clear" w:color="auto" w:fill="FFFFFF" w:themeFill="background1"/>
            <w:vAlign w:val="center"/>
          </w:tcPr>
          <w:p w14:paraId="3CA6F10C" w14:textId="77777777" w:rsidR="00432609" w:rsidRPr="00441BCC" w:rsidRDefault="00432609" w:rsidP="00DF0B6E">
            <w:pPr>
              <w:jc w:val="center"/>
              <w:rPr>
                <w:rFonts w:ascii="Garamond" w:eastAsia="Times New Roman" w:hAnsi="Garamond" w:cs="Times New Roman"/>
                <w:b/>
                <w:bCs/>
                <w:sz w:val="20"/>
                <w:szCs w:val="20"/>
                <w:lang w:eastAsia="es-ES"/>
              </w:rPr>
            </w:pPr>
          </w:p>
        </w:tc>
      </w:tr>
      <w:tr w:rsidR="00C1191E" w:rsidRPr="00441BCC" w14:paraId="3C63467B" w14:textId="77777777" w:rsidTr="00922684">
        <w:trPr>
          <w:trHeight w:val="615"/>
        </w:trPr>
        <w:tc>
          <w:tcPr>
            <w:tcW w:w="1879" w:type="dxa"/>
            <w:vMerge w:val="restart"/>
            <w:shd w:val="clear" w:color="auto" w:fill="FFFFFF" w:themeFill="background1"/>
          </w:tcPr>
          <w:p w14:paraId="4B94CB7B" w14:textId="77777777" w:rsidR="00C1191E" w:rsidRPr="00EB750A" w:rsidRDefault="00C1191E" w:rsidP="00C1191E">
            <w:pPr>
              <w:spacing w:after="240"/>
              <w:rPr>
                <w:rFonts w:ascii="Garamond" w:hAnsi="Garamond"/>
                <w:sz w:val="20"/>
                <w:szCs w:val="20"/>
                <w:lang w:val="pt-PT"/>
              </w:rPr>
            </w:pPr>
            <w:r w:rsidRPr="00EB750A">
              <w:rPr>
                <w:rFonts w:ascii="Garamond" w:hAnsi="Garamond"/>
                <w:sz w:val="20"/>
                <w:szCs w:val="20"/>
                <w:lang w:val="pt-PT"/>
              </w:rPr>
              <w:t xml:space="preserve">4.1. </w:t>
            </w:r>
            <w:proofErr w:type="spellStart"/>
            <w:r w:rsidRPr="00EB750A">
              <w:rPr>
                <w:rFonts w:ascii="Garamond" w:hAnsi="Garamond"/>
                <w:sz w:val="20"/>
                <w:szCs w:val="20"/>
                <w:lang w:val="pt-PT"/>
              </w:rPr>
              <w:t>Perspetiva</w:t>
            </w:r>
            <w:proofErr w:type="spellEnd"/>
            <w:r w:rsidRPr="00EB750A">
              <w:rPr>
                <w:rFonts w:ascii="Garamond" w:hAnsi="Garamond"/>
                <w:sz w:val="20"/>
                <w:szCs w:val="20"/>
                <w:lang w:val="pt-PT"/>
              </w:rPr>
              <w:t xml:space="preserve"> de género melhor integrada nos planos, programas e abordagens para a educação e promoção da saúde e de estilos de vida saudáveis entre mulheres e homens</w:t>
            </w:r>
          </w:p>
        </w:tc>
        <w:tc>
          <w:tcPr>
            <w:tcW w:w="4904" w:type="dxa"/>
            <w:shd w:val="clear" w:color="auto" w:fill="FFFFFF" w:themeFill="background1"/>
          </w:tcPr>
          <w:p w14:paraId="264F1204"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4.1.1. Definir, divulgar e seguir a implementação de directrizes para uma</w:t>
            </w:r>
            <w:r w:rsidRPr="00EB750A">
              <w:rPr>
                <w:rFonts w:ascii="Garamond" w:hAnsi="Garamond"/>
                <w:sz w:val="20"/>
                <w:szCs w:val="20"/>
                <w:lang w:val="pt-PT"/>
              </w:rPr>
              <w:t xml:space="preserve"> programação sensível ao género das medidas de prevenção/atenção ao consumo de álcool/drogas. </w:t>
            </w:r>
          </w:p>
        </w:tc>
        <w:tc>
          <w:tcPr>
            <w:tcW w:w="1459" w:type="dxa"/>
            <w:shd w:val="clear" w:color="auto" w:fill="FFFFFF" w:themeFill="background1"/>
            <w:vAlign w:val="center"/>
          </w:tcPr>
          <w:p w14:paraId="4272DF3F"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hAnsi="Garamond"/>
                <w:sz w:val="20"/>
                <w:szCs w:val="20"/>
              </w:rPr>
              <w:t>CCAD</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MSSS</w:t>
            </w:r>
            <w:proofErr w:type="spellEnd"/>
          </w:p>
        </w:tc>
        <w:tc>
          <w:tcPr>
            <w:tcW w:w="2044" w:type="dxa"/>
            <w:shd w:val="clear" w:color="auto" w:fill="FFFFFF" w:themeFill="background1"/>
            <w:vAlign w:val="center"/>
          </w:tcPr>
          <w:p w14:paraId="4BEB4BC7"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Programa Saúde Mental/DNS, </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Rede SOL, Delegacias e Centros de Saúde</w:t>
            </w:r>
          </w:p>
        </w:tc>
        <w:tc>
          <w:tcPr>
            <w:tcW w:w="205" w:type="dxa"/>
            <w:shd w:val="clear" w:color="auto" w:fill="F2F2F2" w:themeFill="background1" w:themeFillShade="F2"/>
            <w:vAlign w:val="center"/>
          </w:tcPr>
          <w:p w14:paraId="1CC6ED9B" w14:textId="77777777" w:rsidR="00C1191E" w:rsidRPr="00E20A3B" w:rsidRDefault="00C1191E" w:rsidP="00C1191E">
            <w:pPr>
              <w:jc w:val="center"/>
              <w:rPr>
                <w:rFonts w:ascii="Garamond" w:eastAsia="Times New Roman" w:hAnsi="Garamond" w:cs="Times New Roman"/>
                <w:b/>
                <w:bCs/>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69624C2"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190CEAF7"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F9EB9F5"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2750B6A2"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E7B3B64"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38A263AA"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8D63FA8"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5E54F422"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C26AFF6"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3397AFB"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F2FF0E2"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D38F81F"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3D93BE5D"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7FACE6C"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1BCE00DE"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4904133F" w14:textId="45BB1E7E"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470 000</w:t>
            </w:r>
          </w:p>
        </w:tc>
      </w:tr>
      <w:tr w:rsidR="00C1191E" w:rsidRPr="00441BCC" w14:paraId="2ED3A7E5" w14:textId="77777777" w:rsidTr="00087143">
        <w:trPr>
          <w:trHeight w:val="615"/>
        </w:trPr>
        <w:tc>
          <w:tcPr>
            <w:tcW w:w="1879" w:type="dxa"/>
            <w:vMerge/>
            <w:shd w:val="clear" w:color="auto" w:fill="FFFFFF" w:themeFill="background1"/>
          </w:tcPr>
          <w:p w14:paraId="4793BA6B"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09637DA1"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4.1.2. </w:t>
            </w:r>
            <w:r w:rsidRPr="00EB750A">
              <w:rPr>
                <w:rFonts w:ascii="Garamond" w:hAnsi="Garamond"/>
                <w:sz w:val="20"/>
                <w:szCs w:val="20"/>
                <w:lang w:val="pt-PT"/>
              </w:rPr>
              <w:t xml:space="preserve">Desenvolver estratégias, instrumentos e materiais sensíveis ao género para a divulgação da Lei sobre consumo de bebidas alcoólicas e </w:t>
            </w:r>
            <w:proofErr w:type="spellStart"/>
            <w:r w:rsidRPr="00EB750A">
              <w:rPr>
                <w:rFonts w:ascii="Garamond" w:hAnsi="Garamond"/>
                <w:sz w:val="20"/>
                <w:szCs w:val="20"/>
                <w:lang w:val="pt-PT"/>
              </w:rPr>
              <w:t>ações</w:t>
            </w:r>
            <w:proofErr w:type="spellEnd"/>
            <w:r w:rsidRPr="00EB750A">
              <w:rPr>
                <w:rFonts w:ascii="Garamond" w:hAnsi="Garamond"/>
                <w:sz w:val="20"/>
                <w:szCs w:val="20"/>
                <w:lang w:val="pt-PT"/>
              </w:rPr>
              <w:t xml:space="preserve"> de prevenção.</w:t>
            </w:r>
          </w:p>
        </w:tc>
        <w:tc>
          <w:tcPr>
            <w:tcW w:w="1459" w:type="dxa"/>
            <w:shd w:val="clear" w:color="auto" w:fill="FFFFFF" w:themeFill="background1"/>
            <w:vAlign w:val="center"/>
          </w:tcPr>
          <w:p w14:paraId="48D74C66"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hAnsi="Garamond"/>
                <w:sz w:val="20"/>
                <w:szCs w:val="20"/>
              </w:rPr>
              <w:t>CCAD</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MSSS</w:t>
            </w:r>
            <w:proofErr w:type="spellEnd"/>
          </w:p>
        </w:tc>
        <w:tc>
          <w:tcPr>
            <w:tcW w:w="2044" w:type="dxa"/>
            <w:shd w:val="clear" w:color="auto" w:fill="FFFFFF" w:themeFill="background1"/>
            <w:vAlign w:val="center"/>
          </w:tcPr>
          <w:p w14:paraId="069AC6C4"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Delegacias e Centros de Saúde,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Rede SOL</w:t>
            </w:r>
          </w:p>
        </w:tc>
        <w:tc>
          <w:tcPr>
            <w:tcW w:w="205" w:type="dxa"/>
            <w:shd w:val="clear" w:color="auto" w:fill="F2F2F2" w:themeFill="background1" w:themeFillShade="F2"/>
            <w:vAlign w:val="center"/>
          </w:tcPr>
          <w:p w14:paraId="7AC7FB48" w14:textId="77777777" w:rsidR="00C1191E" w:rsidRPr="00E20A3B" w:rsidRDefault="00C1191E" w:rsidP="00C1191E">
            <w:pPr>
              <w:jc w:val="center"/>
              <w:rPr>
                <w:rFonts w:ascii="Garamond" w:eastAsia="Times New Roman" w:hAnsi="Garamond" w:cs="Times New Roman"/>
                <w:b/>
                <w:bCs/>
                <w:color w:val="000000"/>
                <w:sz w:val="12"/>
                <w:szCs w:val="12"/>
                <w:lang w:val="pt-PT" w:eastAsia="es-ES"/>
              </w:rPr>
            </w:pPr>
          </w:p>
        </w:tc>
        <w:tc>
          <w:tcPr>
            <w:tcW w:w="205" w:type="dxa"/>
            <w:shd w:val="clear" w:color="auto" w:fill="F2F2F2" w:themeFill="background1" w:themeFillShade="F2"/>
          </w:tcPr>
          <w:p w14:paraId="64FFEE31"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4961C383"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6966024"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1F31FF8"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371E2D3C"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1BBA1CDB"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DF1D107"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50ECE0B8"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A75D141"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04E97F5C"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0CC7B09C"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63CF0F63"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198E2415"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7D0AE84E"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267EFEC2"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71002D38" w14:textId="368D92A1"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410 000</w:t>
            </w:r>
          </w:p>
        </w:tc>
      </w:tr>
      <w:tr w:rsidR="00C1191E" w:rsidRPr="00441BCC" w14:paraId="40A23279" w14:textId="77777777" w:rsidTr="00922684">
        <w:trPr>
          <w:trHeight w:val="615"/>
        </w:trPr>
        <w:tc>
          <w:tcPr>
            <w:tcW w:w="1879" w:type="dxa"/>
            <w:vMerge/>
            <w:shd w:val="clear" w:color="auto" w:fill="FFFFFF" w:themeFill="background1"/>
          </w:tcPr>
          <w:p w14:paraId="08DCBB0F"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1700F123"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4.1.3. </w:t>
            </w:r>
            <w:r w:rsidRPr="00EB750A">
              <w:rPr>
                <w:rFonts w:ascii="Garamond" w:hAnsi="Garamond"/>
                <w:sz w:val="20"/>
                <w:szCs w:val="20"/>
                <w:lang w:val="pt-PT"/>
              </w:rPr>
              <w:t>Integrar o género nos planos e módulos de reforço das capacidades das equipas de prevenção do consumo de álcool nos vários espaços de prevenção priorizados.</w:t>
            </w:r>
          </w:p>
        </w:tc>
        <w:tc>
          <w:tcPr>
            <w:tcW w:w="1459" w:type="dxa"/>
            <w:shd w:val="clear" w:color="auto" w:fill="FFFFFF" w:themeFill="background1"/>
            <w:vAlign w:val="center"/>
          </w:tcPr>
          <w:p w14:paraId="1A2F9885"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hAnsi="Garamond"/>
                <w:sz w:val="20"/>
                <w:szCs w:val="20"/>
              </w:rPr>
              <w:t>CCAD</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MSSS</w:t>
            </w:r>
            <w:proofErr w:type="spellEnd"/>
          </w:p>
        </w:tc>
        <w:tc>
          <w:tcPr>
            <w:tcW w:w="2044" w:type="dxa"/>
            <w:shd w:val="clear" w:color="auto" w:fill="FFFFFF" w:themeFill="background1"/>
            <w:vAlign w:val="center"/>
          </w:tcPr>
          <w:p w14:paraId="2EFAE0C3"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parceiros</w:t>
            </w:r>
            <w:proofErr w:type="spellEnd"/>
          </w:p>
        </w:tc>
        <w:tc>
          <w:tcPr>
            <w:tcW w:w="205" w:type="dxa"/>
            <w:shd w:val="clear" w:color="auto" w:fill="F2F2F2" w:themeFill="background1" w:themeFillShade="F2"/>
            <w:vAlign w:val="center"/>
          </w:tcPr>
          <w:p w14:paraId="698D6663" w14:textId="77777777" w:rsidR="00C1191E" w:rsidRPr="00E20A3B" w:rsidRDefault="00C1191E" w:rsidP="00C1191E">
            <w:pPr>
              <w:jc w:val="center"/>
              <w:rPr>
                <w:rFonts w:ascii="Garamond" w:eastAsia="Times New Roman" w:hAnsi="Garamond" w:cs="Times New Roman"/>
                <w:b/>
                <w:bCs/>
                <w:color w:val="000000"/>
                <w:sz w:val="12"/>
                <w:szCs w:val="12"/>
                <w:lang w:eastAsia="es-ES"/>
              </w:rPr>
            </w:pPr>
          </w:p>
        </w:tc>
        <w:tc>
          <w:tcPr>
            <w:tcW w:w="205" w:type="dxa"/>
            <w:shd w:val="clear" w:color="auto" w:fill="F2F2F2" w:themeFill="background1" w:themeFillShade="F2"/>
            <w:vAlign w:val="center"/>
          </w:tcPr>
          <w:p w14:paraId="709DE417"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7444376B"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80F07D1"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73ABD82E"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22915546"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3C811BF2"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4019F1A0"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E575161"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6D9D04E"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5D19008C"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336EE40"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0D5EDC9A"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B41C123"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49B103D"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tcPr>
          <w:p w14:paraId="7BCADAA9"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303371D1" w14:textId="703EEF92"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633 000</w:t>
            </w:r>
          </w:p>
        </w:tc>
      </w:tr>
      <w:tr w:rsidR="00C1191E" w:rsidRPr="00441BCC" w14:paraId="52D574AB" w14:textId="77777777" w:rsidTr="00922684">
        <w:trPr>
          <w:trHeight w:val="615"/>
        </w:trPr>
        <w:tc>
          <w:tcPr>
            <w:tcW w:w="1879" w:type="dxa"/>
            <w:vMerge/>
            <w:shd w:val="clear" w:color="auto" w:fill="FFFFFF" w:themeFill="background1"/>
          </w:tcPr>
          <w:p w14:paraId="297713BD"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583D13F3"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4.1.4. </w:t>
            </w:r>
            <w:r w:rsidRPr="00EB750A">
              <w:rPr>
                <w:rFonts w:ascii="Garamond" w:hAnsi="Garamond"/>
                <w:sz w:val="20"/>
                <w:szCs w:val="20"/>
                <w:lang w:val="pt-PT"/>
              </w:rPr>
              <w:t>Integrar uma abordagem de género no Plano Estratégico Nacional de Saúde Mental (2020–2024) e na sua implementação, seguimento e avaliação.</w:t>
            </w:r>
          </w:p>
        </w:tc>
        <w:tc>
          <w:tcPr>
            <w:tcW w:w="1459" w:type="dxa"/>
            <w:shd w:val="clear" w:color="auto" w:fill="FFFFFF" w:themeFill="background1"/>
            <w:vAlign w:val="center"/>
          </w:tcPr>
          <w:p w14:paraId="3A332666"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Programa</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Saúde</w:t>
            </w:r>
            <w:proofErr w:type="spellEnd"/>
            <w:r w:rsidRPr="00441BCC">
              <w:rPr>
                <w:rFonts w:ascii="Garamond" w:eastAsia="Times New Roman" w:hAnsi="Garamond" w:cs="Times New Roman"/>
                <w:color w:val="000000"/>
                <w:sz w:val="20"/>
                <w:szCs w:val="20"/>
                <w:lang w:eastAsia="es-ES"/>
              </w:rPr>
              <w:t xml:space="preserve"> Mental/ DNS</w:t>
            </w:r>
          </w:p>
        </w:tc>
        <w:tc>
          <w:tcPr>
            <w:tcW w:w="2044" w:type="dxa"/>
            <w:shd w:val="clear" w:color="auto" w:fill="FFFFFF" w:themeFill="background1"/>
            <w:vAlign w:val="center"/>
          </w:tcPr>
          <w:p w14:paraId="5754D7B7"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CCAD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CAV</w:t>
            </w:r>
            <w:proofErr w:type="spellEnd"/>
            <w:r w:rsidRPr="00EB750A">
              <w:rPr>
                <w:rFonts w:ascii="Garamond" w:eastAsia="Times New Roman" w:hAnsi="Garamond" w:cs="Times New Roman"/>
                <w:color w:val="000000"/>
                <w:sz w:val="20"/>
                <w:szCs w:val="20"/>
                <w:lang w:val="pt-PT" w:eastAsia="es-ES"/>
              </w:rPr>
              <w:t>, Rede Sol, Delegacias e Centros de Saúde, Hospitais</w:t>
            </w:r>
          </w:p>
        </w:tc>
        <w:tc>
          <w:tcPr>
            <w:tcW w:w="205" w:type="dxa"/>
            <w:shd w:val="clear" w:color="auto" w:fill="F2F2F2" w:themeFill="background1" w:themeFillShade="F2"/>
          </w:tcPr>
          <w:p w14:paraId="6CE47E50"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tcPr>
          <w:p w14:paraId="14CEC66A"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5B9E9404"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6DA1508A"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09BBE55"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1E1BAFD"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5BCF5C44"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3D138D2C"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321B9D1D"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86729FD"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8C2C18D"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4288149D"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98BB56E"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FBC3A76"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31BCAA8"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C3A90BC"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3DCF3FF5" w14:textId="3979A003"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1 880 000</w:t>
            </w:r>
          </w:p>
        </w:tc>
      </w:tr>
      <w:tr w:rsidR="00C1191E" w:rsidRPr="00441BCC" w14:paraId="76AC8A3F" w14:textId="77777777" w:rsidTr="00922684">
        <w:trPr>
          <w:trHeight w:val="615"/>
        </w:trPr>
        <w:tc>
          <w:tcPr>
            <w:tcW w:w="1879" w:type="dxa"/>
            <w:vMerge/>
            <w:shd w:val="clear" w:color="auto" w:fill="FFFFFF" w:themeFill="background1"/>
          </w:tcPr>
          <w:p w14:paraId="61E995B7"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59218643"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4.1.5. Mapear os programas e iniciativas de promoção da saúde e prevenção das </w:t>
            </w:r>
            <w:proofErr w:type="spellStart"/>
            <w:r w:rsidRPr="00EB750A">
              <w:rPr>
                <w:rFonts w:ascii="Garamond" w:hAnsi="Garamond" w:cs="Arial"/>
                <w:sz w:val="20"/>
                <w:szCs w:val="20"/>
                <w:lang w:val="pt-PT"/>
              </w:rPr>
              <w:t>DNT</w:t>
            </w:r>
            <w:proofErr w:type="spellEnd"/>
            <w:r w:rsidRPr="00EB750A">
              <w:rPr>
                <w:rFonts w:ascii="Garamond" w:hAnsi="Garamond" w:cs="Arial"/>
                <w:sz w:val="20"/>
                <w:szCs w:val="20"/>
                <w:lang w:val="pt-PT"/>
              </w:rPr>
              <w:t xml:space="preserve"> e assegurar que integram </w:t>
            </w:r>
            <w:r w:rsidRPr="00EB750A">
              <w:rPr>
                <w:rFonts w:ascii="Garamond" w:hAnsi="Garamond"/>
                <w:sz w:val="20"/>
                <w:szCs w:val="20"/>
                <w:lang w:val="pt-PT"/>
              </w:rPr>
              <w:t>estratégias, instrumentos e materiais sensíveis ao género e dispõem de capacidades de género.</w:t>
            </w:r>
          </w:p>
        </w:tc>
        <w:tc>
          <w:tcPr>
            <w:tcW w:w="1459" w:type="dxa"/>
            <w:shd w:val="clear" w:color="auto" w:fill="FFFFFF" w:themeFill="background1"/>
            <w:vAlign w:val="center"/>
          </w:tcPr>
          <w:p w14:paraId="7628B10C"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Programa</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DNT</w:t>
            </w:r>
            <w:proofErr w:type="spellEnd"/>
            <w:r w:rsidRPr="00441BCC">
              <w:rPr>
                <w:rFonts w:ascii="Garamond" w:eastAsia="Times New Roman" w:hAnsi="Garamond" w:cs="Times New Roman"/>
                <w:color w:val="000000"/>
                <w:sz w:val="20"/>
                <w:szCs w:val="20"/>
                <w:lang w:eastAsia="es-ES"/>
              </w:rPr>
              <w:t>/DNS</w:t>
            </w:r>
          </w:p>
        </w:tc>
        <w:tc>
          <w:tcPr>
            <w:tcW w:w="2044" w:type="dxa"/>
            <w:shd w:val="clear" w:color="auto" w:fill="FFFFFF" w:themeFill="background1"/>
            <w:vAlign w:val="center"/>
          </w:tcPr>
          <w:p w14:paraId="121D0B1B"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Delegacias e Centros de Saúde, Hospitais, </w:t>
            </w:r>
            <w:proofErr w:type="spellStart"/>
            <w:r w:rsidRPr="00EB750A">
              <w:rPr>
                <w:rFonts w:ascii="Garamond" w:eastAsia="Times New Roman" w:hAnsi="Garamond" w:cs="Times New Roman"/>
                <w:color w:val="000000"/>
                <w:sz w:val="20"/>
                <w:szCs w:val="20"/>
                <w:lang w:val="pt-PT" w:eastAsia="es-ES"/>
              </w:rPr>
              <w:t>PNSA</w:t>
            </w:r>
            <w:proofErr w:type="spellEnd"/>
          </w:p>
        </w:tc>
        <w:tc>
          <w:tcPr>
            <w:tcW w:w="205" w:type="dxa"/>
            <w:shd w:val="clear" w:color="auto" w:fill="F2F2F2" w:themeFill="background1" w:themeFillShade="F2"/>
            <w:vAlign w:val="center"/>
          </w:tcPr>
          <w:p w14:paraId="7F3FB417"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tcPr>
          <w:p w14:paraId="49ECD9C8"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tcPr>
          <w:p w14:paraId="1E6B9836" w14:textId="77777777" w:rsidR="00C1191E" w:rsidRPr="00E20A3B" w:rsidRDefault="00C1191E" w:rsidP="00C1191E">
            <w:pPr>
              <w:jc w:val="cente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20BB1F31"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45A870E5"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9FFCFB7"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5D0871C"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BDBF8A9"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40DF7424"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7774F96"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17350469"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7F6FE98"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991EDE1"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3E5F905A"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331AEB3" w14:textId="77777777" w:rsidR="00C1191E" w:rsidRPr="00E20A3B" w:rsidRDefault="00C1191E" w:rsidP="00C1191E">
            <w:pPr>
              <w:jc w:val="cente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407F958" w14:textId="77777777" w:rsidR="00C1191E" w:rsidRPr="00E20A3B" w:rsidRDefault="00C1191E" w:rsidP="00C1191E">
            <w:pPr>
              <w:jc w:val="cente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50F58999" w14:textId="09FC6331"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633 000</w:t>
            </w:r>
          </w:p>
        </w:tc>
      </w:tr>
      <w:tr w:rsidR="00C1191E" w:rsidRPr="00441BCC" w14:paraId="3B9A0054" w14:textId="77777777" w:rsidTr="00922684">
        <w:trPr>
          <w:trHeight w:val="615"/>
        </w:trPr>
        <w:tc>
          <w:tcPr>
            <w:tcW w:w="1879" w:type="dxa"/>
            <w:vMerge/>
            <w:shd w:val="clear" w:color="auto" w:fill="FFFFFF" w:themeFill="background1"/>
          </w:tcPr>
          <w:p w14:paraId="544080A8"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49948AEB"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4.1.6. </w:t>
            </w:r>
            <w:r w:rsidRPr="00EB750A">
              <w:rPr>
                <w:rFonts w:ascii="Garamond" w:hAnsi="Garamond"/>
                <w:sz w:val="20"/>
                <w:szCs w:val="20"/>
                <w:lang w:val="pt-PT"/>
              </w:rPr>
              <w:t>Reforçar as capacidades de género do(a)s profissionais da saúde para a educação para a saúde com adolescentes em contexto escolar e comunitário.</w:t>
            </w:r>
            <w:r w:rsidRPr="00EB750A">
              <w:rPr>
                <w:rFonts w:ascii="Garamond" w:hAnsi="Garamond" w:cs="Arial"/>
                <w:sz w:val="20"/>
                <w:szCs w:val="20"/>
                <w:lang w:val="pt-PT"/>
              </w:rPr>
              <w:t xml:space="preserve"> </w:t>
            </w:r>
          </w:p>
        </w:tc>
        <w:tc>
          <w:tcPr>
            <w:tcW w:w="1459" w:type="dxa"/>
            <w:shd w:val="clear" w:color="auto" w:fill="FFFFFF" w:themeFill="background1"/>
            <w:vAlign w:val="center"/>
          </w:tcPr>
          <w:p w14:paraId="62A223B3"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Programa</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DNT</w:t>
            </w:r>
            <w:proofErr w:type="spellEnd"/>
            <w:r w:rsidRPr="00441BCC">
              <w:rPr>
                <w:rFonts w:ascii="Garamond" w:eastAsia="Times New Roman" w:hAnsi="Garamond" w:cs="Times New Roman"/>
                <w:color w:val="000000"/>
                <w:sz w:val="20"/>
                <w:szCs w:val="20"/>
                <w:lang w:eastAsia="es-ES"/>
              </w:rPr>
              <w:t>/DNS</w:t>
            </w:r>
          </w:p>
        </w:tc>
        <w:tc>
          <w:tcPr>
            <w:tcW w:w="2044" w:type="dxa"/>
            <w:shd w:val="clear" w:color="auto" w:fill="FFFFFF" w:themeFill="background1"/>
            <w:vAlign w:val="center"/>
          </w:tcPr>
          <w:p w14:paraId="01406B10"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Delegacias e Centros de Saúde, CCS-SIDA,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
        </w:tc>
        <w:tc>
          <w:tcPr>
            <w:tcW w:w="205" w:type="dxa"/>
            <w:shd w:val="clear" w:color="auto" w:fill="F2F2F2" w:themeFill="background1" w:themeFillShade="F2"/>
            <w:vAlign w:val="center"/>
          </w:tcPr>
          <w:p w14:paraId="1F5800E8"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0E2791B0"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1F0CBDE8"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46DE288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53C506C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8A14ED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F5A6C7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AFEF8D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229CA57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E84DF4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A77B70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DB6A0E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424696E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2917FA7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7F0FD0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1326CB4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5252552A" w14:textId="327608F2"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1 880 000</w:t>
            </w:r>
          </w:p>
        </w:tc>
      </w:tr>
      <w:tr w:rsidR="00C1191E" w:rsidRPr="00441BCC" w14:paraId="69FAB15C" w14:textId="77777777" w:rsidTr="00922684">
        <w:trPr>
          <w:trHeight w:val="615"/>
        </w:trPr>
        <w:tc>
          <w:tcPr>
            <w:tcW w:w="1879" w:type="dxa"/>
            <w:vMerge/>
            <w:shd w:val="clear" w:color="auto" w:fill="FFFFFF" w:themeFill="background1"/>
          </w:tcPr>
          <w:p w14:paraId="1E0B68B7"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36BCF1EC" w14:textId="77777777" w:rsidR="00C1191E" w:rsidRPr="00EB750A" w:rsidRDefault="00C1191E" w:rsidP="00C1191E">
            <w:pPr>
              <w:spacing w:after="60"/>
              <w:rPr>
                <w:rFonts w:ascii="Garamond" w:eastAsia="Times New Roman" w:hAnsi="Garamond" w:cs="Times New Roman"/>
                <w:color w:val="000000"/>
                <w:sz w:val="20"/>
                <w:szCs w:val="20"/>
                <w:lang w:val="pt-PT" w:eastAsia="es-ES"/>
              </w:rPr>
            </w:pPr>
            <w:r w:rsidRPr="00EB750A">
              <w:rPr>
                <w:rFonts w:ascii="Garamond" w:hAnsi="Garamond" w:cs="Arial"/>
                <w:sz w:val="20"/>
                <w:szCs w:val="20"/>
                <w:lang w:val="pt-PT"/>
              </w:rPr>
              <w:t xml:space="preserve">4.1.7. Reforçar as capacidades de género das equipas de implementação, seguimento e avaliação do </w:t>
            </w:r>
            <w:proofErr w:type="spellStart"/>
            <w:r w:rsidRPr="00EB750A">
              <w:rPr>
                <w:rFonts w:ascii="Garamond" w:hAnsi="Garamond" w:cs="Arial"/>
                <w:sz w:val="20"/>
                <w:szCs w:val="20"/>
                <w:lang w:val="pt-PT"/>
              </w:rPr>
              <w:t>PENEASI</w:t>
            </w:r>
            <w:proofErr w:type="spellEnd"/>
            <w:r w:rsidRPr="00EB750A">
              <w:rPr>
                <w:rFonts w:ascii="Garamond" w:hAnsi="Garamond" w:cs="Arial"/>
                <w:sz w:val="20"/>
                <w:szCs w:val="20"/>
                <w:lang w:val="pt-PT"/>
              </w:rPr>
              <w:t xml:space="preserve"> (2017-2021)</w:t>
            </w:r>
          </w:p>
        </w:tc>
        <w:tc>
          <w:tcPr>
            <w:tcW w:w="1459" w:type="dxa"/>
            <w:shd w:val="clear" w:color="auto" w:fill="FFFFFF" w:themeFill="background1"/>
            <w:vAlign w:val="center"/>
          </w:tcPr>
          <w:p w14:paraId="0999C27B"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DNS</w:t>
            </w:r>
          </w:p>
        </w:tc>
        <w:tc>
          <w:tcPr>
            <w:tcW w:w="2044" w:type="dxa"/>
            <w:shd w:val="clear" w:color="auto" w:fill="FFFFFF" w:themeFill="background1"/>
            <w:vAlign w:val="center"/>
          </w:tcPr>
          <w:p w14:paraId="6AC690B1"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DGIS</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parceiros</w:t>
            </w:r>
            <w:proofErr w:type="spellEnd"/>
            <w:r w:rsidRPr="00441BCC">
              <w:rPr>
                <w:rFonts w:ascii="Garamond" w:eastAsia="Times New Roman" w:hAnsi="Garamond" w:cs="Times New Roman"/>
                <w:color w:val="000000"/>
                <w:sz w:val="20"/>
                <w:szCs w:val="20"/>
                <w:lang w:eastAsia="es-ES"/>
              </w:rPr>
              <w:t xml:space="preserve">   </w:t>
            </w:r>
          </w:p>
        </w:tc>
        <w:tc>
          <w:tcPr>
            <w:tcW w:w="205" w:type="dxa"/>
            <w:shd w:val="clear" w:color="auto" w:fill="F2F2F2" w:themeFill="background1" w:themeFillShade="F2"/>
            <w:vAlign w:val="center"/>
          </w:tcPr>
          <w:p w14:paraId="5EA9D65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49124D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F40414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F13FD9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CF4F67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CA097F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7F38D7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585FB4C"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00664F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605BD66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E3C3D1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800DD9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440FCA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0C2AACD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C35000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84F0387"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0A473CF8" w14:textId="754203F4"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1 410 000</w:t>
            </w:r>
          </w:p>
        </w:tc>
      </w:tr>
      <w:tr w:rsidR="00C1191E" w:rsidRPr="00441BCC" w14:paraId="0702A9FD" w14:textId="77777777" w:rsidTr="00922684">
        <w:trPr>
          <w:trHeight w:val="615"/>
        </w:trPr>
        <w:tc>
          <w:tcPr>
            <w:tcW w:w="1879" w:type="dxa"/>
            <w:vMerge w:val="restart"/>
            <w:shd w:val="clear" w:color="auto" w:fill="FFFFFF" w:themeFill="background1"/>
          </w:tcPr>
          <w:p w14:paraId="51730A43" w14:textId="77777777" w:rsidR="00C1191E" w:rsidRPr="00EB750A" w:rsidRDefault="00C1191E" w:rsidP="00C1191E">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4.2. Melhorado o acesso a serviços de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xml:space="preserve"> sensíveis ao género, em particular para as/os adolescentes, e a promoção do exercício de masculinidades positivas</w:t>
            </w:r>
          </w:p>
        </w:tc>
        <w:tc>
          <w:tcPr>
            <w:tcW w:w="4904" w:type="dxa"/>
            <w:shd w:val="clear" w:color="auto" w:fill="FFFFFF" w:themeFill="background1"/>
          </w:tcPr>
          <w:p w14:paraId="455D7F23"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4.2.1. Elaborar uma análise detalhada do acesso a métodos contraceptivos por faixa etária, residência, nível de conforto, entre outros, e traçar estratégias em consequência.</w:t>
            </w:r>
          </w:p>
        </w:tc>
        <w:tc>
          <w:tcPr>
            <w:tcW w:w="1459" w:type="dxa"/>
            <w:shd w:val="clear" w:color="auto" w:fill="FFFFFF" w:themeFill="background1"/>
            <w:vAlign w:val="center"/>
          </w:tcPr>
          <w:p w14:paraId="2EE3308A"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p>
        </w:tc>
        <w:tc>
          <w:tcPr>
            <w:tcW w:w="2044" w:type="dxa"/>
            <w:shd w:val="clear" w:color="auto" w:fill="FFFFFF" w:themeFill="background1"/>
            <w:vAlign w:val="center"/>
          </w:tcPr>
          <w:p w14:paraId="5CC9FB44"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PNSA</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r w:rsidRPr="00441BCC">
              <w:rPr>
                <w:rFonts w:ascii="Garamond" w:eastAsia="Times New Roman" w:hAnsi="Garamond" w:cs="Times New Roman"/>
                <w:color w:val="000000"/>
                <w:sz w:val="20"/>
                <w:szCs w:val="20"/>
                <w:lang w:eastAsia="es-ES"/>
              </w:rPr>
              <w:t xml:space="preserve">  </w:t>
            </w:r>
          </w:p>
        </w:tc>
        <w:tc>
          <w:tcPr>
            <w:tcW w:w="205" w:type="dxa"/>
            <w:shd w:val="clear" w:color="auto" w:fill="F2F2F2" w:themeFill="background1" w:themeFillShade="F2"/>
            <w:vAlign w:val="center"/>
          </w:tcPr>
          <w:p w14:paraId="4BB9577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205C479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0F32646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B41F43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C42E26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CF4965C"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E39147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ED24F2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532662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1986A73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DCA8F4C"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EE8430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6F605D6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EEB130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B46B83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6315A4F7"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50667E28" w14:textId="009E91E5"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255 000</w:t>
            </w:r>
          </w:p>
        </w:tc>
      </w:tr>
      <w:tr w:rsidR="00C1191E" w:rsidRPr="00441BCC" w14:paraId="54A20EC1" w14:textId="77777777" w:rsidTr="00922684">
        <w:trPr>
          <w:trHeight w:val="615"/>
        </w:trPr>
        <w:tc>
          <w:tcPr>
            <w:tcW w:w="1879" w:type="dxa"/>
            <w:vMerge/>
            <w:shd w:val="clear" w:color="auto" w:fill="FFFFFF" w:themeFill="background1"/>
          </w:tcPr>
          <w:p w14:paraId="0C400024"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0E522585"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4.2.2. Definir os elementos curriculares para uma educação afectivo-sexual baseada nos direitos humanos e sensível ao género (pré-escolar, básico, secundário).</w:t>
            </w:r>
          </w:p>
        </w:tc>
        <w:tc>
          <w:tcPr>
            <w:tcW w:w="1459" w:type="dxa"/>
            <w:shd w:val="clear" w:color="auto" w:fill="FFFFFF" w:themeFill="background1"/>
            <w:vAlign w:val="center"/>
          </w:tcPr>
          <w:p w14:paraId="00761AE3"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DNE</w:t>
            </w:r>
            <w:proofErr w:type="spellEnd"/>
          </w:p>
        </w:tc>
        <w:tc>
          <w:tcPr>
            <w:tcW w:w="2044" w:type="dxa"/>
            <w:shd w:val="clear" w:color="auto" w:fill="FFFFFF" w:themeFill="background1"/>
            <w:vAlign w:val="center"/>
          </w:tcPr>
          <w:p w14:paraId="4DF23973" w14:textId="6D7893CF" w:rsidR="00C1191E" w:rsidRPr="00922684" w:rsidRDefault="00C1191E" w:rsidP="00C1191E">
            <w:pPr>
              <w:jc w:val="center"/>
              <w:rPr>
                <w:rFonts w:ascii="Garamond" w:eastAsia="Times New Roman" w:hAnsi="Garamond" w:cs="Times New Roman"/>
                <w:color w:val="000000"/>
                <w:sz w:val="20"/>
                <w:szCs w:val="20"/>
                <w:lang w:val="pt-PT" w:eastAsia="es-ES"/>
              </w:rPr>
            </w:pPr>
            <w:proofErr w:type="spellStart"/>
            <w:r w:rsidRPr="00922684">
              <w:rPr>
                <w:rFonts w:ascii="Garamond" w:eastAsia="Times New Roman" w:hAnsi="Garamond" w:cs="Times New Roman"/>
                <w:color w:val="000000"/>
                <w:sz w:val="20"/>
                <w:szCs w:val="20"/>
                <w:lang w:val="pt-PT" w:eastAsia="es-ES"/>
              </w:rPr>
              <w:t>ICIEG</w:t>
            </w:r>
            <w:proofErr w:type="spellEnd"/>
            <w:r w:rsidRPr="00922684">
              <w:rPr>
                <w:rFonts w:ascii="Garamond" w:eastAsia="Times New Roman" w:hAnsi="Garamond" w:cs="Times New Roman"/>
                <w:color w:val="000000"/>
                <w:sz w:val="20"/>
                <w:szCs w:val="20"/>
                <w:lang w:val="pt-PT" w:eastAsia="es-ES"/>
              </w:rPr>
              <w:t xml:space="preserve">, </w:t>
            </w:r>
            <w:proofErr w:type="spellStart"/>
            <w:r w:rsidRPr="00922684">
              <w:rPr>
                <w:rFonts w:ascii="Garamond" w:eastAsia="Times New Roman" w:hAnsi="Garamond" w:cs="Times New Roman"/>
                <w:color w:val="000000"/>
                <w:sz w:val="20"/>
                <w:szCs w:val="20"/>
                <w:lang w:val="pt-PT" w:eastAsia="es-ES"/>
              </w:rPr>
              <w:t>PNSR</w:t>
            </w:r>
            <w:proofErr w:type="spellEnd"/>
            <w:r w:rsidRPr="00922684">
              <w:rPr>
                <w:rFonts w:ascii="Garamond" w:eastAsia="Times New Roman" w:hAnsi="Garamond" w:cs="Times New Roman"/>
                <w:color w:val="000000"/>
                <w:sz w:val="20"/>
                <w:szCs w:val="20"/>
                <w:lang w:val="pt-PT" w:eastAsia="es-ES"/>
              </w:rPr>
              <w:t xml:space="preserve">, </w:t>
            </w:r>
            <w:proofErr w:type="spellStart"/>
            <w:r w:rsidRPr="00922684">
              <w:rPr>
                <w:rFonts w:ascii="Garamond" w:eastAsia="Times New Roman" w:hAnsi="Garamond" w:cs="Times New Roman"/>
                <w:color w:val="000000"/>
                <w:sz w:val="20"/>
                <w:szCs w:val="20"/>
                <w:lang w:val="pt-PT" w:eastAsia="es-ES"/>
              </w:rPr>
              <w:t>PNSA</w:t>
            </w:r>
            <w:proofErr w:type="spellEnd"/>
            <w:r w:rsidRPr="00922684">
              <w:rPr>
                <w:rFonts w:ascii="Garamond" w:eastAsia="Times New Roman" w:hAnsi="Garamond" w:cs="Times New Roman"/>
                <w:color w:val="000000"/>
                <w:sz w:val="20"/>
                <w:szCs w:val="20"/>
                <w:lang w:val="pt-PT" w:eastAsia="es-ES"/>
              </w:rPr>
              <w:t xml:space="preserve">, </w:t>
            </w:r>
            <w:proofErr w:type="spellStart"/>
            <w:r w:rsidRPr="00922684">
              <w:rPr>
                <w:rFonts w:ascii="Garamond" w:eastAsia="Times New Roman" w:hAnsi="Garamond" w:cs="Times New Roman"/>
                <w:color w:val="000000"/>
                <w:sz w:val="20"/>
                <w:szCs w:val="20"/>
                <w:lang w:val="pt-PT" w:eastAsia="es-ES"/>
              </w:rPr>
              <w:t>OSC</w:t>
            </w:r>
            <w:proofErr w:type="spellEnd"/>
            <w:r w:rsidR="00922684" w:rsidRPr="00922684">
              <w:rPr>
                <w:rFonts w:ascii="Garamond" w:eastAsia="Times New Roman" w:hAnsi="Garamond" w:cs="Times New Roman"/>
                <w:color w:val="000000"/>
                <w:sz w:val="20"/>
                <w:szCs w:val="20"/>
                <w:lang w:val="pt-PT" w:eastAsia="es-ES"/>
              </w:rPr>
              <w:t>, UNICEF</w:t>
            </w:r>
          </w:p>
        </w:tc>
        <w:tc>
          <w:tcPr>
            <w:tcW w:w="205" w:type="dxa"/>
            <w:shd w:val="clear" w:color="auto" w:fill="F2F2F2" w:themeFill="background1" w:themeFillShade="F2"/>
            <w:vAlign w:val="center"/>
          </w:tcPr>
          <w:p w14:paraId="6092D97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7CAD12E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6BBFB7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4ABF21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373CDC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CAA083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209CCF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D0824C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4C77970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2E8A80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282E3E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026D896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F3C292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202972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86CAA0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BC47F21"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7C4DEDA0" w14:textId="5E4FA12E"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1 715 000</w:t>
            </w:r>
          </w:p>
        </w:tc>
      </w:tr>
      <w:tr w:rsidR="00C1191E" w:rsidRPr="00441BCC" w14:paraId="7B5C5943" w14:textId="77777777" w:rsidTr="00922684">
        <w:trPr>
          <w:trHeight w:val="615"/>
        </w:trPr>
        <w:tc>
          <w:tcPr>
            <w:tcW w:w="1879" w:type="dxa"/>
            <w:vMerge/>
            <w:shd w:val="clear" w:color="auto" w:fill="FFFFFF" w:themeFill="background1"/>
          </w:tcPr>
          <w:p w14:paraId="681CF739"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3A45423D"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4.2.3. Definir, implementar e seguir um plano de educação </w:t>
            </w:r>
            <w:proofErr w:type="spellStart"/>
            <w:r w:rsidRPr="00EB750A">
              <w:rPr>
                <w:rFonts w:ascii="Garamond" w:hAnsi="Garamond"/>
                <w:sz w:val="20"/>
                <w:szCs w:val="20"/>
                <w:lang w:val="pt-PT"/>
              </w:rPr>
              <w:t>pelos</w:t>
            </w:r>
            <w:proofErr w:type="spellEnd"/>
            <w:r w:rsidRPr="00EB750A">
              <w:rPr>
                <w:rFonts w:ascii="Garamond" w:hAnsi="Garamond"/>
                <w:sz w:val="20"/>
                <w:szCs w:val="20"/>
                <w:lang w:val="pt-PT"/>
              </w:rPr>
              <w:t xml:space="preserve"> pares em </w:t>
            </w:r>
            <w:proofErr w:type="spellStart"/>
            <w:r w:rsidRPr="00EB750A">
              <w:rPr>
                <w:rFonts w:ascii="Garamond" w:hAnsi="Garamond"/>
                <w:sz w:val="20"/>
                <w:szCs w:val="20"/>
                <w:lang w:val="pt-PT"/>
              </w:rPr>
              <w:t>DSSR</w:t>
            </w:r>
            <w:proofErr w:type="spellEnd"/>
            <w:r w:rsidRPr="00EB750A">
              <w:rPr>
                <w:rFonts w:ascii="Garamond" w:hAnsi="Garamond"/>
                <w:sz w:val="20"/>
                <w:szCs w:val="20"/>
                <w:lang w:val="pt-PT"/>
              </w:rPr>
              <w:t xml:space="preserve">, sensível ao género, orientado aos adolescentes fora da escola, em parceria com as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w:t>
            </w:r>
          </w:p>
        </w:tc>
        <w:tc>
          <w:tcPr>
            <w:tcW w:w="1459" w:type="dxa"/>
            <w:shd w:val="clear" w:color="auto" w:fill="FFFFFF" w:themeFill="background1"/>
            <w:vAlign w:val="center"/>
          </w:tcPr>
          <w:p w14:paraId="0E0AF3A8"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ESAD/</w:t>
            </w:r>
          </w:p>
          <w:p w14:paraId="5532312C"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PNSA</w:t>
            </w:r>
            <w:proofErr w:type="spellEnd"/>
          </w:p>
        </w:tc>
        <w:tc>
          <w:tcPr>
            <w:tcW w:w="2044" w:type="dxa"/>
            <w:shd w:val="clear" w:color="auto" w:fill="FFFFFF" w:themeFill="background1"/>
            <w:vAlign w:val="center"/>
          </w:tcPr>
          <w:p w14:paraId="01954738" w14:textId="77777777" w:rsidR="00C1191E" w:rsidRPr="00441BCC" w:rsidRDefault="00C1191E" w:rsidP="00C1191E">
            <w:pPr>
              <w:jc w:val="center"/>
              <w:rPr>
                <w:rFonts w:ascii="Garamond" w:eastAsia="Times New Roman" w:hAnsi="Garamond" w:cs="Times New Roman"/>
                <w:color w:val="000000"/>
                <w:sz w:val="20"/>
                <w:szCs w:val="20"/>
                <w:lang w:val="fr-FR" w:eastAsia="es-ES"/>
              </w:rPr>
            </w:pPr>
            <w:proofErr w:type="spellStart"/>
            <w:r w:rsidRPr="00441BCC">
              <w:rPr>
                <w:rFonts w:ascii="Garamond" w:eastAsia="Times New Roman" w:hAnsi="Garamond" w:cs="Times New Roman"/>
                <w:color w:val="000000"/>
                <w:sz w:val="20"/>
                <w:szCs w:val="20"/>
                <w:lang w:val="fr-FR" w:eastAsia="es-ES"/>
              </w:rPr>
              <w:t>ICIEG</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PNSR</w:t>
            </w:r>
            <w:proofErr w:type="spellEnd"/>
            <w:r w:rsidRPr="00441BCC">
              <w:rPr>
                <w:rFonts w:ascii="Garamond" w:eastAsia="Times New Roman" w:hAnsi="Garamond" w:cs="Times New Roman"/>
                <w:color w:val="000000"/>
                <w:sz w:val="20"/>
                <w:szCs w:val="20"/>
                <w:lang w:val="fr-FR" w:eastAsia="es-ES"/>
              </w:rPr>
              <w:t xml:space="preserve">, </w:t>
            </w:r>
            <w:proofErr w:type="spellStart"/>
            <w:r w:rsidRPr="00441BCC">
              <w:rPr>
                <w:rFonts w:ascii="Garamond" w:eastAsia="Times New Roman" w:hAnsi="Garamond" w:cs="Times New Roman"/>
                <w:color w:val="000000"/>
                <w:sz w:val="20"/>
                <w:szCs w:val="20"/>
                <w:lang w:val="fr-FR" w:eastAsia="es-ES"/>
              </w:rPr>
              <w:t>OSC</w:t>
            </w:r>
            <w:proofErr w:type="spellEnd"/>
            <w:r w:rsidRPr="00441BCC">
              <w:rPr>
                <w:rFonts w:ascii="Garamond" w:eastAsia="Times New Roman" w:hAnsi="Garamond" w:cs="Times New Roman"/>
                <w:color w:val="000000"/>
                <w:sz w:val="20"/>
                <w:szCs w:val="20"/>
                <w:lang w:val="fr-FR" w:eastAsia="es-ES"/>
              </w:rPr>
              <w:t xml:space="preserve">, CCS-SIDA, </w:t>
            </w:r>
            <w:proofErr w:type="spellStart"/>
            <w:r w:rsidRPr="00441BCC">
              <w:rPr>
                <w:rFonts w:ascii="Garamond" w:eastAsia="Times New Roman" w:hAnsi="Garamond" w:cs="Times New Roman"/>
                <w:color w:val="000000"/>
                <w:sz w:val="20"/>
                <w:szCs w:val="20"/>
                <w:lang w:val="fr-FR" w:eastAsia="es-ES"/>
              </w:rPr>
              <w:t>DGAEA</w:t>
            </w:r>
            <w:proofErr w:type="spellEnd"/>
          </w:p>
        </w:tc>
        <w:tc>
          <w:tcPr>
            <w:tcW w:w="205" w:type="dxa"/>
            <w:shd w:val="clear" w:color="auto" w:fill="F2F2F2" w:themeFill="background1" w:themeFillShade="F2"/>
            <w:vAlign w:val="center"/>
          </w:tcPr>
          <w:p w14:paraId="56D9E7D7"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2F2F2" w:themeFill="background1" w:themeFillShade="F2"/>
            <w:vAlign w:val="center"/>
          </w:tcPr>
          <w:p w14:paraId="009FFB4D"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2F2F2" w:themeFill="background1" w:themeFillShade="F2"/>
            <w:vAlign w:val="center"/>
          </w:tcPr>
          <w:p w14:paraId="14786FE6"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2F2F2" w:themeFill="background1" w:themeFillShade="F2"/>
            <w:vAlign w:val="center"/>
          </w:tcPr>
          <w:p w14:paraId="6B698380" w14:textId="49879D0B"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FFFFF" w:themeFill="background1"/>
            <w:vAlign w:val="center"/>
          </w:tcPr>
          <w:p w14:paraId="49E6ACA3"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179D770"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A4A9E95"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0BB28B21"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5B903206"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2F2F2" w:themeFill="background1" w:themeFillShade="F2"/>
            <w:vAlign w:val="center"/>
          </w:tcPr>
          <w:p w14:paraId="45DC037F"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247EE785"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2F2F2" w:themeFill="background1" w:themeFillShade="F2"/>
            <w:vAlign w:val="center"/>
          </w:tcPr>
          <w:p w14:paraId="33849EA0"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1C63AA4"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FFFFF" w:themeFill="background1"/>
            <w:vAlign w:val="center"/>
          </w:tcPr>
          <w:p w14:paraId="2CC4693D"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60623D4" w14:textId="77777777" w:rsidR="00C1191E" w:rsidRPr="00E20A3B" w:rsidRDefault="00C1191E" w:rsidP="00C1191E">
            <w:pPr>
              <w:rPr>
                <w:rFonts w:ascii="Garamond" w:eastAsia="Times New Roman" w:hAnsi="Garamond" w:cs="Times New Roman"/>
                <w:color w:val="000000"/>
                <w:sz w:val="12"/>
                <w:szCs w:val="12"/>
                <w:lang w:val="fr-FR" w:eastAsia="es-ES"/>
              </w:rPr>
            </w:pPr>
          </w:p>
        </w:tc>
        <w:tc>
          <w:tcPr>
            <w:tcW w:w="205" w:type="dxa"/>
            <w:shd w:val="clear" w:color="auto" w:fill="FFFFFF" w:themeFill="background1"/>
            <w:vAlign w:val="center"/>
          </w:tcPr>
          <w:p w14:paraId="34993E41" w14:textId="77777777" w:rsidR="00C1191E" w:rsidRPr="00E20A3B" w:rsidRDefault="00C1191E" w:rsidP="00C1191E">
            <w:pPr>
              <w:rPr>
                <w:rFonts w:ascii="Garamond" w:eastAsia="Times New Roman" w:hAnsi="Garamond" w:cs="Times New Roman"/>
                <w:color w:val="000000"/>
                <w:sz w:val="12"/>
                <w:szCs w:val="12"/>
                <w:lang w:val="fr-FR"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75F60CF7" w14:textId="2FE75B3F" w:rsidR="00C1191E" w:rsidRPr="00C1191E"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7 635 000</w:t>
            </w:r>
          </w:p>
        </w:tc>
      </w:tr>
      <w:tr w:rsidR="00C1191E" w:rsidRPr="00441BCC" w14:paraId="3575AF98" w14:textId="77777777" w:rsidTr="00922684">
        <w:trPr>
          <w:trHeight w:val="615"/>
        </w:trPr>
        <w:tc>
          <w:tcPr>
            <w:tcW w:w="1879" w:type="dxa"/>
            <w:vMerge/>
            <w:shd w:val="clear" w:color="auto" w:fill="FFFFFF" w:themeFill="background1"/>
          </w:tcPr>
          <w:p w14:paraId="20D95128" w14:textId="77777777" w:rsidR="00C1191E" w:rsidRPr="00441BCC" w:rsidRDefault="00C1191E" w:rsidP="00C1191E">
            <w:pPr>
              <w:spacing w:after="240"/>
              <w:rPr>
                <w:rFonts w:ascii="Garamond" w:eastAsia="Times New Roman" w:hAnsi="Garamond" w:cs="Times New Roman"/>
                <w:color w:val="000000"/>
                <w:sz w:val="20"/>
                <w:szCs w:val="20"/>
                <w:lang w:val="fr-FR" w:eastAsia="es-ES"/>
              </w:rPr>
            </w:pPr>
          </w:p>
        </w:tc>
        <w:tc>
          <w:tcPr>
            <w:tcW w:w="4904" w:type="dxa"/>
            <w:shd w:val="clear" w:color="auto" w:fill="FFFFFF" w:themeFill="background1"/>
          </w:tcPr>
          <w:p w14:paraId="4C0B4213"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4.2.4. Alargar e reforçar os </w:t>
            </w:r>
            <w:proofErr w:type="spellStart"/>
            <w:r w:rsidRPr="00EB750A">
              <w:rPr>
                <w:rFonts w:ascii="Garamond" w:hAnsi="Garamond"/>
                <w:sz w:val="20"/>
                <w:szCs w:val="20"/>
                <w:lang w:val="pt-PT"/>
              </w:rPr>
              <w:t>ESAD</w:t>
            </w:r>
            <w:proofErr w:type="spellEnd"/>
            <w:r w:rsidRPr="00EB750A">
              <w:rPr>
                <w:rFonts w:ascii="Garamond" w:hAnsi="Garamond"/>
                <w:sz w:val="20"/>
                <w:szCs w:val="20"/>
                <w:lang w:val="pt-PT"/>
              </w:rPr>
              <w:t xml:space="preserve"> e as suas redes de parceria, e estabelecer e capacitar núcleos de facilitadores para trabalhar masculinidades e feminilidades.</w:t>
            </w:r>
          </w:p>
        </w:tc>
        <w:tc>
          <w:tcPr>
            <w:tcW w:w="1459" w:type="dxa"/>
            <w:shd w:val="clear" w:color="auto" w:fill="FFFFFF" w:themeFill="background1"/>
            <w:vAlign w:val="center"/>
          </w:tcPr>
          <w:p w14:paraId="66F2A4DF"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ESAD/</w:t>
            </w:r>
          </w:p>
          <w:p w14:paraId="05ABF447"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PNSA</w:t>
            </w:r>
            <w:proofErr w:type="spellEnd"/>
          </w:p>
        </w:tc>
        <w:tc>
          <w:tcPr>
            <w:tcW w:w="2044" w:type="dxa"/>
            <w:shd w:val="clear" w:color="auto" w:fill="FFFFFF" w:themeFill="background1"/>
            <w:vAlign w:val="center"/>
          </w:tcPr>
          <w:p w14:paraId="30C70589"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MSSS</w:t>
            </w:r>
            <w:proofErr w:type="spellEnd"/>
            <w:r w:rsidRPr="00EB750A">
              <w:rPr>
                <w:rFonts w:ascii="Garamond" w:eastAsia="Times New Roman" w:hAnsi="Garamond" w:cs="Times New Roman"/>
                <w:color w:val="000000"/>
                <w:sz w:val="20"/>
                <w:szCs w:val="20"/>
                <w:lang w:val="pt-PT" w:eastAsia="es-ES"/>
              </w:rPr>
              <w:t xml:space="preserve">, CCS-SIDA, Rede Laço Branco,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Câmaras parceiros locais</w:t>
            </w:r>
          </w:p>
        </w:tc>
        <w:tc>
          <w:tcPr>
            <w:tcW w:w="205" w:type="dxa"/>
            <w:shd w:val="clear" w:color="auto" w:fill="F2F2F2" w:themeFill="background1" w:themeFillShade="F2"/>
            <w:vAlign w:val="center"/>
          </w:tcPr>
          <w:p w14:paraId="5E2C260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5EBB7212"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5813F7B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113769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32B90E1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05D772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1CB09F8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3EE4FD2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1CF78E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F5D622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C8B22F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00C8814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2714088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697584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37220368"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2EE96EB8"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4C495CB0" w14:textId="59A456A7"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4 515 000</w:t>
            </w:r>
          </w:p>
        </w:tc>
      </w:tr>
      <w:tr w:rsidR="00C1191E" w:rsidRPr="00441BCC" w14:paraId="5612E60A" w14:textId="77777777" w:rsidTr="00922684">
        <w:trPr>
          <w:trHeight w:val="615"/>
        </w:trPr>
        <w:tc>
          <w:tcPr>
            <w:tcW w:w="1879" w:type="dxa"/>
            <w:vMerge/>
            <w:shd w:val="clear" w:color="auto" w:fill="FFFFFF" w:themeFill="background1"/>
          </w:tcPr>
          <w:p w14:paraId="7EDE2405"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2B18D0CC"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4.2.5. Integrar critérios de qualidade em matéria de abordagem de género na montagem do mecanismo de certificação das </w:t>
            </w:r>
            <w:proofErr w:type="spellStart"/>
            <w:r w:rsidRPr="00EB750A">
              <w:rPr>
                <w:rFonts w:ascii="Garamond" w:hAnsi="Garamond"/>
                <w:sz w:val="20"/>
                <w:szCs w:val="20"/>
                <w:lang w:val="pt-PT"/>
              </w:rPr>
              <w:t>ESAD</w:t>
            </w:r>
            <w:proofErr w:type="spellEnd"/>
            <w:r w:rsidRPr="00EB750A">
              <w:rPr>
                <w:rFonts w:ascii="Garamond" w:hAnsi="Garamond"/>
                <w:sz w:val="20"/>
                <w:szCs w:val="20"/>
                <w:lang w:val="pt-PT"/>
              </w:rPr>
              <w:t xml:space="preserve">. </w:t>
            </w:r>
          </w:p>
        </w:tc>
        <w:tc>
          <w:tcPr>
            <w:tcW w:w="1459" w:type="dxa"/>
            <w:shd w:val="clear" w:color="auto" w:fill="FFFFFF" w:themeFill="background1"/>
            <w:vAlign w:val="center"/>
          </w:tcPr>
          <w:p w14:paraId="720EFB0C"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ESAD/</w:t>
            </w:r>
          </w:p>
          <w:p w14:paraId="43C1EC80"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PNSA</w:t>
            </w:r>
            <w:proofErr w:type="spellEnd"/>
          </w:p>
        </w:tc>
        <w:tc>
          <w:tcPr>
            <w:tcW w:w="2044" w:type="dxa"/>
            <w:shd w:val="clear" w:color="auto" w:fill="FFFFFF" w:themeFill="background1"/>
            <w:vAlign w:val="center"/>
          </w:tcPr>
          <w:p w14:paraId="019ACF22"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MSSS</w:t>
            </w:r>
            <w:proofErr w:type="spellEnd"/>
            <w:r w:rsidRPr="00EB750A">
              <w:rPr>
                <w:rFonts w:ascii="Garamond" w:eastAsia="Times New Roman" w:hAnsi="Garamond" w:cs="Times New Roman"/>
                <w:color w:val="000000"/>
                <w:sz w:val="20"/>
                <w:szCs w:val="20"/>
                <w:lang w:val="pt-PT" w:eastAsia="es-ES"/>
              </w:rPr>
              <w:t xml:space="preserve">, Rede Laço Branco, </w:t>
            </w:r>
            <w:proofErr w:type="spellStart"/>
            <w:r w:rsidRPr="00EB750A">
              <w:rPr>
                <w:rFonts w:ascii="Garamond" w:eastAsia="Times New Roman" w:hAnsi="Garamond" w:cs="Times New Roman"/>
                <w:color w:val="000000"/>
                <w:sz w:val="20"/>
                <w:szCs w:val="20"/>
                <w:lang w:val="pt-PT" w:eastAsia="es-ES"/>
              </w:rPr>
              <w:t>OSC</w:t>
            </w:r>
            <w:proofErr w:type="spellEnd"/>
          </w:p>
        </w:tc>
        <w:tc>
          <w:tcPr>
            <w:tcW w:w="205" w:type="dxa"/>
            <w:shd w:val="clear" w:color="auto" w:fill="F2F2F2" w:themeFill="background1" w:themeFillShade="F2"/>
            <w:vAlign w:val="center"/>
          </w:tcPr>
          <w:p w14:paraId="2B08FCA8"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12D1807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0A39320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F3FFC0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64B3BE4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E98121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AFA19A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7B7D33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22EEF3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D9C3C6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6DC69F1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7D368C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466EE7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BD6F4D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07AC88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16A9093"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7039021C" w14:textId="109D2B8C"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0</w:t>
            </w:r>
          </w:p>
        </w:tc>
      </w:tr>
      <w:tr w:rsidR="00C1191E" w:rsidRPr="00441BCC" w14:paraId="4480CA88" w14:textId="77777777" w:rsidTr="00922684">
        <w:trPr>
          <w:trHeight w:val="615"/>
        </w:trPr>
        <w:tc>
          <w:tcPr>
            <w:tcW w:w="1879" w:type="dxa"/>
            <w:vMerge/>
            <w:shd w:val="clear" w:color="auto" w:fill="FFFFFF" w:themeFill="background1"/>
          </w:tcPr>
          <w:p w14:paraId="2E0FF483"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35240821"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4.2.6. Estabelecer um grupo de trabalho no </w:t>
            </w:r>
            <w:proofErr w:type="spellStart"/>
            <w:r w:rsidRPr="00EB750A">
              <w:rPr>
                <w:rFonts w:ascii="Garamond" w:hAnsi="Garamond"/>
                <w:sz w:val="20"/>
                <w:szCs w:val="20"/>
                <w:lang w:val="pt-PT"/>
              </w:rPr>
              <w:t>PNSR</w:t>
            </w:r>
            <w:proofErr w:type="spellEnd"/>
            <w:r w:rsidRPr="00EB750A">
              <w:rPr>
                <w:rFonts w:ascii="Garamond" w:hAnsi="Garamond"/>
                <w:sz w:val="20"/>
                <w:szCs w:val="20"/>
                <w:lang w:val="pt-PT"/>
              </w:rPr>
              <w:t xml:space="preserve">, em parceria com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 xml:space="preserve">, e delinear, implementar e seguir e avaliar medidas de melhoria dos serviços de </w:t>
            </w:r>
            <w:proofErr w:type="spellStart"/>
            <w:r w:rsidRPr="00EB750A">
              <w:rPr>
                <w:rFonts w:ascii="Garamond" w:hAnsi="Garamond"/>
                <w:sz w:val="20"/>
                <w:szCs w:val="20"/>
                <w:lang w:val="pt-PT"/>
              </w:rPr>
              <w:t>IVG</w:t>
            </w:r>
            <w:proofErr w:type="spellEnd"/>
            <w:r w:rsidRPr="00EB750A">
              <w:rPr>
                <w:rFonts w:ascii="Garamond" w:hAnsi="Garamond"/>
                <w:sz w:val="20"/>
                <w:szCs w:val="20"/>
                <w:lang w:val="pt-PT"/>
              </w:rPr>
              <w:t>.</w:t>
            </w:r>
          </w:p>
        </w:tc>
        <w:tc>
          <w:tcPr>
            <w:tcW w:w="1459" w:type="dxa"/>
            <w:shd w:val="clear" w:color="auto" w:fill="FFFFFF" w:themeFill="background1"/>
            <w:vAlign w:val="center"/>
          </w:tcPr>
          <w:p w14:paraId="425898DA"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p>
        </w:tc>
        <w:tc>
          <w:tcPr>
            <w:tcW w:w="2044" w:type="dxa"/>
            <w:shd w:val="clear" w:color="auto" w:fill="FFFFFF" w:themeFill="background1"/>
            <w:vAlign w:val="center"/>
          </w:tcPr>
          <w:p w14:paraId="5BECCC3E"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ICIEG</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PNSA</w:t>
            </w:r>
            <w:proofErr w:type="spellEnd"/>
            <w:r w:rsidRPr="00441BCC">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OSC</w:t>
            </w:r>
            <w:proofErr w:type="spellEnd"/>
          </w:p>
        </w:tc>
        <w:tc>
          <w:tcPr>
            <w:tcW w:w="205" w:type="dxa"/>
            <w:shd w:val="clear" w:color="auto" w:fill="F2F2F2" w:themeFill="background1" w:themeFillShade="F2"/>
            <w:vAlign w:val="center"/>
          </w:tcPr>
          <w:p w14:paraId="266459B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2D195B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D6A8DE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2BD40A0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091804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8F3773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F324FA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2825AB1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4821051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5CC3F1C"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779DD82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D7A5F3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5AA344A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48D90C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05F7575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CDF7268"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23350801" w14:textId="789C5C64"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0</w:t>
            </w:r>
          </w:p>
        </w:tc>
      </w:tr>
      <w:tr w:rsidR="00C1191E" w:rsidRPr="00441BCC" w14:paraId="531D606C" w14:textId="77777777" w:rsidTr="00922684">
        <w:trPr>
          <w:trHeight w:val="615"/>
        </w:trPr>
        <w:tc>
          <w:tcPr>
            <w:tcW w:w="1879" w:type="dxa"/>
            <w:vMerge/>
            <w:shd w:val="clear" w:color="auto" w:fill="FFFFFF" w:themeFill="background1"/>
          </w:tcPr>
          <w:p w14:paraId="1BE697C7"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785974FF"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4.2.7. Integrar uma abordagem de género no desenho, implementação e seguimento e avaliação do Programa de promoção da responsabilidade parental. </w:t>
            </w:r>
          </w:p>
        </w:tc>
        <w:tc>
          <w:tcPr>
            <w:tcW w:w="1459" w:type="dxa"/>
            <w:shd w:val="clear" w:color="auto" w:fill="FFFFFF" w:themeFill="background1"/>
            <w:vAlign w:val="center"/>
          </w:tcPr>
          <w:p w14:paraId="1AEA5453"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DNS</w:t>
            </w:r>
          </w:p>
        </w:tc>
        <w:tc>
          <w:tcPr>
            <w:tcW w:w="2044" w:type="dxa"/>
            <w:shd w:val="clear" w:color="auto" w:fill="FFFFFF" w:themeFill="background1"/>
            <w:vAlign w:val="center"/>
          </w:tcPr>
          <w:p w14:paraId="2AB1A708"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 xml:space="preserve">, Rede Laço Branco, </w:t>
            </w:r>
            <w:proofErr w:type="spellStart"/>
            <w:r w:rsidRPr="00EB750A">
              <w:rPr>
                <w:rFonts w:ascii="Garamond" w:eastAsia="Times New Roman" w:hAnsi="Garamond" w:cs="Times New Roman"/>
                <w:color w:val="000000"/>
                <w:sz w:val="20"/>
                <w:szCs w:val="20"/>
                <w:lang w:val="pt-PT" w:eastAsia="es-ES"/>
              </w:rPr>
              <w:t>OSC</w:t>
            </w:r>
            <w:proofErr w:type="spellEnd"/>
          </w:p>
        </w:tc>
        <w:tc>
          <w:tcPr>
            <w:tcW w:w="205" w:type="dxa"/>
            <w:shd w:val="clear" w:color="auto" w:fill="F2F2F2" w:themeFill="background1" w:themeFillShade="F2"/>
            <w:vAlign w:val="center"/>
          </w:tcPr>
          <w:p w14:paraId="7C619E31"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47FEB829"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11EBC83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D6C150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5670B3B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CAA85F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4E10C9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8AD1D3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244622A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1ABC3D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5842BC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A8F4422"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4535AEF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785C85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22639B8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2536A4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352121E0" w14:textId="219173EC"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410 000</w:t>
            </w:r>
          </w:p>
        </w:tc>
      </w:tr>
      <w:tr w:rsidR="00C1191E" w:rsidRPr="00441BCC" w14:paraId="60F38DA3" w14:textId="77777777" w:rsidTr="00922684">
        <w:trPr>
          <w:trHeight w:val="615"/>
        </w:trPr>
        <w:tc>
          <w:tcPr>
            <w:tcW w:w="1879" w:type="dxa"/>
            <w:vMerge/>
            <w:shd w:val="clear" w:color="auto" w:fill="FFFFFF" w:themeFill="background1"/>
          </w:tcPr>
          <w:p w14:paraId="2908E51B" w14:textId="77777777" w:rsidR="00C1191E" w:rsidRPr="00441BCC" w:rsidRDefault="00C1191E" w:rsidP="00C1191E">
            <w:pPr>
              <w:spacing w:after="240"/>
              <w:rPr>
                <w:rFonts w:ascii="Garamond" w:eastAsia="Times New Roman" w:hAnsi="Garamond" w:cs="Times New Roman"/>
                <w:color w:val="000000"/>
                <w:sz w:val="20"/>
                <w:szCs w:val="20"/>
                <w:lang w:eastAsia="es-ES"/>
              </w:rPr>
            </w:pPr>
          </w:p>
        </w:tc>
        <w:tc>
          <w:tcPr>
            <w:tcW w:w="4904" w:type="dxa"/>
            <w:shd w:val="clear" w:color="auto" w:fill="FFFFFF" w:themeFill="background1"/>
          </w:tcPr>
          <w:p w14:paraId="5549F66D"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4.2.8. Integrar a temática da união precoce enquanto prática nociva nas acções de promoção da saúde acima referidas, em particular da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w:t>
            </w:r>
          </w:p>
        </w:tc>
        <w:tc>
          <w:tcPr>
            <w:tcW w:w="1459" w:type="dxa"/>
            <w:shd w:val="clear" w:color="auto" w:fill="FFFFFF" w:themeFill="background1"/>
            <w:vAlign w:val="center"/>
          </w:tcPr>
          <w:p w14:paraId="117FA797"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r w:rsidRPr="00441BCC">
              <w:rPr>
                <w:rFonts w:ascii="Garamond" w:eastAsia="Times New Roman" w:hAnsi="Garamond" w:cs="Times New Roman"/>
                <w:color w:val="000000"/>
                <w:sz w:val="20"/>
                <w:szCs w:val="20"/>
                <w:lang w:eastAsia="es-ES"/>
              </w:rPr>
              <w:t>/DNS</w:t>
            </w:r>
          </w:p>
        </w:tc>
        <w:tc>
          <w:tcPr>
            <w:tcW w:w="2044" w:type="dxa"/>
            <w:shd w:val="clear" w:color="auto" w:fill="FFFFFF" w:themeFill="background1"/>
            <w:vAlign w:val="center"/>
          </w:tcPr>
          <w:p w14:paraId="694D0639"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Delegacias e Centros de Saúde,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parceiros locais</w:t>
            </w:r>
          </w:p>
        </w:tc>
        <w:tc>
          <w:tcPr>
            <w:tcW w:w="205" w:type="dxa"/>
            <w:shd w:val="clear" w:color="auto" w:fill="F2F2F2" w:themeFill="background1" w:themeFillShade="F2"/>
            <w:vAlign w:val="center"/>
          </w:tcPr>
          <w:p w14:paraId="4AF4A5A7"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2683D58E"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2AA472EB"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01D95C0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AACCE1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226B15C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12E964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7348C29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495E801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49652D4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4987C43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787FDC6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C384F5C"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7496FBC"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7506E0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439A6174"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14998798" w14:textId="6418E77E"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385 000</w:t>
            </w:r>
          </w:p>
        </w:tc>
      </w:tr>
      <w:tr w:rsidR="00C1191E" w:rsidRPr="00441BCC" w14:paraId="23B4251E" w14:textId="77777777" w:rsidTr="00922684">
        <w:trPr>
          <w:trHeight w:val="615"/>
        </w:trPr>
        <w:tc>
          <w:tcPr>
            <w:tcW w:w="1879" w:type="dxa"/>
            <w:vMerge w:val="restart"/>
            <w:shd w:val="clear" w:color="auto" w:fill="FFFFFF" w:themeFill="background1"/>
          </w:tcPr>
          <w:p w14:paraId="7A8D81A0" w14:textId="77777777" w:rsidR="00C1191E" w:rsidRPr="00EB750A" w:rsidRDefault="00C1191E" w:rsidP="00C1191E">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4.3. Melhorada a sensibilidade de género das medidas promotoras da mudança de comportamento no contexto das IST/VIH/SIDA</w:t>
            </w:r>
          </w:p>
        </w:tc>
        <w:tc>
          <w:tcPr>
            <w:tcW w:w="4904" w:type="dxa"/>
            <w:shd w:val="clear" w:color="auto" w:fill="FFFFFF" w:themeFill="background1"/>
          </w:tcPr>
          <w:p w14:paraId="21B2C80B"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4.3.1. Implementar as medidas de género identificadas no Plano Estratégico VIH/SIDA (2017-2020) e um sistema de seguimento e avaliação sensível ao género.</w:t>
            </w:r>
          </w:p>
        </w:tc>
        <w:tc>
          <w:tcPr>
            <w:tcW w:w="1459" w:type="dxa"/>
            <w:shd w:val="clear" w:color="auto" w:fill="FFFFFF" w:themeFill="background1"/>
            <w:vAlign w:val="center"/>
          </w:tcPr>
          <w:p w14:paraId="62B11DA5"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CCS-</w:t>
            </w:r>
            <w:proofErr w:type="spellStart"/>
            <w:r w:rsidRPr="00441BCC">
              <w:rPr>
                <w:rFonts w:ascii="Garamond" w:eastAsia="Times New Roman" w:hAnsi="Garamond" w:cs="Times New Roman"/>
                <w:color w:val="000000"/>
                <w:sz w:val="20"/>
                <w:szCs w:val="20"/>
                <w:lang w:eastAsia="es-ES"/>
              </w:rPr>
              <w:t>SIDA</w:t>
            </w:r>
            <w:proofErr w:type="spellEnd"/>
          </w:p>
        </w:tc>
        <w:tc>
          <w:tcPr>
            <w:tcW w:w="2044" w:type="dxa"/>
            <w:shd w:val="clear" w:color="auto" w:fill="FFFFFF" w:themeFill="background1"/>
            <w:vAlign w:val="center"/>
          </w:tcPr>
          <w:p w14:paraId="3FCB2001"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Núcleo de mulheres </w:t>
            </w:r>
            <w:proofErr w:type="spellStart"/>
            <w:r w:rsidRPr="00EB750A">
              <w:rPr>
                <w:rFonts w:ascii="Garamond" w:eastAsia="Times New Roman" w:hAnsi="Garamond" w:cs="Times New Roman"/>
                <w:color w:val="000000"/>
                <w:sz w:val="20"/>
                <w:szCs w:val="20"/>
                <w:lang w:val="pt-PT" w:eastAsia="es-ES"/>
              </w:rPr>
              <w:t>VVIH</w:t>
            </w:r>
            <w:proofErr w:type="spellEnd"/>
            <w:r w:rsidRPr="00EB750A">
              <w:rPr>
                <w:rFonts w:ascii="Garamond" w:eastAsia="Times New Roman" w:hAnsi="Garamond" w:cs="Times New Roman"/>
                <w:color w:val="000000"/>
                <w:sz w:val="20"/>
                <w:szCs w:val="20"/>
                <w:lang w:val="pt-PT" w:eastAsia="es-ES"/>
              </w:rPr>
              <w:t xml:space="preserve">, Rede </w:t>
            </w:r>
            <w:proofErr w:type="spellStart"/>
            <w:r w:rsidRPr="00EB750A">
              <w:rPr>
                <w:rFonts w:ascii="Garamond" w:eastAsia="Times New Roman" w:hAnsi="Garamond" w:cs="Times New Roman"/>
                <w:color w:val="000000"/>
                <w:sz w:val="20"/>
                <w:szCs w:val="20"/>
                <w:lang w:val="pt-PT" w:eastAsia="es-ES"/>
              </w:rPr>
              <w:t>PVVIH</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parcerios</w:t>
            </w:r>
            <w:proofErr w:type="spellEnd"/>
          </w:p>
        </w:tc>
        <w:tc>
          <w:tcPr>
            <w:tcW w:w="205" w:type="dxa"/>
            <w:shd w:val="clear" w:color="auto" w:fill="F2F2F2" w:themeFill="background1" w:themeFillShade="F2"/>
            <w:vAlign w:val="center"/>
          </w:tcPr>
          <w:p w14:paraId="6E9790C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799973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6A4A843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7BF72D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6A5B72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6E6F9E6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4B1D4D8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E33379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DE85AA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65EA4E0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68C00D1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2AC37EE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8E74ED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4CC7499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45E2ED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7C38E9C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2E6CEC5B" w14:textId="2A75C6E8"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0</w:t>
            </w:r>
          </w:p>
        </w:tc>
      </w:tr>
      <w:tr w:rsidR="00C1191E" w:rsidRPr="00441BCC" w14:paraId="52C4616C" w14:textId="77777777" w:rsidTr="00922684">
        <w:trPr>
          <w:trHeight w:val="615"/>
        </w:trPr>
        <w:tc>
          <w:tcPr>
            <w:tcW w:w="1879" w:type="dxa"/>
            <w:vMerge/>
            <w:shd w:val="clear" w:color="auto" w:fill="FFFFFF" w:themeFill="background1"/>
          </w:tcPr>
          <w:p w14:paraId="5100C35E"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2553D454"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4.3.2. Reforçar as capacidades dos prestadores de saúde dos Centros de Saúde/</w:t>
            </w:r>
            <w:proofErr w:type="spellStart"/>
            <w:r w:rsidRPr="00EB750A">
              <w:rPr>
                <w:rFonts w:ascii="Garamond" w:hAnsi="Garamond"/>
                <w:sz w:val="20"/>
                <w:szCs w:val="20"/>
                <w:lang w:val="pt-PT"/>
              </w:rPr>
              <w:t>ESAD</w:t>
            </w:r>
            <w:proofErr w:type="spellEnd"/>
            <w:r w:rsidRPr="00EB750A">
              <w:rPr>
                <w:rFonts w:ascii="Garamond" w:hAnsi="Garamond"/>
                <w:sz w:val="20"/>
                <w:szCs w:val="20"/>
                <w:lang w:val="pt-PT"/>
              </w:rPr>
              <w:t>, para a diferenciação da abordagem das IST/VIH/SIDA com as/os adolescentes.</w:t>
            </w:r>
          </w:p>
        </w:tc>
        <w:tc>
          <w:tcPr>
            <w:tcW w:w="1459" w:type="dxa"/>
            <w:shd w:val="clear" w:color="auto" w:fill="FFFFFF" w:themeFill="background1"/>
            <w:vAlign w:val="center"/>
          </w:tcPr>
          <w:p w14:paraId="1C055291"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ESAD/</w:t>
            </w:r>
          </w:p>
          <w:p w14:paraId="133D330F"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PNSA</w:t>
            </w:r>
            <w:proofErr w:type="spellEnd"/>
          </w:p>
        </w:tc>
        <w:tc>
          <w:tcPr>
            <w:tcW w:w="2044" w:type="dxa"/>
            <w:shd w:val="clear" w:color="auto" w:fill="FFFFFF" w:themeFill="background1"/>
            <w:vAlign w:val="center"/>
          </w:tcPr>
          <w:p w14:paraId="2DDC8AA3"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CCS-SIDA,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Núcleo de mulheres </w:t>
            </w:r>
            <w:proofErr w:type="spellStart"/>
            <w:r w:rsidRPr="00EB750A">
              <w:rPr>
                <w:rFonts w:ascii="Garamond" w:eastAsia="Times New Roman" w:hAnsi="Garamond" w:cs="Times New Roman"/>
                <w:color w:val="000000"/>
                <w:sz w:val="20"/>
                <w:szCs w:val="20"/>
                <w:lang w:val="pt-PT" w:eastAsia="es-ES"/>
              </w:rPr>
              <w:t>VVIH</w:t>
            </w:r>
            <w:proofErr w:type="spellEnd"/>
            <w:r w:rsidRPr="00EB750A">
              <w:rPr>
                <w:rFonts w:ascii="Garamond" w:eastAsia="Times New Roman" w:hAnsi="Garamond" w:cs="Times New Roman"/>
                <w:color w:val="000000"/>
                <w:sz w:val="20"/>
                <w:szCs w:val="20"/>
                <w:lang w:val="pt-PT" w:eastAsia="es-ES"/>
              </w:rPr>
              <w:t xml:space="preserve">, Rede </w:t>
            </w:r>
            <w:proofErr w:type="spellStart"/>
            <w:r w:rsidRPr="00EB750A">
              <w:rPr>
                <w:rFonts w:ascii="Garamond" w:eastAsia="Times New Roman" w:hAnsi="Garamond" w:cs="Times New Roman"/>
                <w:color w:val="000000"/>
                <w:sz w:val="20"/>
                <w:szCs w:val="20"/>
                <w:lang w:val="pt-PT" w:eastAsia="es-ES"/>
              </w:rPr>
              <w:t>PVVIH</w:t>
            </w:r>
            <w:proofErr w:type="spellEnd"/>
          </w:p>
        </w:tc>
        <w:tc>
          <w:tcPr>
            <w:tcW w:w="205" w:type="dxa"/>
            <w:shd w:val="clear" w:color="auto" w:fill="F2F2F2" w:themeFill="background1" w:themeFillShade="F2"/>
            <w:vAlign w:val="center"/>
          </w:tcPr>
          <w:p w14:paraId="00BF4DEF"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461D7E93"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748DA272"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789DDAEF"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5AE4F5D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CB80C0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5BB32B7C"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39808F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A9BD7A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47ADBE5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F6B2BB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7D79538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286AE6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73DC593C"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758541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2A016E2"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129AABFA" w14:textId="035C8EF9"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2 630 000</w:t>
            </w:r>
          </w:p>
        </w:tc>
      </w:tr>
      <w:tr w:rsidR="00C1191E" w:rsidRPr="00441BCC" w14:paraId="73910718" w14:textId="77777777" w:rsidTr="00922684">
        <w:trPr>
          <w:trHeight w:val="615"/>
        </w:trPr>
        <w:tc>
          <w:tcPr>
            <w:tcW w:w="1879" w:type="dxa"/>
            <w:vMerge/>
            <w:shd w:val="clear" w:color="auto" w:fill="FFFFFF" w:themeFill="background1"/>
          </w:tcPr>
          <w:p w14:paraId="52DA50A3"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1C546657"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4.3.3. Integrar educadores de pares adolescentes e jovens, no âmbito do combate ao VIH/SIDA, em grupos de reflexão sobre masculinidade e feminilidade.</w:t>
            </w:r>
          </w:p>
        </w:tc>
        <w:tc>
          <w:tcPr>
            <w:tcW w:w="1459" w:type="dxa"/>
            <w:shd w:val="clear" w:color="auto" w:fill="FFFFFF" w:themeFill="background1"/>
            <w:vAlign w:val="center"/>
          </w:tcPr>
          <w:p w14:paraId="6CE6EB5F"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CCS-</w:t>
            </w:r>
            <w:proofErr w:type="spellStart"/>
            <w:r w:rsidRPr="00441BCC">
              <w:rPr>
                <w:rFonts w:ascii="Garamond" w:eastAsia="Times New Roman" w:hAnsi="Garamond" w:cs="Times New Roman"/>
                <w:color w:val="000000"/>
                <w:sz w:val="20"/>
                <w:szCs w:val="20"/>
                <w:lang w:eastAsia="es-ES"/>
              </w:rPr>
              <w:t>SIDA</w:t>
            </w:r>
            <w:proofErr w:type="spellEnd"/>
          </w:p>
        </w:tc>
        <w:tc>
          <w:tcPr>
            <w:tcW w:w="2044" w:type="dxa"/>
            <w:shd w:val="clear" w:color="auto" w:fill="FFFFFF" w:themeFill="background1"/>
            <w:vAlign w:val="center"/>
          </w:tcPr>
          <w:p w14:paraId="71E09E8F"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ESAD</w:t>
            </w:r>
            <w:proofErr w:type="spellEnd"/>
            <w:r w:rsidRPr="00EB750A">
              <w:rPr>
                <w:rFonts w:ascii="Garamond" w:eastAsia="Times New Roman" w:hAnsi="Garamond" w:cs="Times New Roman"/>
                <w:color w:val="000000"/>
                <w:sz w:val="20"/>
                <w:szCs w:val="20"/>
                <w:lang w:val="pt-PT" w:eastAsia="es-ES"/>
              </w:rPr>
              <w:t>/</w:t>
            </w:r>
            <w:proofErr w:type="spellStart"/>
            <w:r w:rsidRPr="00EB750A">
              <w:rPr>
                <w:rFonts w:ascii="Garamond" w:eastAsia="Times New Roman" w:hAnsi="Garamond" w:cs="Times New Roman"/>
                <w:color w:val="000000"/>
                <w:sz w:val="20"/>
                <w:szCs w:val="20"/>
                <w:lang w:val="pt-PT" w:eastAsia="es-ES"/>
              </w:rPr>
              <w:t>PNSA</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EIO</w:t>
            </w:r>
            <w:proofErr w:type="spellEnd"/>
            <w:r w:rsidRPr="00EB750A">
              <w:rPr>
                <w:rFonts w:ascii="Garamond" w:eastAsia="Times New Roman" w:hAnsi="Garamond" w:cs="Times New Roman"/>
                <w:color w:val="000000"/>
                <w:sz w:val="20"/>
                <w:szCs w:val="20"/>
                <w:lang w:val="pt-PT" w:eastAsia="es-ES"/>
              </w:rPr>
              <w:t>/Escolas</w:t>
            </w:r>
          </w:p>
        </w:tc>
        <w:tc>
          <w:tcPr>
            <w:tcW w:w="205" w:type="dxa"/>
            <w:shd w:val="clear" w:color="auto" w:fill="F2F2F2" w:themeFill="background1" w:themeFillShade="F2"/>
            <w:vAlign w:val="center"/>
          </w:tcPr>
          <w:p w14:paraId="512FC850"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31248259"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60A96FA4"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5F2CC237"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5323977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7758D4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3B91A8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F3CA3E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1468F1D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1911C66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9F5315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E729AD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DABFC5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9FC1FD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685F838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344CF5F"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71D42B60" w14:textId="10E58E06"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0</w:t>
            </w:r>
          </w:p>
        </w:tc>
      </w:tr>
      <w:tr w:rsidR="00C1191E" w:rsidRPr="00441BCC" w14:paraId="25537973" w14:textId="77777777" w:rsidTr="00922684">
        <w:trPr>
          <w:trHeight w:val="615"/>
        </w:trPr>
        <w:tc>
          <w:tcPr>
            <w:tcW w:w="1879" w:type="dxa"/>
            <w:vMerge/>
            <w:shd w:val="clear" w:color="auto" w:fill="FFFFFF" w:themeFill="background1"/>
          </w:tcPr>
          <w:p w14:paraId="1DCA226D"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6E976911"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4.3.4. Pilotar de programa sistemático de saída para mulheres TS, informadas em boas práticas nacionais e internacionais.</w:t>
            </w:r>
          </w:p>
        </w:tc>
        <w:tc>
          <w:tcPr>
            <w:tcW w:w="1459" w:type="dxa"/>
            <w:shd w:val="clear" w:color="auto" w:fill="FFFFFF" w:themeFill="background1"/>
            <w:vAlign w:val="center"/>
          </w:tcPr>
          <w:p w14:paraId="41A6973A" w14:textId="77777777" w:rsidR="00C1191E" w:rsidRPr="00441BCC" w:rsidRDefault="00C1191E" w:rsidP="00C1191E">
            <w:pPr>
              <w:jc w:val="center"/>
              <w:rPr>
                <w:rFonts w:ascii="Garamond" w:eastAsia="Times New Roman" w:hAnsi="Garamond" w:cs="Times New Roman"/>
                <w:color w:val="000000"/>
                <w:sz w:val="20"/>
                <w:szCs w:val="20"/>
                <w:lang w:eastAsia="es-ES"/>
              </w:rPr>
            </w:pPr>
            <w:r w:rsidRPr="00441BCC">
              <w:rPr>
                <w:rFonts w:ascii="Garamond" w:eastAsia="Times New Roman" w:hAnsi="Garamond" w:cs="Times New Roman"/>
                <w:color w:val="000000"/>
                <w:sz w:val="20"/>
                <w:szCs w:val="20"/>
                <w:lang w:eastAsia="es-ES"/>
              </w:rPr>
              <w:t>CCS-</w:t>
            </w:r>
            <w:proofErr w:type="spellStart"/>
            <w:r w:rsidRPr="00441BCC">
              <w:rPr>
                <w:rFonts w:ascii="Garamond" w:eastAsia="Times New Roman" w:hAnsi="Garamond" w:cs="Times New Roman"/>
                <w:color w:val="000000"/>
                <w:sz w:val="20"/>
                <w:szCs w:val="20"/>
                <w:lang w:eastAsia="es-ES"/>
              </w:rPr>
              <w:t>SIDA</w:t>
            </w:r>
            <w:proofErr w:type="spellEnd"/>
          </w:p>
        </w:tc>
        <w:tc>
          <w:tcPr>
            <w:tcW w:w="2044" w:type="dxa"/>
            <w:shd w:val="clear" w:color="auto" w:fill="FFFFFF" w:themeFill="background1"/>
            <w:vAlign w:val="center"/>
          </w:tcPr>
          <w:p w14:paraId="2F047532"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Núcleo de mulheres </w:t>
            </w:r>
            <w:proofErr w:type="spellStart"/>
            <w:r w:rsidRPr="00EB750A">
              <w:rPr>
                <w:rFonts w:ascii="Garamond" w:eastAsia="Times New Roman" w:hAnsi="Garamond" w:cs="Times New Roman"/>
                <w:color w:val="000000"/>
                <w:sz w:val="20"/>
                <w:szCs w:val="20"/>
                <w:lang w:val="pt-PT" w:eastAsia="es-ES"/>
              </w:rPr>
              <w:t>VVIH</w:t>
            </w:r>
            <w:proofErr w:type="spellEnd"/>
            <w:r w:rsidRPr="00EB750A">
              <w:rPr>
                <w:rFonts w:ascii="Garamond" w:eastAsia="Times New Roman" w:hAnsi="Garamond" w:cs="Times New Roman"/>
                <w:color w:val="000000"/>
                <w:sz w:val="20"/>
                <w:szCs w:val="20"/>
                <w:lang w:val="pt-PT" w:eastAsia="es-ES"/>
              </w:rPr>
              <w:t xml:space="preserve">, Rede </w:t>
            </w:r>
            <w:proofErr w:type="spellStart"/>
            <w:r w:rsidRPr="00EB750A">
              <w:rPr>
                <w:rFonts w:ascii="Garamond" w:eastAsia="Times New Roman" w:hAnsi="Garamond" w:cs="Times New Roman"/>
                <w:color w:val="000000"/>
                <w:sz w:val="20"/>
                <w:szCs w:val="20"/>
                <w:lang w:val="pt-PT" w:eastAsia="es-ES"/>
              </w:rPr>
              <w:t>PVVIH</w:t>
            </w:r>
            <w:proofErr w:type="spellEnd"/>
            <w:r w:rsidRPr="00EB750A">
              <w:rPr>
                <w:rFonts w:ascii="Garamond" w:eastAsia="Times New Roman" w:hAnsi="Garamond" w:cs="Times New Roman"/>
                <w:color w:val="000000"/>
                <w:sz w:val="20"/>
                <w:szCs w:val="20"/>
                <w:lang w:val="pt-PT" w:eastAsia="es-ES"/>
              </w:rPr>
              <w:t xml:space="preserve"> </w:t>
            </w:r>
          </w:p>
        </w:tc>
        <w:tc>
          <w:tcPr>
            <w:tcW w:w="205" w:type="dxa"/>
            <w:shd w:val="clear" w:color="auto" w:fill="F2F2F2" w:themeFill="background1" w:themeFillShade="F2"/>
            <w:vAlign w:val="center"/>
          </w:tcPr>
          <w:p w14:paraId="5910D2EF"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7578F782"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3CBC2A84"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19B7E033" w14:textId="1CB5604B" w:rsidR="00C1191E" w:rsidRPr="005808D4"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3E20BAA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08A46B8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6BD3CD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44D392B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03B0606F" w14:textId="2E1FD936"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20702FA8" w14:textId="16DCB1B4"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0AE115C1" w14:textId="2B9A0C00"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780C38CB" w14:textId="4FCB2C06"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07EBBFF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A30B9F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A5AA13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1E72088"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5AD7D6AC" w14:textId="51862C0F"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6 000 000</w:t>
            </w:r>
          </w:p>
        </w:tc>
      </w:tr>
      <w:tr w:rsidR="00C1191E" w:rsidRPr="00441BCC" w14:paraId="454C75ED" w14:textId="77777777" w:rsidTr="00922684">
        <w:trPr>
          <w:trHeight w:val="615"/>
        </w:trPr>
        <w:tc>
          <w:tcPr>
            <w:tcW w:w="1879" w:type="dxa"/>
            <w:vMerge w:val="restart"/>
            <w:shd w:val="clear" w:color="auto" w:fill="FFFFFF" w:themeFill="background1"/>
          </w:tcPr>
          <w:p w14:paraId="0E66F903" w14:textId="77777777" w:rsidR="00C1191E" w:rsidRPr="00EB750A" w:rsidRDefault="00C1191E" w:rsidP="00C1191E">
            <w:pPr>
              <w:spacing w:after="240"/>
              <w:rPr>
                <w:rFonts w:ascii="Garamond" w:hAnsi="Garamond"/>
                <w:sz w:val="20"/>
                <w:szCs w:val="20"/>
                <w:lang w:val="pt-PT"/>
              </w:rPr>
            </w:pPr>
            <w:r w:rsidRPr="00EB750A">
              <w:rPr>
                <w:rFonts w:ascii="Garamond" w:hAnsi="Garamond"/>
                <w:sz w:val="20"/>
                <w:szCs w:val="20"/>
                <w:lang w:val="pt-PT"/>
              </w:rPr>
              <w:t xml:space="preserve">4.4. Melhorada a compreensão das especificidades das mulheres com deficiência e mulheres imigrantes no exercício dos seus direitos e saúde sexual e reprodutiva e tidas em conta nos serviços de </w:t>
            </w:r>
            <w:proofErr w:type="spellStart"/>
            <w:r w:rsidRPr="00EB750A">
              <w:rPr>
                <w:rFonts w:ascii="Garamond" w:hAnsi="Garamond"/>
                <w:sz w:val="20"/>
                <w:szCs w:val="20"/>
                <w:lang w:val="pt-PT"/>
              </w:rPr>
              <w:t>SSR</w:t>
            </w:r>
            <w:proofErr w:type="spellEnd"/>
          </w:p>
        </w:tc>
        <w:tc>
          <w:tcPr>
            <w:tcW w:w="4904" w:type="dxa"/>
            <w:shd w:val="clear" w:color="auto" w:fill="FFFFFF" w:themeFill="background1"/>
          </w:tcPr>
          <w:p w14:paraId="1F6B9F77"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4.4.1. Desenvolver e implementar um plano de formação para prestadores da saúde e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xml:space="preserve"> sobre a sexualidade e os </w:t>
            </w:r>
            <w:proofErr w:type="spellStart"/>
            <w:r w:rsidRPr="00EB750A">
              <w:rPr>
                <w:rFonts w:ascii="Garamond" w:hAnsi="Garamond"/>
                <w:sz w:val="20"/>
                <w:szCs w:val="20"/>
                <w:lang w:val="pt-PT"/>
              </w:rPr>
              <w:t>DSSR</w:t>
            </w:r>
            <w:proofErr w:type="spellEnd"/>
            <w:r w:rsidRPr="00EB750A">
              <w:rPr>
                <w:rFonts w:ascii="Garamond" w:hAnsi="Garamond"/>
                <w:sz w:val="20"/>
                <w:szCs w:val="20"/>
                <w:lang w:val="pt-PT"/>
              </w:rPr>
              <w:t xml:space="preserve"> das mulheres com deficiência.</w:t>
            </w:r>
          </w:p>
        </w:tc>
        <w:tc>
          <w:tcPr>
            <w:tcW w:w="1459" w:type="dxa"/>
            <w:shd w:val="clear" w:color="auto" w:fill="FFFFFF" w:themeFill="background1"/>
            <w:vAlign w:val="center"/>
          </w:tcPr>
          <w:p w14:paraId="7ED1549F"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p>
        </w:tc>
        <w:tc>
          <w:tcPr>
            <w:tcW w:w="2044" w:type="dxa"/>
            <w:shd w:val="clear" w:color="auto" w:fill="FFFFFF" w:themeFill="background1"/>
            <w:vAlign w:val="center"/>
          </w:tcPr>
          <w:p w14:paraId="3FA84109"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Delegacias e Centros de Saúde, Hospitais,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APIMUD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441BCC">
              <w:rPr>
                <w:rFonts w:ascii="Garamond" w:eastAsia="Times New Roman" w:hAnsi="Garamond" w:cs="Times New Roman"/>
                <w:color w:val="000000"/>
                <w:sz w:val="20"/>
                <w:szCs w:val="20"/>
                <w:lang w:eastAsia="es-ES"/>
              </w:rPr>
              <w:t>PcD</w:t>
            </w:r>
            <w:proofErr w:type="spellEnd"/>
          </w:p>
        </w:tc>
        <w:tc>
          <w:tcPr>
            <w:tcW w:w="205" w:type="dxa"/>
            <w:shd w:val="clear" w:color="auto" w:fill="F2F2F2" w:themeFill="background1" w:themeFillShade="F2"/>
            <w:vAlign w:val="center"/>
          </w:tcPr>
          <w:p w14:paraId="34D3D80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E14462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2AD3774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0D9361A5" w14:textId="1D6DCA73"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A15A6A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BA7E302"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2BCAB5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2B067D8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330B6C9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8523CB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65F114F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CBE670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5F8357D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CCD233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74CD3F4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101BDD9"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3ADCD7B8" w14:textId="235517EA"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2 630 000</w:t>
            </w:r>
          </w:p>
        </w:tc>
      </w:tr>
      <w:tr w:rsidR="00C1191E" w:rsidRPr="00441BCC" w14:paraId="6D7C6A05" w14:textId="77777777" w:rsidTr="00922684">
        <w:trPr>
          <w:trHeight w:val="615"/>
        </w:trPr>
        <w:tc>
          <w:tcPr>
            <w:tcW w:w="1879" w:type="dxa"/>
            <w:vMerge/>
            <w:shd w:val="clear" w:color="auto" w:fill="FFFFFF" w:themeFill="background1"/>
          </w:tcPr>
          <w:p w14:paraId="2154E05D"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50300C67"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4.4.2. Definir, implementar e seguir medidas promotoras do maior acesso das mulheres com deficiência a serviços de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xml:space="preserve"> que têm em conta as suas necessidades específicas</w:t>
            </w:r>
          </w:p>
        </w:tc>
        <w:tc>
          <w:tcPr>
            <w:tcW w:w="1459" w:type="dxa"/>
            <w:shd w:val="clear" w:color="auto" w:fill="FFFFFF" w:themeFill="background1"/>
            <w:vAlign w:val="center"/>
          </w:tcPr>
          <w:p w14:paraId="5E58A33B"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p>
        </w:tc>
        <w:tc>
          <w:tcPr>
            <w:tcW w:w="2044" w:type="dxa"/>
            <w:shd w:val="clear" w:color="auto" w:fill="FFFFFF" w:themeFill="background1"/>
            <w:vAlign w:val="center"/>
          </w:tcPr>
          <w:p w14:paraId="097B0A25"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Delegacias e Centros de Saúde, Hospitais,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APIMUD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441BCC">
              <w:rPr>
                <w:rFonts w:ascii="Garamond" w:eastAsia="Times New Roman" w:hAnsi="Garamond" w:cs="Times New Roman"/>
                <w:color w:val="000000"/>
                <w:sz w:val="20"/>
                <w:szCs w:val="20"/>
                <w:lang w:eastAsia="es-ES"/>
              </w:rPr>
              <w:t>PcD</w:t>
            </w:r>
            <w:proofErr w:type="spellEnd"/>
          </w:p>
        </w:tc>
        <w:tc>
          <w:tcPr>
            <w:tcW w:w="205" w:type="dxa"/>
            <w:shd w:val="clear" w:color="auto" w:fill="F2F2F2" w:themeFill="background1" w:themeFillShade="F2"/>
            <w:vAlign w:val="center"/>
          </w:tcPr>
          <w:p w14:paraId="5040DCA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35D906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77A109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40DC5CA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0DA878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A8DDCE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6F602663"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6ADA51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EA255D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14C30832"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91E34C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36DB0B6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C527F1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3E1453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428C52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2B20BDF7"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2224812D" w14:textId="12832508"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745 000</w:t>
            </w:r>
          </w:p>
        </w:tc>
      </w:tr>
      <w:tr w:rsidR="00C1191E" w:rsidRPr="00441BCC" w14:paraId="1249EA69" w14:textId="77777777" w:rsidTr="00922684">
        <w:trPr>
          <w:trHeight w:val="615"/>
        </w:trPr>
        <w:tc>
          <w:tcPr>
            <w:tcW w:w="1879" w:type="dxa"/>
            <w:vMerge/>
            <w:shd w:val="clear" w:color="auto" w:fill="FFFFFF" w:themeFill="background1"/>
          </w:tcPr>
          <w:p w14:paraId="58FC3761"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5EE55DED"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4.4.3. Desenvolver e implementar uma abordagem educativa em </w:t>
            </w:r>
            <w:proofErr w:type="spellStart"/>
            <w:r w:rsidRPr="00EB750A">
              <w:rPr>
                <w:rFonts w:ascii="Garamond" w:hAnsi="Garamond"/>
                <w:sz w:val="20"/>
                <w:szCs w:val="20"/>
                <w:lang w:val="pt-PT"/>
              </w:rPr>
              <w:t>DSSR</w:t>
            </w:r>
            <w:proofErr w:type="spellEnd"/>
            <w:r w:rsidRPr="00EB750A">
              <w:rPr>
                <w:rFonts w:ascii="Garamond" w:hAnsi="Garamond"/>
                <w:sz w:val="20"/>
                <w:szCs w:val="20"/>
                <w:lang w:val="pt-PT"/>
              </w:rPr>
              <w:t xml:space="preserve"> para as mulheres com deficiência, as suas famílias e cuidadores, em parceria com as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 xml:space="preserve"> especializadas. </w:t>
            </w:r>
          </w:p>
        </w:tc>
        <w:tc>
          <w:tcPr>
            <w:tcW w:w="1459" w:type="dxa"/>
            <w:shd w:val="clear" w:color="auto" w:fill="FFFFFF" w:themeFill="background1"/>
            <w:vAlign w:val="center"/>
          </w:tcPr>
          <w:p w14:paraId="20513733" w14:textId="17FC5873"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APIMUD</w:t>
            </w:r>
            <w:proofErr w:type="spellEnd"/>
            <w:r w:rsidRPr="00441BCC">
              <w:rPr>
                <w:rFonts w:ascii="Garamond" w:eastAsia="Times New Roman" w:hAnsi="Garamond" w:cs="Times New Roman"/>
                <w:color w:val="000000"/>
                <w:sz w:val="20"/>
                <w:szCs w:val="20"/>
                <w:lang w:eastAsia="es-ES"/>
              </w:rPr>
              <w:t>/</w:t>
            </w:r>
            <w:r>
              <w:rPr>
                <w:rFonts w:ascii="Garamond" w:eastAsia="Times New Roman" w:hAnsi="Garamond" w:cs="Times New Roman"/>
                <w:color w:val="000000"/>
                <w:sz w:val="20"/>
                <w:szCs w:val="20"/>
                <w:lang w:eastAsia="es-ES"/>
              </w:rPr>
              <w:t xml:space="preserve"> </w:t>
            </w:r>
            <w:proofErr w:type="spellStart"/>
            <w:r w:rsidRPr="00441BCC">
              <w:rPr>
                <w:rFonts w:ascii="Garamond" w:eastAsia="Times New Roman" w:hAnsi="Garamond" w:cs="Times New Roman"/>
                <w:color w:val="000000"/>
                <w:sz w:val="20"/>
                <w:szCs w:val="20"/>
                <w:lang w:eastAsia="es-ES"/>
              </w:rPr>
              <w:t>MORABI</w:t>
            </w:r>
            <w:proofErr w:type="spellEnd"/>
          </w:p>
        </w:tc>
        <w:tc>
          <w:tcPr>
            <w:tcW w:w="2044" w:type="dxa"/>
            <w:shd w:val="clear" w:color="auto" w:fill="FFFFFF" w:themeFill="background1"/>
            <w:vAlign w:val="center"/>
          </w:tcPr>
          <w:p w14:paraId="66BF5ACB"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PcD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 xml:space="preserve">, Delegacias e Centros de Saúde,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205" w:type="dxa"/>
            <w:shd w:val="clear" w:color="auto" w:fill="F2F2F2" w:themeFill="background1" w:themeFillShade="F2"/>
            <w:vAlign w:val="center"/>
          </w:tcPr>
          <w:p w14:paraId="560B1196"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01AE7A4B"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1D9637B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26E3F7E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2A9CE3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7587BB5"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388E87E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4F01594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01CACBE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BFCAE2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07B24DE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5E63CD8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5D0340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0F6963D7"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5927DA6A"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68F2EDE5"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4A9D5EC8" w14:textId="4C306026"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2 300 000</w:t>
            </w:r>
          </w:p>
        </w:tc>
      </w:tr>
      <w:tr w:rsidR="00C1191E" w:rsidRPr="00441BCC" w14:paraId="186196D0" w14:textId="77777777" w:rsidTr="00922684">
        <w:trPr>
          <w:trHeight w:val="615"/>
        </w:trPr>
        <w:tc>
          <w:tcPr>
            <w:tcW w:w="1879" w:type="dxa"/>
            <w:vMerge/>
            <w:shd w:val="clear" w:color="auto" w:fill="FFFFFF" w:themeFill="background1"/>
          </w:tcPr>
          <w:p w14:paraId="38B28A1F"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3469A825"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4.4.4. Adaptar materiais informativos e educativos em matéria de </w:t>
            </w:r>
            <w:proofErr w:type="spellStart"/>
            <w:r w:rsidRPr="00EB750A">
              <w:rPr>
                <w:rFonts w:ascii="Garamond" w:hAnsi="Garamond"/>
                <w:sz w:val="20"/>
                <w:szCs w:val="20"/>
                <w:lang w:val="pt-PT"/>
              </w:rPr>
              <w:t>DSSR</w:t>
            </w:r>
            <w:proofErr w:type="spellEnd"/>
            <w:r w:rsidRPr="00EB750A">
              <w:rPr>
                <w:rFonts w:ascii="Garamond" w:hAnsi="Garamond"/>
                <w:sz w:val="20"/>
                <w:szCs w:val="20"/>
                <w:lang w:val="pt-PT"/>
              </w:rPr>
              <w:t xml:space="preserve"> (braille, áudio, linguagem gestual) e divulgá-los, em parceria com as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 xml:space="preserve"> especializadas.</w:t>
            </w:r>
          </w:p>
        </w:tc>
        <w:tc>
          <w:tcPr>
            <w:tcW w:w="1459" w:type="dxa"/>
            <w:shd w:val="clear" w:color="auto" w:fill="FFFFFF" w:themeFill="background1"/>
            <w:vAlign w:val="center"/>
          </w:tcPr>
          <w:p w14:paraId="546467F6"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PNSR</w:t>
            </w:r>
            <w:proofErr w:type="spellEnd"/>
          </w:p>
        </w:tc>
        <w:tc>
          <w:tcPr>
            <w:tcW w:w="2044" w:type="dxa"/>
            <w:shd w:val="clear" w:color="auto" w:fill="FFFFFF" w:themeFill="background1"/>
            <w:vAlign w:val="center"/>
          </w:tcPr>
          <w:p w14:paraId="2AF51E03"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APIMUD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PcD</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Delegacias e Centros de Saúde, Hospitais, </w:t>
            </w:r>
            <w:proofErr w:type="spellStart"/>
            <w:r w:rsidRPr="00EB750A">
              <w:rPr>
                <w:rFonts w:ascii="Garamond" w:eastAsia="Times New Roman" w:hAnsi="Garamond" w:cs="Times New Roman"/>
                <w:color w:val="000000"/>
                <w:sz w:val="20"/>
                <w:szCs w:val="20"/>
                <w:lang w:val="pt-PT" w:eastAsia="es-ES"/>
              </w:rPr>
              <w:t>ICIEG</w:t>
            </w:r>
            <w:proofErr w:type="spellEnd"/>
          </w:p>
        </w:tc>
        <w:tc>
          <w:tcPr>
            <w:tcW w:w="205" w:type="dxa"/>
            <w:shd w:val="clear" w:color="auto" w:fill="F2F2F2" w:themeFill="background1" w:themeFillShade="F2"/>
            <w:vAlign w:val="center"/>
          </w:tcPr>
          <w:p w14:paraId="188D242C"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79B15F9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24ADC348"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3929724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612E950"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1E8D66C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31AC831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22CBB14"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4911C5EE"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tcPr>
          <w:p w14:paraId="49E3293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2AB19A3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tcPr>
          <w:p w14:paraId="7A77263E"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803240A"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3B8A75D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49D87E2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116C29A3"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7D85FDAB" w14:textId="76E56D24"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1 200 000</w:t>
            </w:r>
          </w:p>
        </w:tc>
      </w:tr>
      <w:tr w:rsidR="00C1191E" w:rsidRPr="00441BCC" w14:paraId="017FCAB3" w14:textId="77777777" w:rsidTr="00922684">
        <w:trPr>
          <w:trHeight w:val="615"/>
        </w:trPr>
        <w:tc>
          <w:tcPr>
            <w:tcW w:w="1879" w:type="dxa"/>
            <w:vMerge/>
            <w:shd w:val="clear" w:color="auto" w:fill="FFFFFF" w:themeFill="background1"/>
          </w:tcPr>
          <w:p w14:paraId="72E36F9E"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tcPr>
          <w:p w14:paraId="1A3DFA3C"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4.4.5 Definir módulos de formação sobre </w:t>
            </w:r>
            <w:proofErr w:type="spellStart"/>
            <w:r w:rsidRPr="00EB750A">
              <w:rPr>
                <w:rFonts w:ascii="Garamond" w:hAnsi="Garamond"/>
                <w:sz w:val="20"/>
                <w:szCs w:val="20"/>
                <w:lang w:val="pt-PT"/>
              </w:rPr>
              <w:t>DSSR</w:t>
            </w:r>
            <w:proofErr w:type="spellEnd"/>
            <w:r w:rsidRPr="00EB750A">
              <w:rPr>
                <w:rFonts w:ascii="Garamond" w:hAnsi="Garamond"/>
                <w:sz w:val="20"/>
                <w:szCs w:val="20"/>
                <w:lang w:val="pt-PT"/>
              </w:rPr>
              <w:t xml:space="preserve"> e abordagem de </w:t>
            </w:r>
            <w:proofErr w:type="spellStart"/>
            <w:r w:rsidRPr="00EB750A">
              <w:rPr>
                <w:rFonts w:ascii="Garamond" w:hAnsi="Garamond"/>
                <w:sz w:val="20"/>
                <w:szCs w:val="20"/>
                <w:lang w:val="pt-PT"/>
              </w:rPr>
              <w:t>IEC</w:t>
            </w:r>
            <w:proofErr w:type="spellEnd"/>
            <w:r w:rsidRPr="00EB750A">
              <w:rPr>
                <w:rFonts w:ascii="Garamond" w:hAnsi="Garamond"/>
                <w:sz w:val="20"/>
                <w:szCs w:val="20"/>
                <w:lang w:val="pt-PT"/>
              </w:rPr>
              <w:t xml:space="preserve"> para mulheres e homens imigrantes e formar um núcleo de mediadores/as para a sua implementação em parceria com as </w:t>
            </w:r>
            <w:proofErr w:type="spellStart"/>
            <w:r w:rsidRPr="00EB750A">
              <w:rPr>
                <w:rFonts w:ascii="Garamond" w:hAnsi="Garamond"/>
                <w:sz w:val="20"/>
                <w:szCs w:val="20"/>
                <w:lang w:val="pt-PT"/>
              </w:rPr>
              <w:t>OSC</w:t>
            </w:r>
            <w:proofErr w:type="spellEnd"/>
            <w:r w:rsidRPr="00EB750A">
              <w:rPr>
                <w:rFonts w:ascii="Garamond" w:hAnsi="Garamond"/>
                <w:sz w:val="20"/>
                <w:szCs w:val="20"/>
                <w:lang w:val="pt-PT"/>
              </w:rPr>
              <w:t xml:space="preserve"> especializadas</w:t>
            </w:r>
          </w:p>
        </w:tc>
        <w:tc>
          <w:tcPr>
            <w:tcW w:w="1459" w:type="dxa"/>
            <w:shd w:val="clear" w:color="auto" w:fill="FFFFFF" w:themeFill="background1"/>
            <w:vAlign w:val="center"/>
          </w:tcPr>
          <w:p w14:paraId="56B590C2"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44" w:type="dxa"/>
            <w:shd w:val="clear" w:color="auto" w:fill="FFFFFF" w:themeFill="background1"/>
            <w:vAlign w:val="center"/>
          </w:tcPr>
          <w:p w14:paraId="0E7F4ED4"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Imigrantes, Delegacias e Centros de Saúde</w:t>
            </w:r>
          </w:p>
        </w:tc>
        <w:tc>
          <w:tcPr>
            <w:tcW w:w="205" w:type="dxa"/>
            <w:shd w:val="clear" w:color="auto" w:fill="F2F2F2" w:themeFill="background1" w:themeFillShade="F2"/>
            <w:vAlign w:val="center"/>
          </w:tcPr>
          <w:p w14:paraId="44FFC127"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22A1E078"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372D134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5748EFF8"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42AD5E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1A5C224F"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B9CF70E"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FBEC36E"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445C29A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EB6CB94"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65ACB36C"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2D6C1B1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7580791"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772700B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2E5371C8"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240BE87"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1101" w:type="dxa"/>
            <w:shd w:val="clear" w:color="auto" w:fill="FFFFFF" w:themeFill="background1"/>
            <w:vAlign w:val="center"/>
          </w:tcPr>
          <w:p w14:paraId="18DA15B7" w14:textId="5A98E807"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2 840 000</w:t>
            </w:r>
          </w:p>
        </w:tc>
      </w:tr>
      <w:tr w:rsidR="00C1191E" w:rsidRPr="00441BCC" w14:paraId="1FEBA0A6" w14:textId="77777777" w:rsidTr="00087143">
        <w:trPr>
          <w:trHeight w:val="615"/>
        </w:trPr>
        <w:tc>
          <w:tcPr>
            <w:tcW w:w="1879" w:type="dxa"/>
            <w:vMerge/>
            <w:shd w:val="clear" w:color="auto" w:fill="FFFFFF" w:themeFill="background1"/>
          </w:tcPr>
          <w:p w14:paraId="1E8FF7DE"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vAlign w:val="center"/>
          </w:tcPr>
          <w:p w14:paraId="1424B407"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4.4.6. Formar os prestadores da saúde e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xml:space="preserve"> sobre atendimento socioculturalmente sensível a mulheres e homens imigrantes.</w:t>
            </w:r>
          </w:p>
        </w:tc>
        <w:tc>
          <w:tcPr>
            <w:tcW w:w="1459" w:type="dxa"/>
            <w:shd w:val="clear" w:color="auto" w:fill="FFFFFF" w:themeFill="background1"/>
            <w:vAlign w:val="center"/>
          </w:tcPr>
          <w:p w14:paraId="5F1B2E3F"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44" w:type="dxa"/>
            <w:shd w:val="clear" w:color="auto" w:fill="FFFFFF" w:themeFill="background1"/>
            <w:vAlign w:val="center"/>
          </w:tcPr>
          <w:p w14:paraId="30CA03D6"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Imigrantes, Delegacias e Centros de Saúde, Hospitais, parceiros locais</w:t>
            </w:r>
          </w:p>
        </w:tc>
        <w:tc>
          <w:tcPr>
            <w:tcW w:w="205" w:type="dxa"/>
            <w:shd w:val="clear" w:color="auto" w:fill="F2F2F2" w:themeFill="background1" w:themeFillShade="F2"/>
            <w:vAlign w:val="center"/>
          </w:tcPr>
          <w:p w14:paraId="5101FBE9"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542A0B4F" w14:textId="2FEDAA3D"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6C00C497"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7482CE76" w14:textId="5E7BC30A" w:rsidR="00C1191E" w:rsidRPr="005808D4"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59377D93" w14:textId="4F128BFC" w:rsidR="00C1191E" w:rsidRPr="005808D4"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40D96238" w14:textId="309C5D7B"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6E99D4CF"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1E85FA9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14EA5FC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7E68F343"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1B49445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64D02A01"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20E8452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9B0B186"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5A970D7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6FEB5E85"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3396168B" w14:textId="370A2863"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507 000</w:t>
            </w:r>
          </w:p>
        </w:tc>
      </w:tr>
      <w:tr w:rsidR="00C1191E" w:rsidRPr="00441BCC" w14:paraId="3E91BFA7" w14:textId="77777777" w:rsidTr="00922684">
        <w:trPr>
          <w:trHeight w:val="615"/>
        </w:trPr>
        <w:tc>
          <w:tcPr>
            <w:tcW w:w="1879" w:type="dxa"/>
            <w:vMerge/>
            <w:shd w:val="clear" w:color="auto" w:fill="FFFFFF" w:themeFill="background1"/>
          </w:tcPr>
          <w:p w14:paraId="2D7EC517" w14:textId="77777777" w:rsidR="00C1191E" w:rsidRPr="00441BCC" w:rsidRDefault="00C1191E" w:rsidP="00C1191E">
            <w:pPr>
              <w:spacing w:after="240"/>
              <w:rPr>
                <w:rFonts w:ascii="Garamond" w:hAnsi="Garamond"/>
                <w:sz w:val="20"/>
                <w:szCs w:val="20"/>
              </w:rPr>
            </w:pPr>
          </w:p>
        </w:tc>
        <w:tc>
          <w:tcPr>
            <w:tcW w:w="4904" w:type="dxa"/>
            <w:shd w:val="clear" w:color="auto" w:fill="FFFFFF" w:themeFill="background1"/>
            <w:vAlign w:val="center"/>
          </w:tcPr>
          <w:p w14:paraId="735BD373" w14:textId="77777777" w:rsidR="00C1191E" w:rsidRPr="00EB750A" w:rsidRDefault="00C1191E" w:rsidP="00C1191E">
            <w:pPr>
              <w:spacing w:after="60"/>
              <w:rPr>
                <w:rFonts w:ascii="Garamond" w:hAnsi="Garamond" w:cs="Arial"/>
                <w:sz w:val="20"/>
                <w:szCs w:val="20"/>
                <w:lang w:val="pt-PT"/>
              </w:rPr>
            </w:pPr>
            <w:r w:rsidRPr="00EB750A">
              <w:rPr>
                <w:rFonts w:ascii="Garamond" w:hAnsi="Garamond"/>
                <w:sz w:val="20"/>
                <w:szCs w:val="20"/>
                <w:lang w:val="pt-PT"/>
              </w:rPr>
              <w:t xml:space="preserve">4.4.7. Reforçar as capacidades dos/as prestadores/as de saúde para a abordagem da </w:t>
            </w:r>
            <w:proofErr w:type="spellStart"/>
            <w:r w:rsidRPr="00EB750A">
              <w:rPr>
                <w:rFonts w:ascii="Garamond" w:hAnsi="Garamond"/>
                <w:sz w:val="20"/>
                <w:szCs w:val="20"/>
                <w:lang w:val="pt-PT"/>
              </w:rPr>
              <w:t>MGF</w:t>
            </w:r>
            <w:proofErr w:type="spellEnd"/>
            <w:r w:rsidRPr="00EB750A">
              <w:rPr>
                <w:rFonts w:ascii="Garamond" w:hAnsi="Garamond"/>
                <w:sz w:val="20"/>
                <w:szCs w:val="20"/>
                <w:lang w:val="pt-PT"/>
              </w:rPr>
              <w:t xml:space="preserve">, em particular na </w:t>
            </w:r>
            <w:proofErr w:type="spellStart"/>
            <w:r w:rsidRPr="00EB750A">
              <w:rPr>
                <w:rFonts w:ascii="Garamond" w:hAnsi="Garamond"/>
                <w:sz w:val="20"/>
                <w:szCs w:val="20"/>
                <w:lang w:val="pt-PT"/>
              </w:rPr>
              <w:t>SSR</w:t>
            </w:r>
            <w:proofErr w:type="spellEnd"/>
            <w:r w:rsidRPr="00EB750A">
              <w:rPr>
                <w:rFonts w:ascii="Garamond" w:hAnsi="Garamond"/>
                <w:sz w:val="20"/>
                <w:szCs w:val="20"/>
                <w:lang w:val="pt-PT"/>
              </w:rPr>
              <w:t>, com prioridade para as ilhas de maior presença de imigrantes.</w:t>
            </w:r>
          </w:p>
        </w:tc>
        <w:tc>
          <w:tcPr>
            <w:tcW w:w="1459" w:type="dxa"/>
            <w:shd w:val="clear" w:color="auto" w:fill="FFFFFF" w:themeFill="background1"/>
            <w:vAlign w:val="center"/>
          </w:tcPr>
          <w:p w14:paraId="24CBE9A6" w14:textId="77777777" w:rsidR="00C1191E" w:rsidRPr="00441BCC" w:rsidRDefault="00C1191E" w:rsidP="00C1191E">
            <w:pPr>
              <w:jc w:val="center"/>
              <w:rPr>
                <w:rFonts w:ascii="Garamond" w:eastAsia="Times New Roman" w:hAnsi="Garamond" w:cs="Times New Roman"/>
                <w:color w:val="000000"/>
                <w:sz w:val="20"/>
                <w:szCs w:val="20"/>
                <w:lang w:eastAsia="es-ES"/>
              </w:rPr>
            </w:pPr>
            <w:proofErr w:type="spellStart"/>
            <w:r w:rsidRPr="00441BCC">
              <w:rPr>
                <w:rFonts w:ascii="Garamond" w:eastAsia="Times New Roman" w:hAnsi="Garamond" w:cs="Times New Roman"/>
                <w:color w:val="000000"/>
                <w:sz w:val="20"/>
                <w:szCs w:val="20"/>
                <w:lang w:eastAsia="es-ES"/>
              </w:rPr>
              <w:t>DGI</w:t>
            </w:r>
            <w:proofErr w:type="spellEnd"/>
          </w:p>
        </w:tc>
        <w:tc>
          <w:tcPr>
            <w:tcW w:w="2044" w:type="dxa"/>
            <w:shd w:val="clear" w:color="auto" w:fill="FFFFFF" w:themeFill="background1"/>
            <w:vAlign w:val="center"/>
          </w:tcPr>
          <w:p w14:paraId="3DCF5D59" w14:textId="77777777" w:rsidR="00C1191E" w:rsidRPr="00EB750A" w:rsidRDefault="00C1191E" w:rsidP="00C1191E">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PNSR</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Imigrantes, Delegacias e Centros de Saúde, Hospitais</w:t>
            </w:r>
          </w:p>
        </w:tc>
        <w:tc>
          <w:tcPr>
            <w:tcW w:w="205" w:type="dxa"/>
            <w:shd w:val="clear" w:color="auto" w:fill="F2F2F2" w:themeFill="background1" w:themeFillShade="F2"/>
            <w:vAlign w:val="center"/>
          </w:tcPr>
          <w:p w14:paraId="573CE337"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55E5A48C"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65E67A74" w14:textId="77777777" w:rsidR="00C1191E" w:rsidRPr="00E20A3B"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2F2F2" w:themeFill="background1" w:themeFillShade="F2"/>
            <w:vAlign w:val="center"/>
          </w:tcPr>
          <w:p w14:paraId="55F4AE0C" w14:textId="1F5145EC" w:rsidR="00C1191E" w:rsidRPr="005808D4"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26C5F081" w14:textId="4BA8A1BA" w:rsidR="00C1191E" w:rsidRPr="005808D4" w:rsidRDefault="00C1191E" w:rsidP="00C1191E">
            <w:pPr>
              <w:rPr>
                <w:rFonts w:ascii="Garamond" w:eastAsia="Times New Roman" w:hAnsi="Garamond" w:cs="Times New Roman"/>
                <w:color w:val="000000"/>
                <w:sz w:val="12"/>
                <w:szCs w:val="12"/>
                <w:lang w:val="pt-PT" w:eastAsia="es-ES"/>
              </w:rPr>
            </w:pPr>
          </w:p>
        </w:tc>
        <w:tc>
          <w:tcPr>
            <w:tcW w:w="205" w:type="dxa"/>
            <w:shd w:val="clear" w:color="auto" w:fill="FFFFFF" w:themeFill="background1"/>
            <w:vAlign w:val="center"/>
          </w:tcPr>
          <w:p w14:paraId="12A85F28" w14:textId="7F0CFA5C"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vAlign w:val="center"/>
          </w:tcPr>
          <w:p w14:paraId="60573049"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BE4478D"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4F999655"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22917DD"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2F2F2" w:themeFill="background1" w:themeFillShade="F2"/>
            <w:vAlign w:val="center"/>
          </w:tcPr>
          <w:p w14:paraId="0D85631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2F2F2" w:themeFill="background1" w:themeFillShade="F2"/>
            <w:vAlign w:val="center"/>
          </w:tcPr>
          <w:p w14:paraId="513708C0"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47578BB6"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vAlign w:val="center"/>
          </w:tcPr>
          <w:p w14:paraId="0497966B" w14:textId="77777777" w:rsidR="00C1191E" w:rsidRPr="00E20A3B" w:rsidRDefault="00C1191E" w:rsidP="00C1191E">
            <w:pPr>
              <w:rPr>
                <w:rFonts w:ascii="Garamond" w:eastAsia="Times New Roman" w:hAnsi="Garamond" w:cs="Times New Roman"/>
                <w:color w:val="000000"/>
                <w:sz w:val="12"/>
                <w:szCs w:val="12"/>
                <w:lang w:eastAsia="es-ES"/>
              </w:rPr>
            </w:pPr>
            <w:r w:rsidRPr="00E20A3B">
              <w:rPr>
                <w:rFonts w:ascii="Garamond" w:eastAsia="Times New Roman" w:hAnsi="Garamond" w:cs="Times New Roman"/>
                <w:b/>
                <w:bCs/>
                <w:color w:val="000000"/>
                <w:sz w:val="12"/>
                <w:szCs w:val="12"/>
                <w:lang w:eastAsia="es-ES"/>
              </w:rPr>
              <w:t>X</w:t>
            </w:r>
          </w:p>
        </w:tc>
        <w:tc>
          <w:tcPr>
            <w:tcW w:w="205" w:type="dxa"/>
            <w:shd w:val="clear" w:color="auto" w:fill="FFFFFF" w:themeFill="background1"/>
          </w:tcPr>
          <w:p w14:paraId="46723D6B" w14:textId="77777777" w:rsidR="00C1191E" w:rsidRPr="00E20A3B" w:rsidRDefault="00C1191E" w:rsidP="00C1191E">
            <w:pPr>
              <w:rPr>
                <w:rFonts w:ascii="Garamond" w:eastAsia="Times New Roman" w:hAnsi="Garamond" w:cs="Times New Roman"/>
                <w:color w:val="000000"/>
                <w:sz w:val="12"/>
                <w:szCs w:val="12"/>
                <w:lang w:eastAsia="es-ES"/>
              </w:rPr>
            </w:pPr>
          </w:p>
        </w:tc>
        <w:tc>
          <w:tcPr>
            <w:tcW w:w="205" w:type="dxa"/>
            <w:shd w:val="clear" w:color="auto" w:fill="FFFFFF" w:themeFill="background1"/>
          </w:tcPr>
          <w:p w14:paraId="27AB14B4" w14:textId="77777777" w:rsidR="00C1191E" w:rsidRPr="00E20A3B" w:rsidRDefault="00C1191E" w:rsidP="00C1191E">
            <w:pPr>
              <w:rPr>
                <w:rFonts w:ascii="Garamond" w:eastAsia="Times New Roman" w:hAnsi="Garamond" w:cs="Times New Roman"/>
                <w:color w:val="000000"/>
                <w:sz w:val="12"/>
                <w:szCs w:val="12"/>
                <w:lang w:eastAsia="es-ES"/>
              </w:rPr>
            </w:pPr>
          </w:p>
        </w:tc>
        <w:tc>
          <w:tcPr>
            <w:tcW w:w="1101" w:type="dxa"/>
            <w:shd w:val="clear" w:color="auto" w:fill="FFFFFF" w:themeFill="background1"/>
            <w:vAlign w:val="center"/>
          </w:tcPr>
          <w:p w14:paraId="69460745" w14:textId="1BBC419F" w:rsidR="00C1191E" w:rsidRPr="00441BCC" w:rsidRDefault="00C1191E" w:rsidP="00C1191E">
            <w:pPr>
              <w:jc w:val="center"/>
              <w:rPr>
                <w:rFonts w:ascii="Garamond" w:eastAsia="Times New Roman" w:hAnsi="Garamond" w:cs="Times New Roman"/>
                <w:color w:val="000000"/>
                <w:sz w:val="20"/>
                <w:szCs w:val="20"/>
                <w:lang w:eastAsia="es-ES"/>
              </w:rPr>
            </w:pPr>
            <w:r w:rsidRPr="00C1191E">
              <w:rPr>
                <w:rFonts w:ascii="Garamond" w:eastAsia="Times New Roman" w:hAnsi="Garamond" w:cs="Times New Roman"/>
                <w:color w:val="000000"/>
                <w:sz w:val="20"/>
                <w:szCs w:val="20"/>
                <w:lang w:eastAsia="es-ES"/>
              </w:rPr>
              <w:t>507 000</w:t>
            </w:r>
          </w:p>
        </w:tc>
      </w:tr>
    </w:tbl>
    <w:p w14:paraId="78723E7C" w14:textId="77777777" w:rsidR="00432609" w:rsidRDefault="00432609" w:rsidP="00432609">
      <w:pPr>
        <w:rPr>
          <w:rFonts w:ascii="Garamond" w:hAnsi="Garamond"/>
          <w:b/>
          <w:sz w:val="20"/>
          <w:szCs w:val="20"/>
        </w:rPr>
      </w:pPr>
    </w:p>
    <w:p w14:paraId="51D40C90" w14:textId="23217EF7" w:rsidR="00432609" w:rsidRDefault="00432609" w:rsidP="009F6506">
      <w:pPr>
        <w:pStyle w:val="PargrafodaLista"/>
        <w:ind w:left="0"/>
        <w:jc w:val="both"/>
        <w:rPr>
          <w:rFonts w:ascii="Garamond" w:hAnsi="Garamond"/>
          <w:b/>
          <w:sz w:val="20"/>
          <w:szCs w:val="20"/>
          <w:lang w:val="pt-PT"/>
        </w:rPr>
      </w:pPr>
      <w:r w:rsidRPr="00EB750A">
        <w:rPr>
          <w:rFonts w:ascii="Garamond" w:hAnsi="Garamond"/>
          <w:b/>
          <w:sz w:val="20"/>
          <w:szCs w:val="20"/>
          <w:lang w:val="pt-PT"/>
        </w:rPr>
        <w:t xml:space="preserve">Eixo 5 - Participação política e exercício do poder </w:t>
      </w:r>
    </w:p>
    <w:p w14:paraId="57107EB4" w14:textId="77777777" w:rsidR="00D373AE" w:rsidRPr="00EB750A" w:rsidRDefault="00D373AE" w:rsidP="009F6506">
      <w:pPr>
        <w:pStyle w:val="PargrafodaLista"/>
        <w:ind w:left="0"/>
        <w:jc w:val="both"/>
        <w:rPr>
          <w:rFonts w:ascii="Garamond" w:hAnsi="Garamond"/>
          <w:b/>
          <w:sz w:val="20"/>
          <w:szCs w:val="20"/>
          <w:lang w:val="pt-PT"/>
        </w:rPr>
      </w:pPr>
    </w:p>
    <w:p w14:paraId="4EF2D158" w14:textId="2ED9A957" w:rsidR="00432609" w:rsidRDefault="00432609" w:rsidP="00432609">
      <w:pPr>
        <w:shd w:val="clear" w:color="auto" w:fill="FFFFFF" w:themeFill="background1"/>
        <w:rPr>
          <w:rFonts w:ascii="Garamond" w:hAnsi="Garamond"/>
          <w:bCs/>
          <w:sz w:val="20"/>
          <w:szCs w:val="20"/>
          <w:lang w:val="pt-PT"/>
        </w:rPr>
      </w:pPr>
      <w:proofErr w:type="spellStart"/>
      <w:r w:rsidRPr="00EB750A">
        <w:rPr>
          <w:rFonts w:ascii="Garamond" w:hAnsi="Garamond"/>
          <w:b/>
          <w:sz w:val="20"/>
          <w:szCs w:val="20"/>
          <w:lang w:val="pt-PT"/>
        </w:rPr>
        <w:t>Objetivo</w:t>
      </w:r>
      <w:proofErr w:type="spellEnd"/>
      <w:r w:rsidRPr="00EB750A">
        <w:rPr>
          <w:rFonts w:ascii="Garamond" w:hAnsi="Garamond"/>
          <w:b/>
          <w:sz w:val="20"/>
          <w:szCs w:val="20"/>
          <w:lang w:val="pt-PT"/>
        </w:rPr>
        <w:t xml:space="preserve"> estratégico</w:t>
      </w:r>
      <w:r w:rsidRPr="00EB750A">
        <w:rPr>
          <w:rFonts w:ascii="Garamond" w:hAnsi="Garamond"/>
          <w:bCs/>
          <w:sz w:val="20"/>
          <w:szCs w:val="20"/>
          <w:lang w:val="pt-PT"/>
        </w:rPr>
        <w:t>: Promover a participação paritária de mulheres e homens nos espaços e cargos de poder e decisão</w:t>
      </w:r>
    </w:p>
    <w:p w14:paraId="6F42424C" w14:textId="77777777" w:rsidR="00D373AE" w:rsidRPr="00EB750A" w:rsidRDefault="00D373AE" w:rsidP="00432609">
      <w:pPr>
        <w:shd w:val="clear" w:color="auto" w:fill="FFFFFF" w:themeFill="background1"/>
        <w:rPr>
          <w:rFonts w:ascii="Garamond" w:hAnsi="Garamond"/>
          <w:bCs/>
          <w:sz w:val="20"/>
          <w:szCs w:val="20"/>
          <w:lang w:val="pt-PT"/>
        </w:rPr>
      </w:pPr>
    </w:p>
    <w:tbl>
      <w:tblPr>
        <w:tblW w:w="14667" w:type="dxa"/>
        <w:tblInd w:w="70" w:type="dxa"/>
        <w:tblLayout w:type="fixed"/>
        <w:tblCellMar>
          <w:left w:w="70" w:type="dxa"/>
          <w:right w:w="70" w:type="dxa"/>
        </w:tblCellMar>
        <w:tblLook w:val="04A0" w:firstRow="1" w:lastRow="0" w:firstColumn="1" w:lastColumn="0" w:noHBand="0" w:noVBand="1"/>
      </w:tblPr>
      <w:tblGrid>
        <w:gridCol w:w="1768"/>
        <w:gridCol w:w="5223"/>
        <w:gridCol w:w="1443"/>
        <w:gridCol w:w="2020"/>
        <w:gridCol w:w="195"/>
        <w:gridCol w:w="195"/>
        <w:gridCol w:w="194"/>
        <w:gridCol w:w="192"/>
        <w:gridCol w:w="192"/>
        <w:gridCol w:w="192"/>
        <w:gridCol w:w="192"/>
        <w:gridCol w:w="192"/>
        <w:gridCol w:w="192"/>
        <w:gridCol w:w="192"/>
        <w:gridCol w:w="192"/>
        <w:gridCol w:w="192"/>
        <w:gridCol w:w="192"/>
        <w:gridCol w:w="192"/>
        <w:gridCol w:w="192"/>
        <w:gridCol w:w="192"/>
        <w:gridCol w:w="1133"/>
      </w:tblGrid>
      <w:tr w:rsidR="00432609" w:rsidRPr="007C1C0F" w14:paraId="770EA0A7" w14:textId="77777777" w:rsidTr="00E2709B">
        <w:trPr>
          <w:trHeight w:val="424"/>
          <w:tblHeader/>
        </w:trPr>
        <w:tc>
          <w:tcPr>
            <w:tcW w:w="1768" w:type="dxa"/>
            <w:vMerge w:val="restart"/>
            <w:tcBorders>
              <w:top w:val="single" w:sz="4" w:space="0" w:color="auto"/>
              <w:left w:val="single" w:sz="4" w:space="0" w:color="000000"/>
              <w:right w:val="single" w:sz="4" w:space="0" w:color="auto"/>
            </w:tcBorders>
            <w:shd w:val="clear" w:color="auto" w:fill="DEEAF6" w:themeFill="accent5" w:themeFillTint="33"/>
            <w:vAlign w:val="center"/>
          </w:tcPr>
          <w:p w14:paraId="5455FF6C" w14:textId="77777777" w:rsidR="00432609" w:rsidRPr="007C1C0F" w:rsidRDefault="00432609" w:rsidP="00DF0B6E">
            <w:pPr>
              <w:jc w:val="center"/>
              <w:rPr>
                <w:rFonts w:ascii="Garamond" w:eastAsia="Times New Roman" w:hAnsi="Garamond" w:cs="Times New Roman"/>
                <w:b/>
                <w:bCs/>
                <w:sz w:val="20"/>
                <w:szCs w:val="20"/>
                <w:lang w:eastAsia="es-ES"/>
              </w:rPr>
            </w:pPr>
            <w:proofErr w:type="spellStart"/>
            <w:r w:rsidRPr="007C1C0F">
              <w:rPr>
                <w:rFonts w:ascii="Garamond" w:eastAsia="Times New Roman" w:hAnsi="Garamond" w:cs="Times New Roman"/>
                <w:b/>
                <w:bCs/>
                <w:sz w:val="20"/>
                <w:szCs w:val="20"/>
                <w:lang w:eastAsia="es-ES"/>
              </w:rPr>
              <w:t>Resultados</w:t>
            </w:r>
            <w:proofErr w:type="spellEnd"/>
            <w:r w:rsidRPr="007C1C0F">
              <w:rPr>
                <w:rFonts w:ascii="Garamond" w:eastAsia="Times New Roman" w:hAnsi="Garamond" w:cs="Times New Roman"/>
                <w:b/>
                <w:bCs/>
                <w:sz w:val="20"/>
                <w:szCs w:val="20"/>
                <w:lang w:eastAsia="es-ES"/>
              </w:rPr>
              <w:t xml:space="preserve"> </w:t>
            </w:r>
            <w:proofErr w:type="spellStart"/>
            <w:r w:rsidRPr="007C1C0F">
              <w:rPr>
                <w:rFonts w:ascii="Garamond" w:eastAsia="Times New Roman" w:hAnsi="Garamond" w:cs="Times New Roman"/>
                <w:b/>
                <w:bCs/>
                <w:sz w:val="20"/>
                <w:szCs w:val="20"/>
                <w:lang w:eastAsia="es-ES"/>
              </w:rPr>
              <w:t>esperados</w:t>
            </w:r>
            <w:proofErr w:type="spellEnd"/>
          </w:p>
        </w:tc>
        <w:tc>
          <w:tcPr>
            <w:tcW w:w="5223"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0234C601" w14:textId="77777777" w:rsidR="00432609" w:rsidRPr="007C1C0F" w:rsidRDefault="00432609" w:rsidP="00DF0B6E">
            <w:pPr>
              <w:spacing w:after="60"/>
              <w:jc w:val="center"/>
              <w:rPr>
                <w:rFonts w:ascii="Garamond" w:eastAsia="Times New Roman" w:hAnsi="Garamond" w:cs="Times New Roman"/>
                <w:b/>
                <w:bCs/>
                <w:sz w:val="20"/>
                <w:szCs w:val="20"/>
                <w:lang w:eastAsia="es-ES"/>
              </w:rPr>
            </w:pPr>
            <w:proofErr w:type="spellStart"/>
            <w:r w:rsidRPr="007C1C0F">
              <w:rPr>
                <w:rFonts w:ascii="Garamond" w:eastAsia="Times New Roman" w:hAnsi="Garamond" w:cs="Times New Roman"/>
                <w:b/>
                <w:bCs/>
                <w:sz w:val="20"/>
                <w:szCs w:val="20"/>
                <w:lang w:eastAsia="es-ES"/>
              </w:rPr>
              <w:t>Medidas</w:t>
            </w:r>
            <w:proofErr w:type="spellEnd"/>
            <w:r w:rsidRPr="007C1C0F">
              <w:rPr>
                <w:rFonts w:ascii="Garamond" w:eastAsia="Times New Roman" w:hAnsi="Garamond" w:cs="Times New Roman"/>
                <w:b/>
                <w:bCs/>
                <w:sz w:val="20"/>
                <w:szCs w:val="20"/>
                <w:lang w:eastAsia="es-ES"/>
              </w:rPr>
              <w:t xml:space="preserve"> de </w:t>
            </w:r>
            <w:proofErr w:type="spellStart"/>
            <w:r w:rsidRPr="007C1C0F">
              <w:rPr>
                <w:rFonts w:ascii="Garamond" w:eastAsia="Times New Roman" w:hAnsi="Garamond" w:cs="Times New Roman"/>
                <w:b/>
                <w:bCs/>
                <w:sz w:val="20"/>
                <w:szCs w:val="20"/>
                <w:lang w:eastAsia="es-ES"/>
              </w:rPr>
              <w:t>ação</w:t>
            </w:r>
            <w:proofErr w:type="spellEnd"/>
          </w:p>
        </w:tc>
        <w:tc>
          <w:tcPr>
            <w:tcW w:w="1443"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3D9CB9D4" w14:textId="77777777" w:rsidR="00432609" w:rsidRPr="007C1C0F" w:rsidRDefault="00432609" w:rsidP="00DF0B6E">
            <w:pPr>
              <w:jc w:val="center"/>
              <w:rPr>
                <w:rFonts w:ascii="Garamond" w:eastAsia="Times New Roman" w:hAnsi="Garamond" w:cs="Times New Roman"/>
                <w:b/>
                <w:bCs/>
                <w:sz w:val="20"/>
                <w:szCs w:val="20"/>
                <w:lang w:eastAsia="es-ES"/>
              </w:rPr>
            </w:pPr>
            <w:proofErr w:type="spellStart"/>
            <w:r w:rsidRPr="007C1C0F">
              <w:rPr>
                <w:rFonts w:ascii="Garamond" w:eastAsia="Times New Roman" w:hAnsi="Garamond" w:cs="Times New Roman"/>
                <w:b/>
                <w:bCs/>
                <w:sz w:val="20"/>
                <w:szCs w:val="20"/>
                <w:lang w:eastAsia="es-ES"/>
              </w:rPr>
              <w:t>Entidade</w:t>
            </w:r>
            <w:proofErr w:type="spellEnd"/>
            <w:r w:rsidRPr="007C1C0F">
              <w:rPr>
                <w:rFonts w:ascii="Garamond" w:eastAsia="Times New Roman" w:hAnsi="Garamond" w:cs="Times New Roman"/>
                <w:b/>
                <w:bCs/>
                <w:sz w:val="20"/>
                <w:szCs w:val="20"/>
                <w:lang w:eastAsia="es-ES"/>
              </w:rPr>
              <w:t xml:space="preserve"> </w:t>
            </w:r>
            <w:proofErr w:type="spellStart"/>
            <w:r w:rsidRPr="007C1C0F">
              <w:rPr>
                <w:rFonts w:ascii="Garamond" w:eastAsia="Times New Roman" w:hAnsi="Garamond" w:cs="Times New Roman"/>
                <w:b/>
                <w:bCs/>
                <w:sz w:val="20"/>
                <w:szCs w:val="20"/>
                <w:lang w:eastAsia="es-ES"/>
              </w:rPr>
              <w:t>responsável</w:t>
            </w:r>
            <w:proofErr w:type="spellEnd"/>
          </w:p>
        </w:tc>
        <w:tc>
          <w:tcPr>
            <w:tcW w:w="2020" w:type="dxa"/>
            <w:vMerge w:val="restart"/>
            <w:tcBorders>
              <w:top w:val="single" w:sz="4" w:space="0" w:color="auto"/>
              <w:left w:val="single" w:sz="4" w:space="0" w:color="000000"/>
              <w:right w:val="single" w:sz="4" w:space="0" w:color="auto"/>
            </w:tcBorders>
            <w:shd w:val="clear" w:color="auto" w:fill="DEEAF6" w:themeFill="accent5" w:themeFillTint="33"/>
            <w:vAlign w:val="center"/>
          </w:tcPr>
          <w:p w14:paraId="4091CCF7" w14:textId="77777777" w:rsidR="00432609" w:rsidRPr="007C1C0F" w:rsidRDefault="00432609" w:rsidP="00DF0B6E">
            <w:pPr>
              <w:jc w:val="center"/>
              <w:rPr>
                <w:rFonts w:ascii="Garamond" w:eastAsia="Times New Roman" w:hAnsi="Garamond" w:cs="Times New Roman"/>
                <w:b/>
                <w:bCs/>
                <w:sz w:val="20"/>
                <w:szCs w:val="20"/>
                <w:lang w:eastAsia="es-ES"/>
              </w:rPr>
            </w:pPr>
            <w:proofErr w:type="spellStart"/>
            <w:r w:rsidRPr="007C1C0F">
              <w:rPr>
                <w:rFonts w:ascii="Garamond" w:eastAsia="Times New Roman" w:hAnsi="Garamond" w:cs="Times New Roman"/>
                <w:b/>
                <w:bCs/>
                <w:sz w:val="20"/>
                <w:szCs w:val="20"/>
                <w:lang w:eastAsia="es-ES"/>
              </w:rPr>
              <w:t>Entidades</w:t>
            </w:r>
            <w:proofErr w:type="spellEnd"/>
            <w:r w:rsidRPr="007C1C0F">
              <w:rPr>
                <w:rFonts w:ascii="Garamond" w:eastAsia="Times New Roman" w:hAnsi="Garamond" w:cs="Times New Roman"/>
                <w:b/>
                <w:bCs/>
                <w:sz w:val="20"/>
                <w:szCs w:val="20"/>
                <w:lang w:eastAsia="es-ES"/>
              </w:rPr>
              <w:t xml:space="preserve"> </w:t>
            </w:r>
            <w:proofErr w:type="spellStart"/>
            <w:r w:rsidRPr="007C1C0F">
              <w:rPr>
                <w:rFonts w:ascii="Garamond" w:eastAsia="Times New Roman" w:hAnsi="Garamond" w:cs="Times New Roman"/>
                <w:b/>
                <w:bCs/>
                <w:sz w:val="20"/>
                <w:szCs w:val="20"/>
                <w:lang w:eastAsia="es-ES"/>
              </w:rPr>
              <w:t>envolvidas</w:t>
            </w:r>
            <w:proofErr w:type="spellEnd"/>
          </w:p>
        </w:tc>
        <w:tc>
          <w:tcPr>
            <w:tcW w:w="3080"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70ED22" w14:textId="77777777" w:rsidR="00432609" w:rsidRPr="007C1C0F" w:rsidRDefault="00432609" w:rsidP="00DF0B6E">
            <w:pPr>
              <w:jc w:val="center"/>
              <w:rPr>
                <w:rFonts w:ascii="Garamond" w:eastAsia="Times New Roman" w:hAnsi="Garamond" w:cs="Times New Roman"/>
                <w:b/>
                <w:bCs/>
                <w:sz w:val="20"/>
                <w:szCs w:val="20"/>
                <w:lang w:eastAsia="es-ES"/>
              </w:rPr>
            </w:pPr>
            <w:proofErr w:type="spellStart"/>
            <w:r w:rsidRPr="007C1C0F">
              <w:rPr>
                <w:rFonts w:ascii="Garamond" w:eastAsia="Times New Roman" w:hAnsi="Garamond" w:cs="Times New Roman"/>
                <w:b/>
                <w:bCs/>
                <w:sz w:val="20"/>
                <w:szCs w:val="20"/>
                <w:lang w:eastAsia="es-ES"/>
              </w:rPr>
              <w:t>Calendário</w:t>
            </w:r>
            <w:proofErr w:type="spellEnd"/>
          </w:p>
        </w:tc>
        <w:tc>
          <w:tcPr>
            <w:tcW w:w="1133"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14:paraId="6B45FD2D" w14:textId="4D68D95D" w:rsidR="00432609" w:rsidRPr="007C1C0F" w:rsidRDefault="00432609" w:rsidP="00DF0B6E">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09063D">
              <w:rPr>
                <w:rFonts w:ascii="Garamond" w:eastAsia="Times New Roman" w:hAnsi="Garamond" w:cs="Times New Roman"/>
                <w:b/>
                <w:bCs/>
                <w:sz w:val="20"/>
                <w:szCs w:val="20"/>
                <w:lang w:eastAsia="es-ES"/>
              </w:rPr>
              <w:t xml:space="preserve"> (</w:t>
            </w:r>
            <w:proofErr w:type="spellStart"/>
            <w:r w:rsidR="0009063D">
              <w:rPr>
                <w:rFonts w:ascii="Garamond" w:eastAsia="Times New Roman" w:hAnsi="Garamond" w:cs="Times New Roman"/>
                <w:b/>
                <w:bCs/>
                <w:sz w:val="20"/>
                <w:szCs w:val="20"/>
                <w:lang w:eastAsia="es-ES"/>
              </w:rPr>
              <w:t>ECV</w:t>
            </w:r>
            <w:proofErr w:type="spellEnd"/>
            <w:r w:rsidR="0009063D">
              <w:rPr>
                <w:rFonts w:ascii="Garamond" w:eastAsia="Times New Roman" w:hAnsi="Garamond" w:cs="Times New Roman"/>
                <w:b/>
                <w:bCs/>
                <w:sz w:val="20"/>
                <w:szCs w:val="20"/>
                <w:lang w:eastAsia="es-ES"/>
              </w:rPr>
              <w:t>)</w:t>
            </w:r>
          </w:p>
        </w:tc>
      </w:tr>
      <w:tr w:rsidR="00E2709B" w:rsidRPr="007C1C0F" w14:paraId="072D9061" w14:textId="77777777" w:rsidTr="00E2709B">
        <w:trPr>
          <w:trHeight w:val="498"/>
          <w:tblHeader/>
        </w:trPr>
        <w:tc>
          <w:tcPr>
            <w:tcW w:w="1768" w:type="dxa"/>
            <w:vMerge/>
            <w:tcBorders>
              <w:left w:val="single" w:sz="4" w:space="0" w:color="000000"/>
              <w:right w:val="single" w:sz="4" w:space="0" w:color="auto"/>
            </w:tcBorders>
            <w:shd w:val="clear" w:color="auto" w:fill="FFFFFF" w:themeFill="background1"/>
            <w:vAlign w:val="center"/>
          </w:tcPr>
          <w:p w14:paraId="073629DF" w14:textId="77777777" w:rsidR="00432609" w:rsidRPr="007C1C0F" w:rsidRDefault="00432609" w:rsidP="00DF0B6E">
            <w:pPr>
              <w:jc w:val="center"/>
              <w:rPr>
                <w:rFonts w:ascii="Garamond" w:eastAsia="Times New Roman" w:hAnsi="Garamond" w:cs="Times New Roman"/>
                <w:b/>
                <w:bCs/>
                <w:sz w:val="20"/>
                <w:szCs w:val="20"/>
                <w:lang w:eastAsia="es-ES"/>
              </w:rPr>
            </w:pPr>
          </w:p>
        </w:tc>
        <w:tc>
          <w:tcPr>
            <w:tcW w:w="5223" w:type="dxa"/>
            <w:vMerge/>
            <w:tcBorders>
              <w:left w:val="single" w:sz="4" w:space="0" w:color="000000"/>
              <w:right w:val="single" w:sz="4" w:space="0" w:color="000000"/>
            </w:tcBorders>
            <w:shd w:val="clear" w:color="auto" w:fill="FFFFFF" w:themeFill="background1"/>
          </w:tcPr>
          <w:p w14:paraId="43F10596" w14:textId="77777777" w:rsidR="00432609" w:rsidRPr="007C1C0F" w:rsidRDefault="00432609" w:rsidP="00DF0B6E">
            <w:pPr>
              <w:spacing w:after="60"/>
              <w:jc w:val="center"/>
              <w:rPr>
                <w:rFonts w:ascii="Garamond" w:eastAsia="Times New Roman" w:hAnsi="Garamond" w:cs="Times New Roman"/>
                <w:b/>
                <w:bCs/>
                <w:sz w:val="20"/>
                <w:szCs w:val="20"/>
                <w:lang w:eastAsia="es-ES"/>
              </w:rPr>
            </w:pPr>
          </w:p>
        </w:tc>
        <w:tc>
          <w:tcPr>
            <w:tcW w:w="1443" w:type="dxa"/>
            <w:vMerge/>
            <w:tcBorders>
              <w:left w:val="single" w:sz="4" w:space="0" w:color="000000"/>
              <w:right w:val="single" w:sz="4" w:space="0" w:color="000000"/>
            </w:tcBorders>
            <w:shd w:val="clear" w:color="auto" w:fill="FFFFFF" w:themeFill="background1"/>
            <w:vAlign w:val="center"/>
          </w:tcPr>
          <w:p w14:paraId="10702077" w14:textId="77777777" w:rsidR="00432609" w:rsidRPr="007C1C0F" w:rsidRDefault="00432609" w:rsidP="00DF0B6E">
            <w:pPr>
              <w:jc w:val="center"/>
              <w:rPr>
                <w:rFonts w:ascii="Garamond" w:eastAsia="Times New Roman" w:hAnsi="Garamond" w:cs="Times New Roman"/>
                <w:b/>
                <w:bCs/>
                <w:sz w:val="20"/>
                <w:szCs w:val="20"/>
                <w:lang w:eastAsia="es-ES"/>
              </w:rPr>
            </w:pPr>
          </w:p>
        </w:tc>
        <w:tc>
          <w:tcPr>
            <w:tcW w:w="2020" w:type="dxa"/>
            <w:vMerge/>
            <w:tcBorders>
              <w:left w:val="single" w:sz="4" w:space="0" w:color="000000"/>
              <w:right w:val="single" w:sz="4" w:space="0" w:color="auto"/>
            </w:tcBorders>
            <w:shd w:val="clear" w:color="auto" w:fill="FFFFFF" w:themeFill="background1"/>
            <w:vAlign w:val="center"/>
          </w:tcPr>
          <w:p w14:paraId="389A27F5" w14:textId="77777777" w:rsidR="00432609" w:rsidRPr="007C1C0F" w:rsidRDefault="00432609" w:rsidP="00DF0B6E">
            <w:pPr>
              <w:jc w:val="center"/>
              <w:rPr>
                <w:rFonts w:ascii="Garamond" w:eastAsia="Times New Roman" w:hAnsi="Garamond" w:cs="Times New Roman"/>
                <w:b/>
                <w:bCs/>
                <w:sz w:val="20"/>
                <w:szCs w:val="20"/>
                <w:lang w:eastAsia="es-ES"/>
              </w:rPr>
            </w:pPr>
          </w:p>
        </w:tc>
        <w:tc>
          <w:tcPr>
            <w:tcW w:w="77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0CFBBAB9" w14:textId="77777777" w:rsidR="00432609" w:rsidRPr="007C1C0F" w:rsidRDefault="00432609" w:rsidP="00DF0B6E">
            <w:pPr>
              <w:jc w:val="center"/>
              <w:rPr>
                <w:rFonts w:ascii="Garamond" w:eastAsia="Times New Roman" w:hAnsi="Garamond" w:cs="Times New Roman"/>
                <w:b/>
                <w:bCs/>
                <w:sz w:val="20"/>
                <w:szCs w:val="20"/>
                <w:lang w:eastAsia="es-ES"/>
              </w:rPr>
            </w:pPr>
            <w:r w:rsidRPr="007C1C0F">
              <w:rPr>
                <w:rFonts w:ascii="Garamond" w:eastAsia="Times New Roman" w:hAnsi="Garamond" w:cs="Times New Roman"/>
                <w:b/>
                <w:bCs/>
                <w:sz w:val="20"/>
                <w:szCs w:val="20"/>
                <w:lang w:eastAsia="es-ES"/>
              </w:rPr>
              <w:t>2020</w:t>
            </w:r>
          </w:p>
        </w:tc>
        <w:tc>
          <w:tcPr>
            <w:tcW w:w="768" w:type="dxa"/>
            <w:gridSpan w:val="4"/>
            <w:tcBorders>
              <w:top w:val="single" w:sz="4" w:space="0" w:color="auto"/>
              <w:left w:val="single" w:sz="4" w:space="0" w:color="auto"/>
              <w:right w:val="single" w:sz="4" w:space="0" w:color="auto"/>
            </w:tcBorders>
            <w:shd w:val="clear" w:color="auto" w:fill="FFFFFF" w:themeFill="background1"/>
            <w:vAlign w:val="center"/>
          </w:tcPr>
          <w:p w14:paraId="30370115" w14:textId="77777777" w:rsidR="00432609" w:rsidRPr="007C1C0F" w:rsidRDefault="00432609" w:rsidP="00DF0B6E">
            <w:pPr>
              <w:jc w:val="center"/>
              <w:rPr>
                <w:rFonts w:ascii="Garamond" w:eastAsia="Times New Roman" w:hAnsi="Garamond" w:cs="Times New Roman"/>
                <w:b/>
                <w:bCs/>
                <w:sz w:val="20"/>
                <w:szCs w:val="20"/>
                <w:lang w:eastAsia="es-ES"/>
              </w:rPr>
            </w:pPr>
            <w:r w:rsidRPr="007C1C0F">
              <w:rPr>
                <w:rFonts w:ascii="Garamond" w:eastAsia="Times New Roman" w:hAnsi="Garamond" w:cs="Times New Roman"/>
                <w:b/>
                <w:bCs/>
                <w:sz w:val="20"/>
                <w:szCs w:val="20"/>
                <w:lang w:eastAsia="es-ES"/>
              </w:rPr>
              <w:t>2021</w:t>
            </w:r>
          </w:p>
        </w:tc>
        <w:tc>
          <w:tcPr>
            <w:tcW w:w="76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49314D1B" w14:textId="77777777" w:rsidR="00432609" w:rsidRPr="007C1C0F" w:rsidRDefault="00432609" w:rsidP="00DF0B6E">
            <w:pPr>
              <w:jc w:val="center"/>
              <w:rPr>
                <w:rFonts w:ascii="Garamond" w:eastAsia="Times New Roman" w:hAnsi="Garamond" w:cs="Times New Roman"/>
                <w:b/>
                <w:bCs/>
                <w:sz w:val="20"/>
                <w:szCs w:val="20"/>
                <w:lang w:eastAsia="es-ES"/>
              </w:rPr>
            </w:pPr>
            <w:r w:rsidRPr="007C1C0F">
              <w:rPr>
                <w:rFonts w:ascii="Garamond" w:eastAsia="Times New Roman" w:hAnsi="Garamond" w:cs="Times New Roman"/>
                <w:b/>
                <w:bCs/>
                <w:sz w:val="20"/>
                <w:szCs w:val="20"/>
                <w:lang w:eastAsia="es-ES"/>
              </w:rPr>
              <w:t>2022</w:t>
            </w:r>
          </w:p>
        </w:tc>
        <w:tc>
          <w:tcPr>
            <w:tcW w:w="768" w:type="dxa"/>
            <w:gridSpan w:val="4"/>
            <w:tcBorders>
              <w:top w:val="single" w:sz="4" w:space="0" w:color="auto"/>
              <w:left w:val="single" w:sz="4" w:space="0" w:color="auto"/>
              <w:right w:val="single" w:sz="4" w:space="0" w:color="auto"/>
            </w:tcBorders>
            <w:shd w:val="clear" w:color="auto" w:fill="FFFFFF" w:themeFill="background1"/>
            <w:vAlign w:val="center"/>
          </w:tcPr>
          <w:p w14:paraId="0367F3C8" w14:textId="77777777" w:rsidR="00432609" w:rsidRPr="007C1C0F" w:rsidRDefault="00432609" w:rsidP="00DF0B6E">
            <w:pPr>
              <w:jc w:val="center"/>
              <w:rPr>
                <w:rFonts w:ascii="Garamond" w:eastAsia="Times New Roman" w:hAnsi="Garamond" w:cs="Times New Roman"/>
                <w:b/>
                <w:bCs/>
                <w:sz w:val="20"/>
                <w:szCs w:val="20"/>
                <w:lang w:eastAsia="es-ES"/>
              </w:rPr>
            </w:pPr>
            <w:r w:rsidRPr="007C1C0F">
              <w:rPr>
                <w:rFonts w:ascii="Garamond" w:eastAsia="Times New Roman" w:hAnsi="Garamond" w:cs="Times New Roman"/>
                <w:b/>
                <w:bCs/>
                <w:sz w:val="20"/>
                <w:szCs w:val="20"/>
                <w:lang w:eastAsia="es-ES"/>
              </w:rPr>
              <w:t>2023</w:t>
            </w:r>
          </w:p>
        </w:tc>
        <w:tc>
          <w:tcPr>
            <w:tcW w:w="1133" w:type="dxa"/>
            <w:vMerge/>
            <w:tcBorders>
              <w:left w:val="single" w:sz="4" w:space="0" w:color="000000"/>
              <w:right w:val="single" w:sz="4" w:space="0" w:color="000000"/>
            </w:tcBorders>
            <w:shd w:val="clear" w:color="auto" w:fill="FFFFFF" w:themeFill="background1"/>
            <w:vAlign w:val="center"/>
          </w:tcPr>
          <w:p w14:paraId="45FFF382" w14:textId="77777777" w:rsidR="00432609" w:rsidRPr="007C1C0F" w:rsidRDefault="00432609" w:rsidP="00DF0B6E">
            <w:pPr>
              <w:jc w:val="center"/>
              <w:rPr>
                <w:rFonts w:ascii="Garamond" w:eastAsia="Times New Roman" w:hAnsi="Garamond" w:cs="Times New Roman"/>
                <w:b/>
                <w:bCs/>
                <w:sz w:val="20"/>
                <w:szCs w:val="20"/>
                <w:lang w:eastAsia="es-ES"/>
              </w:rPr>
            </w:pPr>
          </w:p>
        </w:tc>
      </w:tr>
      <w:tr w:rsidR="0009063D" w:rsidRPr="007C1C0F" w14:paraId="432A9EEB" w14:textId="77777777" w:rsidTr="009F122A">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7A089E05" w14:textId="77777777" w:rsidR="0009063D" w:rsidRPr="00EB750A" w:rsidRDefault="0009063D" w:rsidP="0009063D">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5.1. Aumentado o conhecimento, compreensão e adesão dos(as) políticos(as), líderes comunitários(as), media e público em geral em matéria paridade e do quadro legal que protege a participação equilibrada de mulheres e homens na política e na tomada de decisão</w:t>
            </w: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7A31C47"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5.1.1. Estabelecer e capacitar a Comissão de Seguimento da implementação da Lei da Paridade, acompanhar a divulgação da Lei da Paridade e seguir a sua implementação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B061"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B31E2"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Organizações de Mulheres partidárias, Partidos Políticos,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5913B" w14:textId="77777777" w:rsidR="0009063D" w:rsidRPr="00D373AE" w:rsidRDefault="0009063D" w:rsidP="0009063D">
            <w:pPr>
              <w:jc w:val="center"/>
              <w:rPr>
                <w:rFonts w:ascii="Garamond" w:eastAsia="Times New Roman" w:hAnsi="Garamond" w:cs="Times New Roman"/>
                <w:b/>
                <w:bCs/>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914E17" w14:textId="77777777"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D910A" w14:textId="65E8F8EC"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1E774" w14:textId="35A26C1F"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9172B" w14:textId="602B2772"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B824" w14:textId="72953872"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73018" w14:textId="61A36D2A"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CDB96" w14:textId="559FD8EC"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105A7"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28A52"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13D8A"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29121"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666918"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DA89D8"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E71249"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B56D29"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99449" w14:textId="36C5896F"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2 250 000</w:t>
            </w:r>
          </w:p>
        </w:tc>
      </w:tr>
      <w:tr w:rsidR="0009063D" w:rsidRPr="007C1C0F" w14:paraId="31B0AD05"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551F7483"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2C5A8F2"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5.1.2. </w:t>
            </w:r>
            <w:proofErr w:type="spellStart"/>
            <w:r w:rsidRPr="00EB750A">
              <w:rPr>
                <w:rFonts w:ascii="Garamond" w:hAnsi="Garamond"/>
                <w:sz w:val="20"/>
                <w:szCs w:val="20"/>
                <w:lang w:val="pt-PT"/>
              </w:rPr>
              <w:t>Transversalizar</w:t>
            </w:r>
            <w:proofErr w:type="spellEnd"/>
            <w:r w:rsidRPr="00EB750A">
              <w:rPr>
                <w:rFonts w:ascii="Garamond" w:hAnsi="Garamond"/>
                <w:sz w:val="20"/>
                <w:szCs w:val="20"/>
                <w:lang w:val="pt-PT"/>
              </w:rPr>
              <w:t xml:space="preserve"> a abordagem de género nos processos de revisão do Código Eleitoral e Lei dos Partidos Políticos em sintonia com a Lei da Paridade em vigor</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7C60B" w14:textId="77777777" w:rsidR="0009063D" w:rsidRDefault="0009063D" w:rsidP="0009063D">
            <w:pPr>
              <w:jc w:val="center"/>
              <w:rPr>
                <w:rFonts w:ascii="Garamond" w:eastAsia="Times New Roman" w:hAnsi="Garamond" w:cs="Times New Roman"/>
                <w:color w:val="FF0000"/>
                <w:sz w:val="20"/>
                <w:szCs w:val="20"/>
                <w:lang w:val="pt-PT" w:eastAsia="es-ES"/>
              </w:rPr>
            </w:pPr>
            <w:proofErr w:type="spellStart"/>
            <w:r w:rsidRPr="00C1191E">
              <w:rPr>
                <w:rFonts w:ascii="Garamond" w:eastAsia="Times New Roman" w:hAnsi="Garamond" w:cs="Times New Roman"/>
                <w:color w:val="000000"/>
                <w:sz w:val="20"/>
                <w:szCs w:val="20"/>
                <w:lang w:val="pt-PT" w:eastAsia="es-ES"/>
              </w:rPr>
              <w:t>RMP</w:t>
            </w:r>
            <w:proofErr w:type="spellEnd"/>
            <w:r w:rsidRPr="00C1191E">
              <w:rPr>
                <w:rFonts w:ascii="Garamond" w:eastAsia="Times New Roman" w:hAnsi="Garamond" w:cs="Times New Roman"/>
                <w:color w:val="000000"/>
                <w:sz w:val="20"/>
                <w:szCs w:val="20"/>
                <w:lang w:val="pt-PT" w:eastAsia="es-ES"/>
              </w:rPr>
              <w:t>-CV</w:t>
            </w:r>
            <w:r w:rsidRPr="00C1191E">
              <w:rPr>
                <w:rFonts w:ascii="Garamond" w:eastAsia="Times New Roman" w:hAnsi="Garamond" w:cs="Times New Roman"/>
                <w:color w:val="FF0000"/>
                <w:sz w:val="20"/>
                <w:szCs w:val="20"/>
                <w:lang w:val="pt-PT" w:eastAsia="es-ES"/>
              </w:rPr>
              <w:t xml:space="preserve"> </w:t>
            </w:r>
          </w:p>
          <w:p w14:paraId="63EF2035" w14:textId="1140C023" w:rsidR="0009063D" w:rsidRPr="00C1191E" w:rsidRDefault="0009063D" w:rsidP="0009063D">
            <w:pPr>
              <w:jc w:val="center"/>
              <w:rPr>
                <w:rFonts w:ascii="Garamond" w:eastAsia="Times New Roman" w:hAnsi="Garamond" w:cs="Times New Roman"/>
                <w:color w:val="000000"/>
                <w:sz w:val="20"/>
                <w:szCs w:val="20"/>
                <w:lang w:val="pt-PT" w:eastAsia="es-ES"/>
              </w:rPr>
            </w:pPr>
            <w:r w:rsidRPr="00C1191E">
              <w:rPr>
                <w:rFonts w:ascii="Garamond" w:eastAsia="Times New Roman" w:hAnsi="Garamond" w:cs="Times New Roman"/>
                <w:color w:val="FF0000"/>
                <w:sz w:val="20"/>
                <w:szCs w:val="20"/>
                <w:lang w:val="pt-PT" w:eastAsia="es-ES"/>
              </w:rPr>
              <w:t>A verificar datas previstas</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3785A"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Comissão de Seguimento da Implementação da Lei da Paridade (</w:t>
            </w:r>
            <w:proofErr w:type="spellStart"/>
            <w:r w:rsidRPr="00EB750A">
              <w:rPr>
                <w:rFonts w:ascii="Garamond" w:eastAsia="Times New Roman" w:hAnsi="Garamond" w:cs="Times New Roman"/>
                <w:color w:val="000000"/>
                <w:sz w:val="20"/>
                <w:szCs w:val="20"/>
                <w:lang w:val="pt-PT" w:eastAsia="es-ES"/>
              </w:rPr>
              <w:t>CSILP</w:t>
            </w:r>
            <w:proofErr w:type="spellEnd"/>
            <w:r w:rsidRPr="00EB750A">
              <w:rPr>
                <w:rFonts w:ascii="Garamond" w:eastAsia="Times New Roman" w:hAnsi="Garamond" w:cs="Times New Roman"/>
                <w:color w:val="000000"/>
                <w:sz w:val="20"/>
                <w:szCs w:val="20"/>
                <w:lang w:val="pt-PT" w:eastAsia="es-ES"/>
              </w:rPr>
              <w:t>)</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D127F"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B915D"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4871C"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00D58"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CD071"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C57955"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CC9C81"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CC6A0"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C9FB8"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84D82"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22AC7"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FD0C3"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7892B8"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A17A6E"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2A2C9"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8B9DD0" w14:textId="77777777" w:rsidR="0009063D" w:rsidRPr="00D373AE" w:rsidRDefault="0009063D" w:rsidP="0009063D">
            <w:pPr>
              <w:jc w:val="center"/>
              <w:rPr>
                <w:rFonts w:ascii="Garamond" w:eastAsia="Times New Roman" w:hAnsi="Garamond" w:cs="Times New Roman"/>
                <w:color w:val="000000"/>
                <w:sz w:val="12"/>
                <w:szCs w:val="12"/>
                <w:lang w:val="pt-PT"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EF28" w14:textId="53362DAE" w:rsidR="0009063D" w:rsidRPr="0009063D"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0</w:t>
            </w:r>
          </w:p>
        </w:tc>
      </w:tr>
      <w:tr w:rsidR="0009063D" w:rsidRPr="007C1C0F" w14:paraId="23859F8B"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61EA6A56"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FE570E"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5.1.3. Actualizar o Plano de Advocacia da Lei da Paridade e definir a estratégia, instrumentos e materiais para a divulgação do novo quadro legal</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EB0EA"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5F286"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OSC</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advogados</w:t>
            </w:r>
            <w:proofErr w:type="spellEnd"/>
            <w:r w:rsidRPr="007C1C0F">
              <w:rPr>
                <w:rFonts w:ascii="Garamond" w:eastAsia="Times New Roman" w:hAnsi="Garamond" w:cs="Times New Roman"/>
                <w:color w:val="000000"/>
                <w:sz w:val="20"/>
                <w:szCs w:val="20"/>
                <w:lang w:eastAsia="es-ES"/>
              </w:rPr>
              <w:t xml:space="preserve"> de </w:t>
            </w:r>
            <w:proofErr w:type="spellStart"/>
            <w:r w:rsidRPr="007C1C0F">
              <w:rPr>
                <w:rFonts w:ascii="Garamond" w:eastAsia="Times New Roman" w:hAnsi="Garamond" w:cs="Times New Roman"/>
                <w:color w:val="000000"/>
                <w:sz w:val="20"/>
                <w:szCs w:val="20"/>
                <w:lang w:eastAsia="es-ES"/>
              </w:rPr>
              <w:t>género</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5DFA2" w14:textId="77777777" w:rsidR="0009063D" w:rsidRPr="00D373AE" w:rsidRDefault="0009063D" w:rsidP="0009063D">
            <w:pPr>
              <w:jc w:val="cente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14BB4"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209FD"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60154"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6DEC39"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0C3885"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4338"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B3C1"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8C8FA"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3252B"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5B053"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A217D"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53A13D"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D590E"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5B42"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6FBF68" w14:textId="77777777" w:rsidR="0009063D" w:rsidRPr="00D373AE" w:rsidRDefault="0009063D" w:rsidP="0009063D">
            <w:pPr>
              <w:jc w:val="cente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EB6BF" w14:textId="60835B8D"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500 000</w:t>
            </w:r>
          </w:p>
        </w:tc>
      </w:tr>
      <w:tr w:rsidR="0009063D" w:rsidRPr="007C1C0F" w14:paraId="12DD65F9"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58466F63"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0547"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color w:val="000000" w:themeColor="text1"/>
                <w:sz w:val="20"/>
                <w:szCs w:val="20"/>
                <w:lang w:val="pt-PT"/>
              </w:rPr>
              <w:t xml:space="preserve">5.1.4. Criar núcleos de activistas entre os </w:t>
            </w:r>
            <w:proofErr w:type="spellStart"/>
            <w:r w:rsidRPr="00EB750A">
              <w:rPr>
                <w:rFonts w:ascii="Garamond" w:hAnsi="Garamond"/>
                <w:sz w:val="20"/>
                <w:szCs w:val="20"/>
                <w:lang w:val="pt-PT"/>
              </w:rPr>
              <w:t>atores</w:t>
            </w:r>
            <w:proofErr w:type="spellEnd"/>
            <w:r w:rsidRPr="00EB750A">
              <w:rPr>
                <w:rFonts w:ascii="Garamond" w:hAnsi="Garamond"/>
                <w:sz w:val="20"/>
                <w:szCs w:val="20"/>
                <w:lang w:val="pt-PT"/>
              </w:rPr>
              <w:t xml:space="preserve"> com responsabilidades na sensibilização no âmbito da Lei da Paridade e promover a sua boa compreensão junto dos respectivos grupos alvo</w:t>
            </w:r>
            <w:r w:rsidRPr="00EB750A">
              <w:rPr>
                <w:rFonts w:ascii="Garamond" w:hAnsi="Garamond"/>
                <w:color w:val="000000" w:themeColor="text1"/>
                <w:sz w:val="20"/>
                <w:szCs w:val="20"/>
                <w:lang w:val="pt-PT"/>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3463E"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A7D02"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Organizações de Mulheres partidárias, Partidos Políticos,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A905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F3E0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C75A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197376"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F44E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B3B70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8232B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E1150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FEF3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872F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E1AE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A24B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5E9D4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C473C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671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0159FA0"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979AA" w14:textId="2A5C2D48"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2 805 000</w:t>
            </w:r>
          </w:p>
        </w:tc>
      </w:tr>
      <w:tr w:rsidR="0009063D" w:rsidRPr="007C1C0F" w14:paraId="33B8E6E0"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529DC232"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2FCF9C"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5.1.5. Implementar a campanha e </w:t>
            </w:r>
            <w:proofErr w:type="spellStart"/>
            <w:r w:rsidRPr="00EB750A">
              <w:rPr>
                <w:rFonts w:ascii="Garamond" w:hAnsi="Garamond"/>
                <w:sz w:val="20"/>
                <w:szCs w:val="20"/>
                <w:lang w:val="pt-PT"/>
              </w:rPr>
              <w:t>ações</w:t>
            </w:r>
            <w:proofErr w:type="spellEnd"/>
            <w:r w:rsidRPr="00EB750A">
              <w:rPr>
                <w:rFonts w:ascii="Garamond" w:hAnsi="Garamond"/>
                <w:sz w:val="20"/>
                <w:szCs w:val="20"/>
                <w:lang w:val="pt-PT"/>
              </w:rPr>
              <w:t xml:space="preserve"> de sensibilização e divulgação previstas no Plano de Advocacia actualizado, a nível nacional e local</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C462D"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F028"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Organizações de Mulheres partidárias, Partidos Políticos,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Universidades </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61722"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23CB4"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FBEEC"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C5566"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35190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0DD57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C331B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56FA2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72DE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9472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B27D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33A7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45DFC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A6061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44A0C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8FF3C"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46DE6" w14:textId="2D41DCB4"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1 930 000</w:t>
            </w:r>
          </w:p>
        </w:tc>
      </w:tr>
      <w:tr w:rsidR="0009063D" w:rsidRPr="007C1C0F" w14:paraId="76644393"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577DDC71"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27EB651" w14:textId="37D08126"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5.1.6. </w:t>
            </w:r>
            <w:r>
              <w:rPr>
                <w:rFonts w:ascii="Garamond" w:hAnsi="Garamond"/>
                <w:sz w:val="20"/>
                <w:szCs w:val="20"/>
                <w:lang w:val="pt-PT"/>
              </w:rPr>
              <w:t>Re</w:t>
            </w:r>
            <w:r w:rsidRPr="00EB750A">
              <w:rPr>
                <w:rFonts w:ascii="Garamond" w:hAnsi="Garamond"/>
                <w:sz w:val="20"/>
                <w:szCs w:val="20"/>
                <w:lang w:val="pt-PT"/>
              </w:rPr>
              <w:t>al</w:t>
            </w:r>
            <w:r>
              <w:rPr>
                <w:rFonts w:ascii="Garamond" w:hAnsi="Garamond"/>
                <w:sz w:val="20"/>
                <w:szCs w:val="20"/>
                <w:lang w:val="pt-PT"/>
              </w:rPr>
              <w:t xml:space="preserve">izar </w:t>
            </w:r>
            <w:r w:rsidRPr="00EB750A">
              <w:rPr>
                <w:rFonts w:ascii="Garamond" w:hAnsi="Garamond"/>
                <w:sz w:val="20"/>
                <w:szCs w:val="20"/>
                <w:lang w:val="pt-PT"/>
              </w:rPr>
              <w:t xml:space="preserve">campanhas de advocacia junto dos partidos políticos para a elaboração das listas eleitorais, alinhadas ao calendário eleitoral. </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4FE0B"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C3D1"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Organizações de Mulheres partidárias, Partidos Políticos,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ED7E8"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DB4D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FE1B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21C9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0A0A8"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C01CE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21BBE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31B18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38AF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7DFA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CF30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4EF3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2BD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9915BC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DEB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F3B99"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E0EA3" w14:textId="52BCAC0C"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0</w:t>
            </w:r>
          </w:p>
        </w:tc>
      </w:tr>
      <w:tr w:rsidR="0009063D" w:rsidRPr="007C1C0F" w14:paraId="16D1A85B"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7F815FBA"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425031"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5.1.7. Mobilizar e capacitar os responsáveis editoriais, chefias e profissionais da comunicação social sobre a Lei da Paridade e para a cobertura eleitoral sensível ao género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B37C1"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69352"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 xml:space="preserve">-CV, </w:t>
            </w:r>
            <w:proofErr w:type="spellStart"/>
            <w:r w:rsidRPr="00EB750A">
              <w:rPr>
                <w:rFonts w:ascii="Garamond" w:eastAsia="Times New Roman" w:hAnsi="Garamond" w:cs="Times New Roman"/>
                <w:color w:val="000000"/>
                <w:sz w:val="20"/>
                <w:szCs w:val="20"/>
                <w:lang w:val="pt-PT" w:eastAsia="es-ES"/>
              </w:rPr>
              <w:t>AJOC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ARC</w:t>
            </w:r>
            <w:proofErr w:type="spellEnd"/>
            <w:r w:rsidRPr="00EB750A">
              <w:rPr>
                <w:rFonts w:ascii="Garamond" w:eastAsia="Times New Roman" w:hAnsi="Garamond" w:cs="Times New Roman"/>
                <w:color w:val="000000"/>
                <w:sz w:val="20"/>
                <w:szCs w:val="20"/>
                <w:lang w:val="pt-PT" w:eastAsia="es-ES"/>
              </w:rPr>
              <w:t>, CNE, órgãos de comunicação social</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E9112"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04909"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ED4E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AA3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C29CD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09020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9EFAC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07FF1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1B17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918D6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A6F3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9D08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7C7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33C36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B84D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84A1DE"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2B976" w14:textId="2B212D37"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2 195 000</w:t>
            </w:r>
          </w:p>
        </w:tc>
      </w:tr>
      <w:tr w:rsidR="0009063D" w:rsidRPr="007C1C0F" w14:paraId="2426DCE6"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04345F4A"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8383E25"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5.1.8. Capacitar o pessoal da CNE, </w:t>
            </w:r>
            <w:proofErr w:type="spellStart"/>
            <w:r w:rsidRPr="00EB750A">
              <w:rPr>
                <w:rFonts w:ascii="Garamond" w:hAnsi="Garamond"/>
                <w:sz w:val="20"/>
                <w:szCs w:val="20"/>
                <w:lang w:val="pt-PT"/>
              </w:rPr>
              <w:t>DGAE</w:t>
            </w:r>
            <w:proofErr w:type="spellEnd"/>
            <w:r w:rsidRPr="00EB750A">
              <w:rPr>
                <w:rFonts w:ascii="Garamond" w:hAnsi="Garamond"/>
                <w:sz w:val="20"/>
                <w:szCs w:val="20"/>
                <w:lang w:val="pt-PT"/>
              </w:rPr>
              <w:t xml:space="preserve"> e afecto às comissões de recenseamento eleitoral em género e participação política de mulheres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50E59"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CNE</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43E4E"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DGAE</w:t>
            </w:r>
            <w:proofErr w:type="spellEnd"/>
            <w:r w:rsidRPr="00EB750A">
              <w:rPr>
                <w:rFonts w:ascii="Garamond" w:eastAsia="Times New Roman" w:hAnsi="Garamond" w:cs="Times New Roman"/>
                <w:color w:val="000000"/>
                <w:sz w:val="20"/>
                <w:szCs w:val="20"/>
                <w:lang w:val="pt-PT" w:eastAsia="es-ES"/>
              </w:rPr>
              <w:t>, Comissões de recenseamento eleitoral</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7053C"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0B2E7"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C152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4F6DF"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FCA9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AD26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3675F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2F3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82A7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12C9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9244D"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290A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58D5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ED62D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F55FB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66D843"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34CD2" w14:textId="32D05D30"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855 000</w:t>
            </w:r>
          </w:p>
        </w:tc>
      </w:tr>
      <w:tr w:rsidR="0009063D" w:rsidRPr="007C1C0F" w14:paraId="15A62C01"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01F51769"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28FBEEF"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5.1.9. Integrar as questões de paridade e de género nos processos eleitorais e planos de comunicação para as eleições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9B9C"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CNE</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A96C6"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 xml:space="preserve">-CV,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Plataforma das ONG, </w:t>
            </w:r>
            <w:proofErr w:type="spellStart"/>
            <w:r w:rsidRPr="00EB750A">
              <w:rPr>
                <w:rFonts w:ascii="Garamond" w:eastAsia="Times New Roman" w:hAnsi="Garamond" w:cs="Times New Roman"/>
                <w:color w:val="000000"/>
                <w:sz w:val="20"/>
                <w:szCs w:val="20"/>
                <w:lang w:val="pt-PT" w:eastAsia="es-ES"/>
              </w:rPr>
              <w:t>OSC</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7016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C726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8CB70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572FF6"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D0B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39A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046DF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FBD84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4E81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7D0E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C724D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DE31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CC02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E4505E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00C91D"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301A14"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5421D" w14:textId="7E93DBD7"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252 000</w:t>
            </w:r>
          </w:p>
        </w:tc>
      </w:tr>
      <w:tr w:rsidR="0009063D" w:rsidRPr="007C1C0F" w14:paraId="631E5C6A" w14:textId="77777777" w:rsidTr="009F122A">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22F2D132" w14:textId="77777777" w:rsidR="0009063D" w:rsidRPr="00EB750A" w:rsidRDefault="0009063D" w:rsidP="0009063D">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5.2. Aumentadas as competências e mecanismos da Administração Pública central e local para a implementação dos princípios da paridade homem / mulher na tomada de decisão</w:t>
            </w: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585032CB"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5.2.1. Sensibilizar pessoas chave da Administração Pública sobre a Lei da Paridade e apoiar a definição de um plano de acção para a sua divulgação e a </w:t>
            </w:r>
            <w:proofErr w:type="spellStart"/>
            <w:r w:rsidRPr="00EB750A">
              <w:rPr>
                <w:rFonts w:ascii="Garamond" w:hAnsi="Garamond"/>
                <w:sz w:val="20"/>
                <w:szCs w:val="20"/>
                <w:lang w:val="pt-PT"/>
              </w:rPr>
              <w:t>adoção</w:t>
            </w:r>
            <w:proofErr w:type="spellEnd"/>
            <w:r w:rsidRPr="00EB750A">
              <w:rPr>
                <w:rFonts w:ascii="Garamond" w:hAnsi="Garamond"/>
                <w:sz w:val="20"/>
                <w:szCs w:val="20"/>
                <w:lang w:val="pt-PT"/>
              </w:rPr>
              <w:t xml:space="preserve"> de directivas na matéria</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8877"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4F43A"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 xml:space="preserve">-CV, </w:t>
            </w:r>
            <w:proofErr w:type="spellStart"/>
            <w:r w:rsidRPr="00EB750A">
              <w:rPr>
                <w:rFonts w:ascii="Garamond" w:eastAsia="Times New Roman" w:hAnsi="Garamond" w:cs="Times New Roman"/>
                <w:color w:val="000000"/>
                <w:sz w:val="20"/>
                <w:szCs w:val="20"/>
                <w:lang w:val="pt-PT" w:eastAsia="es-ES"/>
              </w:rPr>
              <w:t>CSILP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DNAP</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DGAL</w:t>
            </w:r>
            <w:proofErr w:type="spellEnd"/>
            <w:r w:rsidRPr="00EB750A">
              <w:rPr>
                <w:rFonts w:ascii="Garamond" w:eastAsia="Times New Roman" w:hAnsi="Garamond" w:cs="Times New Roman"/>
                <w:color w:val="000000"/>
                <w:sz w:val="20"/>
                <w:szCs w:val="20"/>
                <w:lang w:val="pt-PT" w:eastAsia="es-ES"/>
              </w:rPr>
              <w:t xml:space="preserve">, tutela AP, </w:t>
            </w:r>
            <w:proofErr w:type="spellStart"/>
            <w:r w:rsidRPr="00EB750A">
              <w:rPr>
                <w:rFonts w:ascii="Garamond" w:eastAsia="Times New Roman" w:hAnsi="Garamond" w:cs="Times New Roman"/>
                <w:color w:val="000000"/>
                <w:sz w:val="20"/>
                <w:szCs w:val="20"/>
                <w:lang w:val="pt-PT" w:eastAsia="es-ES"/>
              </w:rPr>
              <w:t>AMNCV</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A3B5A"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39CD8"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510A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D2FE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2E10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30568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274A30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A02F6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7115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0A2F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9140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24E1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E59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938A0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3F76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D70CB9"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FFB09" w14:textId="0965CC68"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285 000</w:t>
            </w:r>
          </w:p>
        </w:tc>
      </w:tr>
      <w:tr w:rsidR="0009063D" w:rsidRPr="007C1C0F" w14:paraId="46231B6D"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1ECC27AD"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91AD12C"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5.2.2. Estabelecer um núcleo de funcionários formados da Administração Pública para a sensibilização das instituições de Estado sobre questões de género e a Lei da Paridade</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736BD"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BBB84"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DNAP</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DGAL</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Câmaras</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Municipais</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57C0A"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4513E"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D878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5DF6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28283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9BAFD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3148"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8DA2E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F224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E32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3B983"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0C3E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9C0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5D4D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128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364F"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67068" w14:textId="215F6AA7"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3 030 000</w:t>
            </w:r>
          </w:p>
        </w:tc>
      </w:tr>
      <w:tr w:rsidR="0009063D" w:rsidRPr="007C1C0F" w14:paraId="32535FD0"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4BDFEFAD"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8FA99D6"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5.2.3. Divulgar o quadro legal em matéria de representação das mulheres na tomada de decisão, na Administração Pública central, local e empresarial do Estado, ordens profissionais e sindicatos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C8659"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DNAP</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AFBD8"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Administração Pública central, local e empresarial, Câmaras Municipais</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C5C85"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625FE"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C6CA5"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0DAF3"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4A0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1FA9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838DF"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82B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4F60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E4A4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424F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AE0C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AE5CC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293AD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C43FE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D52271"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71D7F" w14:textId="648B5D56"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1 318 000</w:t>
            </w:r>
          </w:p>
        </w:tc>
      </w:tr>
      <w:tr w:rsidR="0009063D" w:rsidRPr="007C1C0F" w14:paraId="1D3C7BAC"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438F7DC3"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7B74"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5.2.4. Assegurar a disponibilidade de dados regulares, desagregados por sexo, sobre a liderança de mulheres e homens na Administração Pública e seguir as tendências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4F445"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DNAP</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BE0E5"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CSILP</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F8556"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B0D67"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E2E7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9636C"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B7F80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B423E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2CB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CD78C"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5EDE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47AC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7FA0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03D3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39D3F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3860BF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85DD0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CDDEF"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B00D9" w14:textId="51888FD2"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500 000</w:t>
            </w:r>
          </w:p>
        </w:tc>
      </w:tr>
      <w:tr w:rsidR="0009063D" w:rsidRPr="007C1C0F" w14:paraId="41AC8A6F" w14:textId="77777777" w:rsidTr="009F122A">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34612C42" w14:textId="77777777" w:rsidR="0009063D" w:rsidRPr="00EB750A" w:rsidRDefault="0009063D" w:rsidP="0009063D">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5.3. Aumentadas as competências de liderança das mulheres na política a nível nacional e local</w:t>
            </w: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B15A"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5.3.1. Capacitar em todos os Municípios mulheres, candidatas e potenciais candidatas as eleições autárquicas, legislativas e presidenciais, em matéria de liderança e participação política</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8737"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30154" w14:textId="77777777" w:rsidR="0009063D" w:rsidRPr="00EB750A" w:rsidRDefault="0009063D" w:rsidP="0009063D">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 xml:space="preserve">Organizações de Mulheres partidárias, Partidos Políticos, CMS, </w:t>
            </w:r>
            <w:proofErr w:type="spellStart"/>
            <w:r w:rsidRPr="00EB750A">
              <w:rPr>
                <w:rFonts w:ascii="Garamond" w:eastAsia="Times New Roman" w:hAnsi="Garamond" w:cs="Times New Roman"/>
                <w:color w:val="000000"/>
                <w:sz w:val="20"/>
                <w:szCs w:val="20"/>
                <w:lang w:val="pt-PT" w:eastAsia="es-ES"/>
              </w:rPr>
              <w:t>OSC</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ICIEG</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86BDC6"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B1FA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69675D"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F28A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C47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CFF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E4224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0A4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B5C1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9132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0CAD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23D6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6A3ABD"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C1F7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307BB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E0A3"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C027" w14:textId="7F02547C"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6 180 000</w:t>
            </w:r>
          </w:p>
        </w:tc>
      </w:tr>
      <w:tr w:rsidR="0009063D" w:rsidRPr="007C1C0F" w14:paraId="110C1499"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13479E51"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42AC"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5.3.2. Reforçar as capacidades das mulheres parlamentares para a liderança em matéria de igualdade de género (participação política, orçamentos sensíveis ao género, políticas públicas, etc.)</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91A3"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RMP</w:t>
            </w:r>
            <w:proofErr w:type="spellEnd"/>
            <w:r w:rsidRPr="007C1C0F">
              <w:rPr>
                <w:rFonts w:ascii="Garamond" w:eastAsia="Times New Roman" w:hAnsi="Garamond" w:cs="Times New Roman"/>
                <w:color w:val="000000"/>
                <w:sz w:val="20"/>
                <w:szCs w:val="20"/>
                <w:lang w:eastAsia="es-ES"/>
              </w:rPr>
              <w:t>-CV</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C2D4"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103BB"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8BFB4"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F1AA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E76B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DC786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05183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E99F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B9F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E5B7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6F8D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5DEAB"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42A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D65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CB862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5ED1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C484C9"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E42C" w14:textId="17701A27"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4 785 000</w:t>
            </w:r>
          </w:p>
        </w:tc>
      </w:tr>
      <w:tr w:rsidR="0009063D" w:rsidRPr="007C1C0F" w14:paraId="61118549"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177EF64B"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645F"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5.3.3. Apoiar o desenvolvimento de Coligações/Agendas de Género locais por ilhas e capacitar as coligações existentes/líderes eleitas e candidatas locais em matéria de igualdade de género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69B81"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87B9A" w14:textId="77777777" w:rsidR="0009063D" w:rsidRPr="00EB750A" w:rsidRDefault="0009063D" w:rsidP="0009063D">
            <w:pPr>
              <w:jc w:val="center"/>
              <w:rPr>
                <w:rFonts w:ascii="Garamond" w:eastAsia="Times New Roman" w:hAnsi="Garamond" w:cs="Times New Roman"/>
                <w:color w:val="FF0000"/>
                <w:sz w:val="20"/>
                <w:szCs w:val="20"/>
                <w:lang w:val="pt-PT" w:eastAsia="es-ES"/>
              </w:rPr>
            </w:pPr>
            <w:r w:rsidRPr="00EB750A">
              <w:rPr>
                <w:rFonts w:ascii="Garamond" w:eastAsia="Times New Roman" w:hAnsi="Garamond" w:cs="Times New Roman"/>
                <w:sz w:val="20"/>
                <w:szCs w:val="20"/>
                <w:lang w:val="pt-PT" w:eastAsia="es-ES"/>
              </w:rPr>
              <w:t xml:space="preserve">Programa </w:t>
            </w:r>
            <w:proofErr w:type="spellStart"/>
            <w:r w:rsidRPr="00EB750A">
              <w:rPr>
                <w:rFonts w:ascii="Garamond" w:eastAsia="Times New Roman" w:hAnsi="Garamond" w:cs="Times New Roman"/>
                <w:sz w:val="20"/>
                <w:szCs w:val="20"/>
                <w:lang w:val="pt-PT" w:eastAsia="es-ES"/>
              </w:rPr>
              <w:t>DEL</w:t>
            </w:r>
            <w:proofErr w:type="spellEnd"/>
            <w:r w:rsidRPr="00EB750A">
              <w:rPr>
                <w:rFonts w:ascii="Garamond" w:eastAsia="Times New Roman" w:hAnsi="Garamond" w:cs="Times New Roman"/>
                <w:sz w:val="20"/>
                <w:szCs w:val="20"/>
                <w:lang w:val="pt-PT" w:eastAsia="es-ES"/>
              </w:rPr>
              <w:t xml:space="preserve">, </w:t>
            </w:r>
            <w:r w:rsidRPr="00EB750A">
              <w:rPr>
                <w:rFonts w:ascii="Garamond" w:eastAsia="Times New Roman" w:hAnsi="Garamond" w:cs="Times New Roman"/>
                <w:color w:val="000000"/>
                <w:sz w:val="20"/>
                <w:szCs w:val="20"/>
                <w:lang w:val="pt-PT" w:eastAsia="es-ES"/>
              </w:rPr>
              <w:t xml:space="preserve">Organizações de Mulheres partidárias, </w:t>
            </w: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 xml:space="preserve">-CV, </w:t>
            </w:r>
            <w:proofErr w:type="spellStart"/>
            <w:r w:rsidRPr="00EB750A">
              <w:rPr>
                <w:rFonts w:ascii="Garamond" w:eastAsia="Times New Roman" w:hAnsi="Garamond" w:cs="Times New Roman"/>
                <w:color w:val="000000"/>
                <w:sz w:val="20"/>
                <w:szCs w:val="20"/>
                <w:lang w:val="pt-PT" w:eastAsia="es-ES"/>
              </w:rPr>
              <w:t>OSC</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AB7AF"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58E43"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F8A7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ECC5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13343"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8A8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61F5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5C904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8384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2F97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A357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2A04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9CC840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33D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BD8DC" w14:textId="20C2DE22"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3F45"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7219E" w14:textId="42A7FC72"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6 570 000</w:t>
            </w:r>
          </w:p>
        </w:tc>
      </w:tr>
      <w:tr w:rsidR="0009063D" w:rsidRPr="007C1C0F" w14:paraId="34FD9857"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78332805" w14:textId="77777777" w:rsidR="0009063D" w:rsidRPr="007C1C0F" w:rsidRDefault="0009063D" w:rsidP="0009063D">
            <w:pPr>
              <w:spacing w:after="240"/>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5D93343C"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5.3.4. Desenvolver instrumentos de análise das prioridades de género das plataformas políticas dos partidos e advogar </w:t>
            </w:r>
            <w:proofErr w:type="spellStart"/>
            <w:r w:rsidRPr="00EB750A">
              <w:rPr>
                <w:rFonts w:ascii="Garamond" w:hAnsi="Garamond"/>
                <w:sz w:val="20"/>
                <w:szCs w:val="20"/>
                <w:lang w:val="pt-PT"/>
              </w:rPr>
              <w:t>pela</w:t>
            </w:r>
            <w:proofErr w:type="spellEnd"/>
            <w:r w:rsidRPr="00EB750A">
              <w:rPr>
                <w:rFonts w:ascii="Garamond" w:hAnsi="Garamond"/>
                <w:sz w:val="20"/>
                <w:szCs w:val="20"/>
                <w:lang w:val="pt-PT"/>
              </w:rPr>
              <w:t xml:space="preserve"> definição e </w:t>
            </w:r>
            <w:proofErr w:type="spellStart"/>
            <w:r w:rsidRPr="00EB750A">
              <w:rPr>
                <w:rFonts w:ascii="Garamond" w:hAnsi="Garamond"/>
                <w:sz w:val="20"/>
                <w:szCs w:val="20"/>
                <w:lang w:val="pt-PT"/>
              </w:rPr>
              <w:t>visibilização</w:t>
            </w:r>
            <w:proofErr w:type="spellEnd"/>
            <w:r w:rsidRPr="00EB750A">
              <w:rPr>
                <w:rFonts w:ascii="Garamond" w:hAnsi="Garamond"/>
                <w:sz w:val="20"/>
                <w:szCs w:val="20"/>
                <w:lang w:val="pt-PT"/>
              </w:rPr>
              <w:t xml:space="preserve"> das suas prioridades de género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7DBB4"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7689" w14:textId="77777777" w:rsidR="0009063D" w:rsidRPr="00EB750A" w:rsidRDefault="0009063D" w:rsidP="0009063D">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RMP</w:t>
            </w:r>
            <w:proofErr w:type="spellEnd"/>
            <w:r w:rsidRPr="00EB750A">
              <w:rPr>
                <w:rFonts w:ascii="Garamond" w:eastAsia="Times New Roman" w:hAnsi="Garamond" w:cs="Times New Roman"/>
                <w:color w:val="000000"/>
                <w:sz w:val="20"/>
                <w:szCs w:val="20"/>
                <w:lang w:val="pt-PT" w:eastAsia="es-ES"/>
              </w:rPr>
              <w:t xml:space="preserve">-CV, Organizações de Mulheres partidárias, Partidos Políticos, CMS, </w:t>
            </w:r>
            <w:proofErr w:type="spellStart"/>
            <w:r w:rsidRPr="00EB750A">
              <w:rPr>
                <w:rFonts w:ascii="Garamond" w:eastAsia="Times New Roman" w:hAnsi="Garamond" w:cs="Times New Roman"/>
                <w:color w:val="000000"/>
                <w:sz w:val="20"/>
                <w:szCs w:val="20"/>
                <w:lang w:val="pt-PT" w:eastAsia="es-ES"/>
              </w:rPr>
              <w:t>OSC</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44035"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0144E" w14:textId="77777777" w:rsidR="0009063D" w:rsidRPr="00D373AE" w:rsidRDefault="0009063D" w:rsidP="0009063D">
            <w:pPr>
              <w:rPr>
                <w:rFonts w:ascii="Garamond" w:eastAsia="Times New Roman" w:hAnsi="Garamond" w:cs="Times New Roman"/>
                <w:color w:val="000000"/>
                <w:sz w:val="12"/>
                <w:szCs w:val="12"/>
                <w:lang w:val="pt-PT"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7F97C"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ADB58"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D9BE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E99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EA4FE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08C7F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EBD6D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D27C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EAC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8496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44141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C26D2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E3162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D51ECC"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B4907" w14:textId="418C76AF"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1 350 000</w:t>
            </w:r>
          </w:p>
        </w:tc>
      </w:tr>
      <w:tr w:rsidR="0009063D" w:rsidRPr="007C1C0F" w14:paraId="6ED1B8B2" w14:textId="77777777" w:rsidTr="009F122A">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7FCA12C0" w14:textId="77777777" w:rsidR="0009063D" w:rsidRPr="00EB750A" w:rsidRDefault="0009063D" w:rsidP="0009063D">
            <w:pPr>
              <w:spacing w:after="24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5.4. Aumentada a compreensão e adesão das comunidades, em particular nas áreas rurais, em relação à participação de homens e mulheres na tomada de decisão e liderança</w:t>
            </w: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E4517"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5.4.1. Rever a inclusão das questões de participação de homens e mulheres na liderança e tomada de decisão nos projectos de agricultura, pecuária, florestas, mudanças climáticas, riscos de desastres, epidemias de saúde</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D4838" w14:textId="5A2E60C3" w:rsidR="0009063D" w:rsidRPr="007C1C0F" w:rsidRDefault="0009063D" w:rsidP="0009063D">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MAA/</w:t>
            </w:r>
            <w:proofErr w:type="spellStart"/>
            <w:r>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83D0C" w14:textId="0ABEB3A5" w:rsidR="0009063D" w:rsidRPr="007C1C0F" w:rsidRDefault="0009063D" w:rsidP="0009063D">
            <w:pPr>
              <w:jc w:val="center"/>
              <w:rPr>
                <w:rFonts w:ascii="Garamond" w:eastAsia="Times New Roman" w:hAnsi="Garamond" w:cs="Times New Roman"/>
                <w:color w:val="000000"/>
                <w:sz w:val="20"/>
                <w:szCs w:val="20"/>
                <w:lang w:eastAsia="es-ES"/>
              </w:rPr>
            </w:pPr>
            <w:r w:rsidRPr="007C1C0F">
              <w:rPr>
                <w:rFonts w:ascii="Garamond" w:eastAsia="Times New Roman" w:hAnsi="Garamond" w:cs="Times New Roman"/>
                <w:color w:val="000000"/>
                <w:sz w:val="20"/>
                <w:szCs w:val="20"/>
                <w:lang w:eastAsia="es-ES"/>
              </w:rPr>
              <w:t>POSER</w:t>
            </w:r>
            <w:r>
              <w:rPr>
                <w:rFonts w:ascii="Garamond" w:eastAsia="Times New Roman" w:hAnsi="Garamond" w:cs="Times New Roman"/>
                <w:color w:val="000000"/>
                <w:sz w:val="20"/>
                <w:szCs w:val="20"/>
                <w:lang w:eastAsia="es-ES"/>
              </w:rPr>
              <w:t>-C</w:t>
            </w:r>
            <w:r w:rsidRPr="007C1C0F">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SNPC</w:t>
            </w:r>
            <w:proofErr w:type="spellEnd"/>
            <w:r w:rsidRPr="007C1C0F">
              <w:rPr>
                <w:rFonts w:ascii="Garamond" w:eastAsia="Times New Roman" w:hAnsi="Garamond" w:cs="Times New Roman"/>
                <w:color w:val="000000"/>
                <w:sz w:val="20"/>
                <w:szCs w:val="20"/>
                <w:lang w:eastAsia="es-ES"/>
              </w:rPr>
              <w:t>, MS</w:t>
            </w:r>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AD1BE"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D64CD"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0F333"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EC67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96E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061E0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397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98E0F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BA0A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DF0B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981F6"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BAB8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F7EB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7CAF8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7D790"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C5AE9E"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8AE41" w14:textId="44B1E62D"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585 000</w:t>
            </w:r>
          </w:p>
        </w:tc>
      </w:tr>
      <w:tr w:rsidR="0009063D" w:rsidRPr="007C1C0F" w14:paraId="2A47B803"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7EA770A2" w14:textId="77777777" w:rsidR="0009063D" w:rsidRPr="007C1C0F" w:rsidRDefault="0009063D" w:rsidP="0009063D">
            <w:pPr>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ED4F"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5.4.2. Desenvolver abordagens e instrumentos para trabalhar as questões de participação nos projectos acima referenciados e reforçar as capacidades dos vários intervenientes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4F6A6"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6F707" w14:textId="77777777" w:rsidR="0009063D" w:rsidRPr="00B072D9" w:rsidRDefault="0009063D" w:rsidP="0009063D">
            <w:pPr>
              <w:jc w:val="center"/>
              <w:rPr>
                <w:rFonts w:ascii="Garamond" w:eastAsia="Times New Roman" w:hAnsi="Garamond" w:cs="Times New Roman"/>
                <w:color w:val="000000"/>
                <w:sz w:val="20"/>
                <w:szCs w:val="20"/>
                <w:lang w:val="fr-FR" w:eastAsia="es-ES"/>
              </w:rPr>
            </w:pPr>
            <w:r w:rsidRPr="00B072D9">
              <w:rPr>
                <w:rFonts w:ascii="Garamond" w:eastAsia="Times New Roman" w:hAnsi="Garamond" w:cs="Times New Roman"/>
                <w:color w:val="000000"/>
                <w:sz w:val="20"/>
                <w:szCs w:val="20"/>
                <w:lang w:val="fr-FR" w:eastAsia="es-ES"/>
              </w:rPr>
              <w:t xml:space="preserve">MAA, POSER-C, </w:t>
            </w:r>
            <w:proofErr w:type="spellStart"/>
            <w:r w:rsidRPr="00B072D9">
              <w:rPr>
                <w:rFonts w:ascii="Garamond" w:eastAsia="Times New Roman" w:hAnsi="Garamond" w:cs="Times New Roman"/>
                <w:color w:val="000000"/>
                <w:sz w:val="20"/>
                <w:szCs w:val="20"/>
                <w:lang w:val="fr-FR" w:eastAsia="es-ES"/>
              </w:rPr>
              <w:t>SNPC</w:t>
            </w:r>
            <w:proofErr w:type="spellEnd"/>
            <w:r w:rsidRPr="00B072D9">
              <w:rPr>
                <w:rFonts w:ascii="Garamond" w:eastAsia="Times New Roman" w:hAnsi="Garamond" w:cs="Times New Roman"/>
                <w:color w:val="000000"/>
                <w:sz w:val="20"/>
                <w:szCs w:val="20"/>
                <w:lang w:val="fr-FR" w:eastAsia="es-ES"/>
              </w:rPr>
              <w:t>, MS</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F8E47"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1FF40"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A22B4"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20EF6" w14:textId="1FB02899" w:rsidR="0009063D" w:rsidRPr="005808D4" w:rsidRDefault="0009063D" w:rsidP="0009063D">
            <w:pPr>
              <w:rPr>
                <w:rFonts w:ascii="Garamond" w:eastAsia="Times New Roman" w:hAnsi="Garamond" w:cs="Times New Roman"/>
                <w:color w:val="000000"/>
                <w:sz w:val="12"/>
                <w:szCs w:val="12"/>
                <w:lang w:val="fr-FR"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4B65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14835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0A3D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9A17C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F926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1249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6334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B583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C26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B6628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EFB9B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F93E"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DAB0C" w14:textId="77D81493"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1 410 000</w:t>
            </w:r>
          </w:p>
        </w:tc>
      </w:tr>
      <w:tr w:rsidR="0009063D" w:rsidRPr="007C1C0F" w14:paraId="1D71E04F"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1C6B1DF7" w14:textId="77777777" w:rsidR="0009063D" w:rsidRPr="007C1C0F" w:rsidRDefault="0009063D" w:rsidP="0009063D">
            <w:pPr>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3C29"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5.4.3. Seguir e analisar a participação equitativa de mulheres e homens nos projectos acima referenciados, e identificar e divulgar boas práticas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5C9E8"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FC163" w14:textId="77777777" w:rsidR="0009063D" w:rsidRPr="009200C5" w:rsidRDefault="0009063D" w:rsidP="0009063D">
            <w:pPr>
              <w:jc w:val="center"/>
              <w:rPr>
                <w:rFonts w:ascii="Garamond" w:eastAsia="Times New Roman" w:hAnsi="Garamond" w:cs="Times New Roman"/>
                <w:color w:val="000000"/>
                <w:sz w:val="20"/>
                <w:szCs w:val="20"/>
                <w:lang w:val="fr-FR" w:eastAsia="es-ES"/>
              </w:rPr>
            </w:pPr>
            <w:r w:rsidRPr="009200C5">
              <w:rPr>
                <w:rFonts w:ascii="Garamond" w:eastAsia="Times New Roman" w:hAnsi="Garamond" w:cs="Times New Roman"/>
                <w:color w:val="000000"/>
                <w:sz w:val="20"/>
                <w:szCs w:val="20"/>
                <w:lang w:val="fr-FR" w:eastAsia="es-ES"/>
              </w:rPr>
              <w:t xml:space="preserve">MAA, POSER-C, </w:t>
            </w:r>
            <w:proofErr w:type="spellStart"/>
            <w:r w:rsidRPr="009200C5">
              <w:rPr>
                <w:rFonts w:ascii="Garamond" w:eastAsia="Times New Roman" w:hAnsi="Garamond" w:cs="Times New Roman"/>
                <w:color w:val="000000"/>
                <w:sz w:val="20"/>
                <w:szCs w:val="20"/>
                <w:lang w:val="fr-FR" w:eastAsia="es-ES"/>
              </w:rPr>
              <w:t>SNPC</w:t>
            </w:r>
            <w:proofErr w:type="spellEnd"/>
            <w:r w:rsidRPr="009200C5">
              <w:rPr>
                <w:rFonts w:ascii="Garamond" w:eastAsia="Times New Roman" w:hAnsi="Garamond" w:cs="Times New Roman"/>
                <w:color w:val="000000"/>
                <w:sz w:val="20"/>
                <w:szCs w:val="20"/>
                <w:lang w:val="fr-FR" w:eastAsia="es-ES"/>
              </w:rPr>
              <w:t>, MS</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AF9AF"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99F32"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CF4F1" w14:textId="77777777" w:rsidR="0009063D" w:rsidRPr="00D373AE" w:rsidRDefault="0009063D" w:rsidP="0009063D">
            <w:pPr>
              <w:rPr>
                <w:rFonts w:ascii="Garamond" w:eastAsia="Times New Roman" w:hAnsi="Garamond" w:cs="Times New Roman"/>
                <w:color w:val="000000"/>
                <w:sz w:val="12"/>
                <w:szCs w:val="12"/>
                <w:lang w:val="fr-FR"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D88BB"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735D3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B63B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BC420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364B"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8C6D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1200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6013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A353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4921EE"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A766D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21864C"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9E7E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5286" w14:textId="379A4F80"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0</w:t>
            </w:r>
          </w:p>
        </w:tc>
      </w:tr>
      <w:tr w:rsidR="0009063D" w:rsidRPr="007C1C0F" w14:paraId="329734E4"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34B6F378" w14:textId="77777777" w:rsidR="0009063D" w:rsidRPr="007C1C0F" w:rsidRDefault="0009063D" w:rsidP="0009063D">
            <w:pPr>
              <w:rPr>
                <w:rFonts w:ascii="Garamond" w:eastAsia="Times New Roman" w:hAnsi="Garamond" w:cs="Times New Roman"/>
                <w:color w:val="000000"/>
                <w:sz w:val="20"/>
                <w:szCs w:val="20"/>
                <w:lang w:eastAsia="es-ES"/>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01FB"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5.4.4. Reforçar as capacidades das organizações comunitárias de base em matéria de participação de mulheres e homens na tomada de decisão, incluindo na liderança política</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3EDA6" w14:textId="77777777" w:rsidR="0009063D" w:rsidRPr="007C1C0F" w:rsidRDefault="0009063D" w:rsidP="0009063D">
            <w:pPr>
              <w:jc w:val="center"/>
              <w:rPr>
                <w:rFonts w:ascii="Garamond" w:eastAsia="Times New Roman" w:hAnsi="Garamond" w:cs="Times New Roman"/>
                <w:color w:val="000000"/>
                <w:sz w:val="20"/>
                <w:szCs w:val="20"/>
                <w:lang w:eastAsia="es-ES"/>
              </w:rPr>
            </w:pPr>
            <w:r w:rsidRPr="007C1C0F">
              <w:rPr>
                <w:rFonts w:ascii="Garamond" w:eastAsia="Times New Roman" w:hAnsi="Garamond" w:cs="Times New Roman"/>
                <w:color w:val="000000"/>
                <w:sz w:val="20"/>
                <w:szCs w:val="20"/>
                <w:lang w:eastAsia="es-ES"/>
              </w:rPr>
              <w:t>POSER-C</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0CF9E"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ICIEG</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OSC</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9EA32"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A3524"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569AB"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3727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AA1D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046F8"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EF6DF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5A565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F8851"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D9285"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AE556"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CF91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ECFA7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508A0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C2B9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B16C7D"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BE46E" w14:textId="35E8C455"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1 440 000</w:t>
            </w:r>
          </w:p>
        </w:tc>
      </w:tr>
      <w:tr w:rsidR="0009063D" w:rsidRPr="007C1C0F" w14:paraId="207977E2" w14:textId="77777777" w:rsidTr="009F122A">
        <w:trPr>
          <w:trHeight w:val="615"/>
        </w:trPr>
        <w:tc>
          <w:tcPr>
            <w:tcW w:w="1768" w:type="dxa"/>
            <w:vMerge w:val="restart"/>
            <w:tcBorders>
              <w:top w:val="single" w:sz="4" w:space="0" w:color="auto"/>
              <w:left w:val="single" w:sz="4" w:space="0" w:color="auto"/>
              <w:right w:val="single" w:sz="4" w:space="0" w:color="auto"/>
            </w:tcBorders>
            <w:shd w:val="clear" w:color="auto" w:fill="FFFFFF" w:themeFill="background1"/>
          </w:tcPr>
          <w:p w14:paraId="6DD4DC14" w14:textId="77777777" w:rsidR="0009063D" w:rsidRPr="00EB750A" w:rsidRDefault="0009063D" w:rsidP="0009063D">
            <w:pPr>
              <w:rPr>
                <w:rFonts w:ascii="Garamond" w:hAnsi="Garamond"/>
                <w:sz w:val="20"/>
                <w:szCs w:val="20"/>
                <w:lang w:val="pt-PT"/>
              </w:rPr>
            </w:pPr>
            <w:r w:rsidRPr="00EB750A">
              <w:rPr>
                <w:rFonts w:ascii="Garamond" w:hAnsi="Garamond"/>
                <w:sz w:val="20"/>
                <w:szCs w:val="20"/>
                <w:lang w:val="pt-PT"/>
              </w:rPr>
              <w:t>5.5. Protegidos os direitos das mulheres e homens com deficiência e das mulheres imigrantes à participação política e liderança</w:t>
            </w: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BCF86"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5.5.1. Realizar um levantamento participativo das necessidades de mulheres com deficiência e mulheres imigrantes</w:t>
            </w:r>
            <w:r w:rsidRPr="00EB750A">
              <w:rPr>
                <w:rFonts w:ascii="Garamond" w:hAnsi="Garamond" w:cs="Times New Roman"/>
                <w:bCs/>
                <w:sz w:val="20"/>
                <w:szCs w:val="20"/>
                <w:lang w:val="pt-PT"/>
              </w:rPr>
              <w:t xml:space="preserve"> para um maior acesso à participação cívica</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4FCA7" w14:textId="77777777" w:rsidR="0009063D" w:rsidRDefault="0009063D" w:rsidP="0009063D">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w:t>
            </w:r>
          </w:p>
          <w:p w14:paraId="6FFD7C9D"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CNE</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28D17"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val="en-GB" w:eastAsia="es-ES"/>
              </w:rPr>
              <w:t>APIMUD</w:t>
            </w:r>
            <w:proofErr w:type="spellEnd"/>
            <w:r w:rsidRPr="007C1C0F">
              <w:rPr>
                <w:rFonts w:ascii="Garamond" w:eastAsia="Times New Roman" w:hAnsi="Garamond" w:cs="Times New Roman"/>
                <w:color w:val="000000"/>
                <w:sz w:val="20"/>
                <w:szCs w:val="20"/>
                <w:lang w:val="en-GB" w:eastAsia="es-ES"/>
              </w:rPr>
              <w:t xml:space="preserve">, Ass. </w:t>
            </w:r>
            <w:proofErr w:type="spellStart"/>
            <w:proofErr w:type="gramStart"/>
            <w:r w:rsidRPr="007C1C0F">
              <w:rPr>
                <w:rFonts w:ascii="Garamond" w:eastAsia="Times New Roman" w:hAnsi="Garamond" w:cs="Times New Roman"/>
                <w:color w:val="000000"/>
                <w:sz w:val="20"/>
                <w:szCs w:val="20"/>
                <w:lang w:val="en-GB" w:eastAsia="es-ES"/>
              </w:rPr>
              <w:t>PcD</w:t>
            </w:r>
            <w:proofErr w:type="spellEnd"/>
            <w:r w:rsidRPr="007C1C0F">
              <w:rPr>
                <w:rFonts w:ascii="Garamond" w:eastAsia="Times New Roman" w:hAnsi="Garamond" w:cs="Times New Roman"/>
                <w:color w:val="000000"/>
                <w:sz w:val="20"/>
                <w:szCs w:val="20"/>
                <w:lang w:val="en-GB" w:eastAsia="es-ES"/>
              </w:rPr>
              <w:t xml:space="preserve">,  </w:t>
            </w:r>
            <w:proofErr w:type="spellStart"/>
            <w:r w:rsidRPr="007C1C0F">
              <w:rPr>
                <w:rFonts w:ascii="Garamond" w:eastAsia="Times New Roman" w:hAnsi="Garamond" w:cs="Times New Roman"/>
                <w:color w:val="000000"/>
                <w:sz w:val="20"/>
                <w:szCs w:val="20"/>
                <w:lang w:val="en-GB" w:eastAsia="es-ES"/>
              </w:rPr>
              <w:t>DGIS</w:t>
            </w:r>
            <w:proofErr w:type="spellEnd"/>
            <w:proofErr w:type="gramEnd"/>
            <w:r w:rsidRPr="007C1C0F">
              <w:rPr>
                <w:rFonts w:ascii="Garamond" w:eastAsia="Times New Roman" w:hAnsi="Garamond" w:cs="Times New Roman"/>
                <w:color w:val="000000"/>
                <w:sz w:val="20"/>
                <w:szCs w:val="20"/>
                <w:lang w:val="en-GB" w:eastAsia="es-ES"/>
              </w:rPr>
              <w:t xml:space="preserve">, </w:t>
            </w:r>
            <w:proofErr w:type="spellStart"/>
            <w:r w:rsidRPr="007C1C0F">
              <w:rPr>
                <w:rFonts w:ascii="Garamond" w:eastAsia="Times New Roman" w:hAnsi="Garamond" w:cs="Times New Roman"/>
                <w:color w:val="000000"/>
                <w:sz w:val="20"/>
                <w:szCs w:val="20"/>
                <w:lang w:val="en-GB" w:eastAsia="es-ES"/>
              </w:rPr>
              <w:t>DGI</w:t>
            </w:r>
            <w:proofErr w:type="spellEnd"/>
            <w:r w:rsidRPr="007C1C0F">
              <w:rPr>
                <w:rFonts w:ascii="Garamond" w:eastAsia="Times New Roman" w:hAnsi="Garamond" w:cs="Times New Roman"/>
                <w:color w:val="000000"/>
                <w:sz w:val="20"/>
                <w:szCs w:val="20"/>
                <w:lang w:val="en-GB" w:eastAsia="es-ES"/>
              </w:rPr>
              <w:t xml:space="preserve">, Ass. </w:t>
            </w:r>
            <w:proofErr w:type="spellStart"/>
            <w:r w:rsidRPr="007C1C0F">
              <w:rPr>
                <w:rFonts w:ascii="Garamond" w:eastAsia="Times New Roman" w:hAnsi="Garamond" w:cs="Times New Roman"/>
                <w:color w:val="000000"/>
                <w:sz w:val="20"/>
                <w:szCs w:val="20"/>
                <w:lang w:eastAsia="es-ES"/>
              </w:rPr>
              <w:t>Mulheres</w:t>
            </w:r>
            <w:proofErr w:type="spellEnd"/>
            <w:r w:rsidRPr="007C1C0F">
              <w:rPr>
                <w:rFonts w:ascii="Garamond" w:eastAsia="Times New Roman" w:hAnsi="Garamond" w:cs="Times New Roman"/>
                <w:color w:val="000000"/>
                <w:sz w:val="20"/>
                <w:szCs w:val="20"/>
                <w:lang w:eastAsia="es-ES"/>
              </w:rPr>
              <w:t xml:space="preserve"> </w:t>
            </w:r>
            <w:proofErr w:type="spellStart"/>
            <w:r w:rsidRPr="007C1C0F">
              <w:rPr>
                <w:rFonts w:ascii="Garamond" w:eastAsia="Times New Roman" w:hAnsi="Garamond" w:cs="Times New Roman"/>
                <w:color w:val="000000"/>
                <w:sz w:val="20"/>
                <w:szCs w:val="20"/>
                <w:lang w:eastAsia="es-ES"/>
              </w:rPr>
              <w:t>Muçulmanas</w:t>
            </w:r>
            <w:proofErr w:type="spellEnd"/>
            <w:r w:rsidRPr="007C1C0F">
              <w:rPr>
                <w:rFonts w:ascii="Garamond" w:eastAsia="Times New Roman" w:hAnsi="Garamond" w:cs="Times New Roman"/>
                <w:color w:val="000000"/>
                <w:sz w:val="20"/>
                <w:szCs w:val="20"/>
                <w:lang w:eastAsia="es-ES"/>
              </w:rPr>
              <w:t xml:space="preserve">, Ass. </w:t>
            </w:r>
            <w:proofErr w:type="spellStart"/>
            <w:r w:rsidRPr="007C1C0F">
              <w:rPr>
                <w:rFonts w:ascii="Garamond" w:eastAsia="Times New Roman" w:hAnsi="Garamond" w:cs="Times New Roman"/>
                <w:color w:val="000000"/>
                <w:sz w:val="20"/>
                <w:szCs w:val="20"/>
                <w:lang w:eastAsia="es-ES"/>
              </w:rPr>
              <w:t>Imigrantes</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BA782"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6259B"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D7D0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3627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54798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6AF7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4570D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07E74A"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0D84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5DFD5"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89F2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EA4E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686CC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21359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463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BF381F"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8C13A" w14:textId="3DC0BAC2"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659 000</w:t>
            </w:r>
          </w:p>
        </w:tc>
      </w:tr>
      <w:tr w:rsidR="0009063D" w:rsidRPr="007C1C0F" w14:paraId="75803B0B"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6EF8DA36" w14:textId="77777777" w:rsidR="0009063D" w:rsidRPr="007C1C0F" w:rsidRDefault="0009063D" w:rsidP="0009063D">
            <w:pPr>
              <w:rPr>
                <w:rFonts w:ascii="Garamond" w:hAnsi="Garamond"/>
                <w:sz w:val="20"/>
                <w:szCs w:val="20"/>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5BD843E6"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cs="Times New Roman"/>
                <w:bCs/>
                <w:sz w:val="20"/>
                <w:szCs w:val="20"/>
                <w:lang w:val="pt-PT"/>
              </w:rPr>
              <w:t xml:space="preserve">5.5.2. Assegurar um quadro legal, procedimentos e materiais apropriados à </w:t>
            </w:r>
            <w:proofErr w:type="spellStart"/>
            <w:r w:rsidRPr="00EB750A">
              <w:rPr>
                <w:rFonts w:ascii="Garamond" w:hAnsi="Garamond" w:cs="Times New Roman"/>
                <w:bCs/>
                <w:sz w:val="20"/>
                <w:szCs w:val="20"/>
                <w:lang w:val="pt-PT"/>
              </w:rPr>
              <w:t>proteção</w:t>
            </w:r>
            <w:proofErr w:type="spellEnd"/>
            <w:r w:rsidRPr="00EB750A">
              <w:rPr>
                <w:rFonts w:ascii="Garamond" w:hAnsi="Garamond" w:cs="Times New Roman"/>
                <w:bCs/>
                <w:sz w:val="20"/>
                <w:szCs w:val="20"/>
                <w:lang w:val="pt-PT"/>
              </w:rPr>
              <w:t xml:space="preserve"> do direito ao voto secreto das mulheres e homens com deficiência e sua divulgação sensível ao género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1B92E"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CNE</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9DF65" w14:textId="77777777" w:rsidR="0009063D" w:rsidRPr="007C1C0F" w:rsidRDefault="0009063D" w:rsidP="0009063D">
            <w:pPr>
              <w:jc w:val="center"/>
              <w:rPr>
                <w:rFonts w:ascii="Garamond" w:eastAsia="Times New Roman" w:hAnsi="Garamond" w:cs="Times New Roman"/>
                <w:color w:val="000000"/>
                <w:sz w:val="20"/>
                <w:szCs w:val="20"/>
                <w:lang w:val="en-GB" w:eastAsia="es-ES"/>
              </w:rPr>
            </w:pPr>
            <w:proofErr w:type="spellStart"/>
            <w:r w:rsidRPr="007C1C0F">
              <w:rPr>
                <w:rFonts w:ascii="Garamond" w:eastAsia="Times New Roman" w:hAnsi="Garamond" w:cs="Times New Roman"/>
                <w:color w:val="000000"/>
                <w:sz w:val="20"/>
                <w:szCs w:val="20"/>
                <w:lang w:val="en-GB" w:eastAsia="es-ES"/>
              </w:rPr>
              <w:t>ICIEG</w:t>
            </w:r>
            <w:proofErr w:type="spellEnd"/>
            <w:r w:rsidRPr="007C1C0F">
              <w:rPr>
                <w:rFonts w:ascii="Garamond" w:eastAsia="Times New Roman" w:hAnsi="Garamond" w:cs="Times New Roman"/>
                <w:color w:val="000000"/>
                <w:sz w:val="20"/>
                <w:szCs w:val="20"/>
                <w:lang w:val="en-GB" w:eastAsia="es-ES"/>
              </w:rPr>
              <w:t xml:space="preserve">, </w:t>
            </w:r>
            <w:proofErr w:type="spellStart"/>
            <w:r w:rsidRPr="007C1C0F">
              <w:rPr>
                <w:rFonts w:ascii="Garamond" w:eastAsia="Times New Roman" w:hAnsi="Garamond" w:cs="Times New Roman"/>
                <w:color w:val="000000"/>
                <w:sz w:val="20"/>
                <w:szCs w:val="20"/>
                <w:lang w:val="en-GB" w:eastAsia="es-ES"/>
              </w:rPr>
              <w:t>DGIS</w:t>
            </w:r>
            <w:proofErr w:type="spellEnd"/>
            <w:r w:rsidRPr="007C1C0F">
              <w:rPr>
                <w:rFonts w:ascii="Garamond" w:eastAsia="Times New Roman" w:hAnsi="Garamond" w:cs="Times New Roman"/>
                <w:color w:val="000000"/>
                <w:sz w:val="20"/>
                <w:szCs w:val="20"/>
                <w:lang w:val="en-GB" w:eastAsia="es-ES"/>
              </w:rPr>
              <w:t xml:space="preserve">, </w:t>
            </w:r>
            <w:proofErr w:type="spellStart"/>
            <w:r w:rsidRPr="007C1C0F">
              <w:rPr>
                <w:rFonts w:ascii="Garamond" w:eastAsia="Times New Roman" w:hAnsi="Garamond" w:cs="Times New Roman"/>
                <w:color w:val="000000"/>
                <w:sz w:val="20"/>
                <w:szCs w:val="20"/>
                <w:lang w:val="en-GB" w:eastAsia="es-ES"/>
              </w:rPr>
              <w:t>APIMUD</w:t>
            </w:r>
            <w:proofErr w:type="spellEnd"/>
            <w:r w:rsidRPr="007C1C0F">
              <w:rPr>
                <w:rFonts w:ascii="Garamond" w:eastAsia="Times New Roman" w:hAnsi="Garamond" w:cs="Times New Roman"/>
                <w:color w:val="000000"/>
                <w:sz w:val="20"/>
                <w:szCs w:val="20"/>
                <w:lang w:val="en-GB" w:eastAsia="es-ES"/>
              </w:rPr>
              <w:t xml:space="preserve">, Ass. </w:t>
            </w:r>
            <w:proofErr w:type="spellStart"/>
            <w:r w:rsidRPr="007C1C0F">
              <w:rPr>
                <w:rFonts w:ascii="Garamond" w:eastAsia="Times New Roman" w:hAnsi="Garamond" w:cs="Times New Roman"/>
                <w:color w:val="000000"/>
                <w:sz w:val="20"/>
                <w:szCs w:val="20"/>
                <w:lang w:val="en-GB" w:eastAsia="es-ES"/>
              </w:rPr>
              <w:t>PcD</w:t>
            </w:r>
            <w:proofErr w:type="spellEnd"/>
            <w:r w:rsidRPr="007C1C0F">
              <w:rPr>
                <w:rFonts w:ascii="Garamond" w:eastAsia="Times New Roman" w:hAnsi="Garamond" w:cs="Times New Roman"/>
                <w:color w:val="000000"/>
                <w:sz w:val="20"/>
                <w:szCs w:val="20"/>
                <w:lang w:val="en-GB" w:eastAsia="es-ES"/>
              </w:rPr>
              <w:t>, Handicap Int</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BFCAF"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399AFE" w14:textId="77777777"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BDECF" w14:textId="77777777"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F918E"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9FACB6"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17777" w14:textId="77777777"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0F6A9" w14:textId="77777777"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877D"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194F0"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B7C74"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229A1"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40E3C"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F2DA4D"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ADB940"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A8C111"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36379"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BD893" w14:textId="25C98210" w:rsidR="0009063D" w:rsidRPr="0009063D"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0</w:t>
            </w:r>
          </w:p>
        </w:tc>
      </w:tr>
      <w:tr w:rsidR="0009063D" w:rsidRPr="007C1C0F" w14:paraId="16785200"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53660550" w14:textId="77777777" w:rsidR="0009063D" w:rsidRPr="007C1C0F" w:rsidRDefault="0009063D" w:rsidP="0009063D">
            <w:pPr>
              <w:rPr>
                <w:rFonts w:ascii="Garamond" w:hAnsi="Garamond"/>
                <w:sz w:val="20"/>
                <w:szCs w:val="20"/>
                <w:lang w:val="en-GB"/>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BE6B2B2"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sz w:val="20"/>
                <w:szCs w:val="20"/>
                <w:lang w:val="pt-PT"/>
              </w:rPr>
              <w:t xml:space="preserve">5.5.3. Desenhar e implementar uma campanha sensível ao género sobre a participação </w:t>
            </w:r>
            <w:proofErr w:type="spellStart"/>
            <w:r w:rsidRPr="00EB750A">
              <w:rPr>
                <w:rFonts w:ascii="Garamond" w:hAnsi="Garamond"/>
                <w:sz w:val="20"/>
                <w:szCs w:val="20"/>
                <w:lang w:val="pt-PT"/>
              </w:rPr>
              <w:t>ativa</w:t>
            </w:r>
            <w:proofErr w:type="spellEnd"/>
            <w:r w:rsidRPr="00EB750A">
              <w:rPr>
                <w:rFonts w:ascii="Garamond" w:hAnsi="Garamond"/>
                <w:sz w:val="20"/>
                <w:szCs w:val="20"/>
                <w:lang w:val="pt-PT"/>
              </w:rPr>
              <w:t xml:space="preserve"> e plena de mulheres e homens com deficiência na sociedade e nos processos de tomada de decisão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207F8"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DGIS</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87C80" w14:textId="77777777" w:rsidR="0009063D" w:rsidRPr="007C1C0F" w:rsidRDefault="0009063D" w:rsidP="0009063D">
            <w:pPr>
              <w:jc w:val="center"/>
              <w:rPr>
                <w:rFonts w:ascii="Garamond" w:eastAsia="Times New Roman" w:hAnsi="Garamond" w:cs="Times New Roman"/>
                <w:color w:val="000000"/>
                <w:sz w:val="20"/>
                <w:szCs w:val="20"/>
                <w:lang w:val="en-GB" w:eastAsia="es-ES"/>
              </w:rPr>
            </w:pPr>
            <w:proofErr w:type="spellStart"/>
            <w:r w:rsidRPr="007C1C0F">
              <w:rPr>
                <w:rFonts w:ascii="Garamond" w:eastAsia="Times New Roman" w:hAnsi="Garamond" w:cs="Times New Roman"/>
                <w:color w:val="000000"/>
                <w:sz w:val="20"/>
                <w:szCs w:val="20"/>
                <w:lang w:val="en-GB" w:eastAsia="es-ES"/>
              </w:rPr>
              <w:t>ICIEG</w:t>
            </w:r>
            <w:proofErr w:type="spellEnd"/>
            <w:r w:rsidRPr="007C1C0F">
              <w:rPr>
                <w:rFonts w:ascii="Garamond" w:eastAsia="Times New Roman" w:hAnsi="Garamond" w:cs="Times New Roman"/>
                <w:color w:val="000000"/>
                <w:sz w:val="20"/>
                <w:szCs w:val="20"/>
                <w:lang w:val="en-GB" w:eastAsia="es-ES"/>
              </w:rPr>
              <w:t xml:space="preserve">, </w:t>
            </w:r>
            <w:proofErr w:type="spellStart"/>
            <w:r w:rsidRPr="007C1C0F">
              <w:rPr>
                <w:rFonts w:ascii="Garamond" w:eastAsia="Times New Roman" w:hAnsi="Garamond" w:cs="Times New Roman"/>
                <w:color w:val="000000"/>
                <w:sz w:val="20"/>
                <w:szCs w:val="20"/>
                <w:lang w:val="en-GB" w:eastAsia="es-ES"/>
              </w:rPr>
              <w:t>APIMUD</w:t>
            </w:r>
            <w:proofErr w:type="spellEnd"/>
            <w:r w:rsidRPr="007C1C0F">
              <w:rPr>
                <w:rFonts w:ascii="Garamond" w:eastAsia="Times New Roman" w:hAnsi="Garamond" w:cs="Times New Roman"/>
                <w:color w:val="000000"/>
                <w:sz w:val="20"/>
                <w:szCs w:val="20"/>
                <w:lang w:val="en-GB" w:eastAsia="es-ES"/>
              </w:rPr>
              <w:t xml:space="preserve">, Ass. </w:t>
            </w:r>
            <w:proofErr w:type="spellStart"/>
            <w:r w:rsidRPr="007C1C0F">
              <w:rPr>
                <w:rFonts w:ascii="Garamond" w:eastAsia="Times New Roman" w:hAnsi="Garamond" w:cs="Times New Roman"/>
                <w:color w:val="000000"/>
                <w:sz w:val="20"/>
                <w:szCs w:val="20"/>
                <w:lang w:val="en-GB" w:eastAsia="es-ES"/>
              </w:rPr>
              <w:t>PcD</w:t>
            </w:r>
            <w:proofErr w:type="spellEnd"/>
            <w:r w:rsidRPr="007C1C0F">
              <w:rPr>
                <w:rFonts w:ascii="Garamond" w:eastAsia="Times New Roman" w:hAnsi="Garamond" w:cs="Times New Roman"/>
                <w:color w:val="000000"/>
                <w:sz w:val="20"/>
                <w:szCs w:val="20"/>
                <w:lang w:val="en-GB" w:eastAsia="es-ES"/>
              </w:rPr>
              <w:t>, Handicap Int</w:t>
            </w: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D184F"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A786C"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AAC63"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43432" w14:textId="44122B15"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34106" w14:textId="77777777"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25B5E" w14:textId="4161C228" w:rsidR="0009063D" w:rsidRPr="00D373AE" w:rsidRDefault="0009063D" w:rsidP="0009063D">
            <w:pPr>
              <w:rPr>
                <w:rFonts w:ascii="Garamond" w:eastAsia="Times New Roman" w:hAnsi="Garamond" w:cs="Times New Roman"/>
                <w:color w:val="000000"/>
                <w:sz w:val="12"/>
                <w:szCs w:val="12"/>
                <w:lang w:val="en-GB"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81D56"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EA2D35"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5103E"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CC0A9"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FEB1"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2C156"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CFF5CE"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15B974"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853E8"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37D109" w14:textId="77777777" w:rsidR="0009063D" w:rsidRPr="00D373AE" w:rsidRDefault="0009063D" w:rsidP="0009063D">
            <w:pPr>
              <w:rPr>
                <w:rFonts w:ascii="Garamond" w:eastAsia="Times New Roman" w:hAnsi="Garamond" w:cs="Times New Roman"/>
                <w:color w:val="000000"/>
                <w:sz w:val="12"/>
                <w:szCs w:val="12"/>
                <w:lang w:val="en-GB"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B2A72" w14:textId="3E8F74A2" w:rsidR="0009063D" w:rsidRPr="0009063D"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1 930 000</w:t>
            </w:r>
          </w:p>
        </w:tc>
      </w:tr>
      <w:tr w:rsidR="0009063D" w:rsidRPr="007C1C0F" w14:paraId="72EE6097" w14:textId="77777777" w:rsidTr="009F122A">
        <w:trPr>
          <w:trHeight w:val="615"/>
        </w:trPr>
        <w:tc>
          <w:tcPr>
            <w:tcW w:w="1768" w:type="dxa"/>
            <w:vMerge/>
            <w:tcBorders>
              <w:left w:val="single" w:sz="4" w:space="0" w:color="auto"/>
              <w:right w:val="single" w:sz="4" w:space="0" w:color="auto"/>
            </w:tcBorders>
            <w:shd w:val="clear" w:color="auto" w:fill="FFFFFF" w:themeFill="background1"/>
          </w:tcPr>
          <w:p w14:paraId="20EE83C6" w14:textId="77777777" w:rsidR="0009063D" w:rsidRPr="007C1C0F" w:rsidRDefault="0009063D" w:rsidP="0009063D">
            <w:pPr>
              <w:rPr>
                <w:rFonts w:ascii="Garamond" w:hAnsi="Garamond"/>
                <w:sz w:val="20"/>
                <w:szCs w:val="20"/>
                <w:lang w:val="en-GB"/>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941F820"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cs="Times New Roman"/>
                <w:bCs/>
                <w:sz w:val="20"/>
                <w:szCs w:val="20"/>
                <w:lang w:val="pt-PT"/>
              </w:rPr>
              <w:t>5.5.4. Reforçar os conhecimentos e competências das mulheres imigrantes para a participação no movimento associativo e sua representação nos órgãos sociais de associações</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E27A"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DGI</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5018"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DGIS</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7C1C0F">
              <w:rPr>
                <w:rFonts w:ascii="Garamond" w:eastAsia="Times New Roman" w:hAnsi="Garamond" w:cs="Times New Roman"/>
                <w:color w:val="000000"/>
                <w:sz w:val="20"/>
                <w:szCs w:val="20"/>
                <w:lang w:eastAsia="es-ES"/>
              </w:rPr>
              <w:t>Imigrantes</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E603F"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EF4DA"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D4303A"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B0F25"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0AB67"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C414B"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1C0E7"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20B8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1EB73"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282B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D0AD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5663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9042D9"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614F01"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0C0D8"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92CC06"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ECCD" w14:textId="207A3602"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940 000</w:t>
            </w:r>
          </w:p>
        </w:tc>
      </w:tr>
      <w:tr w:rsidR="0009063D" w:rsidRPr="007C1C0F" w14:paraId="48783CA4" w14:textId="77777777" w:rsidTr="009F122A">
        <w:trPr>
          <w:trHeight w:val="615"/>
        </w:trPr>
        <w:tc>
          <w:tcPr>
            <w:tcW w:w="1768" w:type="dxa"/>
            <w:vMerge/>
            <w:tcBorders>
              <w:left w:val="single" w:sz="4" w:space="0" w:color="auto"/>
              <w:bottom w:val="single" w:sz="4" w:space="0" w:color="auto"/>
              <w:right w:val="single" w:sz="4" w:space="0" w:color="auto"/>
            </w:tcBorders>
            <w:shd w:val="clear" w:color="auto" w:fill="FFFFFF" w:themeFill="background1"/>
          </w:tcPr>
          <w:p w14:paraId="3DFC852E" w14:textId="77777777" w:rsidR="0009063D" w:rsidRPr="007C1C0F" w:rsidRDefault="0009063D" w:rsidP="0009063D">
            <w:pPr>
              <w:rPr>
                <w:rFonts w:ascii="Garamond" w:hAnsi="Garamond"/>
                <w:sz w:val="20"/>
                <w:szCs w:val="20"/>
              </w:rPr>
            </w:pPr>
          </w:p>
        </w:tc>
        <w:tc>
          <w:tcPr>
            <w:tcW w:w="522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E0729" w14:textId="77777777" w:rsidR="0009063D" w:rsidRPr="00EB750A" w:rsidRDefault="0009063D" w:rsidP="0009063D">
            <w:pPr>
              <w:spacing w:after="60"/>
              <w:rPr>
                <w:rFonts w:ascii="Garamond" w:eastAsia="Times New Roman" w:hAnsi="Garamond" w:cs="Times New Roman"/>
                <w:color w:val="000000"/>
                <w:sz w:val="20"/>
                <w:szCs w:val="20"/>
                <w:lang w:val="pt-PT" w:eastAsia="es-ES"/>
              </w:rPr>
            </w:pPr>
            <w:r w:rsidRPr="00EB750A">
              <w:rPr>
                <w:rFonts w:ascii="Garamond" w:hAnsi="Garamond" w:cs="Times New Roman"/>
                <w:bCs/>
                <w:sz w:val="20"/>
                <w:szCs w:val="20"/>
                <w:lang w:val="pt-PT"/>
              </w:rPr>
              <w:t>5.5.5. Divulgar informações sobre participação eleitoral e política entre mulheres e homens imigrantes, de forma sensível ao género</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57461" w14:textId="77777777" w:rsidR="0009063D" w:rsidRPr="007C1C0F" w:rsidRDefault="0009063D" w:rsidP="0009063D">
            <w:pPr>
              <w:jc w:val="center"/>
              <w:rPr>
                <w:rFonts w:ascii="Garamond" w:eastAsia="Times New Roman" w:hAnsi="Garamond" w:cs="Times New Roman"/>
                <w:color w:val="000000"/>
                <w:sz w:val="20"/>
                <w:szCs w:val="20"/>
                <w:lang w:eastAsia="es-ES"/>
              </w:rPr>
            </w:pPr>
            <w:proofErr w:type="spellStart"/>
            <w:r w:rsidRPr="007C1C0F">
              <w:rPr>
                <w:rFonts w:ascii="Garamond" w:eastAsia="Times New Roman" w:hAnsi="Garamond" w:cs="Times New Roman"/>
                <w:color w:val="000000"/>
                <w:sz w:val="20"/>
                <w:szCs w:val="20"/>
                <w:lang w:eastAsia="es-ES"/>
              </w:rPr>
              <w:t>DGI</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E87D3" w14:textId="77777777" w:rsidR="0009063D" w:rsidRPr="007C1C0F" w:rsidRDefault="0009063D" w:rsidP="0009063D">
            <w:pPr>
              <w:jc w:val="center"/>
              <w:rPr>
                <w:rFonts w:ascii="Garamond" w:eastAsia="Times New Roman" w:hAnsi="Garamond" w:cs="Times New Roman"/>
                <w:color w:val="000000"/>
                <w:sz w:val="20"/>
                <w:szCs w:val="20"/>
                <w:lang w:eastAsia="es-ES"/>
              </w:rPr>
            </w:pPr>
            <w:r w:rsidRPr="00EB750A">
              <w:rPr>
                <w:rFonts w:ascii="Garamond" w:eastAsia="Times New Roman" w:hAnsi="Garamond" w:cs="Times New Roman"/>
                <w:color w:val="000000"/>
                <w:sz w:val="20"/>
                <w:szCs w:val="20"/>
                <w:lang w:val="pt-PT" w:eastAsia="es-ES"/>
              </w:rPr>
              <w:t xml:space="preserve">CNE, </w:t>
            </w:r>
            <w:proofErr w:type="spellStart"/>
            <w:r w:rsidRPr="00EB750A">
              <w:rPr>
                <w:rFonts w:ascii="Garamond" w:eastAsia="Times New Roman" w:hAnsi="Garamond" w:cs="Times New Roman"/>
                <w:color w:val="000000"/>
                <w:sz w:val="20"/>
                <w:szCs w:val="20"/>
                <w:lang w:val="pt-PT" w:eastAsia="es-ES"/>
              </w:rPr>
              <w:t>ICIEG</w:t>
            </w:r>
            <w:proofErr w:type="spellEnd"/>
            <w:r w:rsidRPr="00EB750A">
              <w:rPr>
                <w:rFonts w:ascii="Garamond" w:eastAsia="Times New Roman" w:hAnsi="Garamond" w:cs="Times New Roman"/>
                <w:color w:val="000000"/>
                <w:sz w:val="20"/>
                <w:szCs w:val="20"/>
                <w:lang w:val="pt-PT" w:eastAsia="es-ES"/>
              </w:rPr>
              <w:t xml:space="preserve">,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Mulheres Muçulmanas, </w:t>
            </w:r>
            <w:proofErr w:type="spellStart"/>
            <w:r w:rsidRPr="00EB750A">
              <w:rPr>
                <w:rFonts w:ascii="Garamond" w:eastAsia="Times New Roman" w:hAnsi="Garamond" w:cs="Times New Roman"/>
                <w:color w:val="000000"/>
                <w:sz w:val="20"/>
                <w:szCs w:val="20"/>
                <w:lang w:val="pt-PT" w:eastAsia="es-ES"/>
              </w:rPr>
              <w:t>Ass</w:t>
            </w:r>
            <w:proofErr w:type="spellEnd"/>
            <w:r w:rsidRPr="00EB750A">
              <w:rPr>
                <w:rFonts w:ascii="Garamond" w:eastAsia="Times New Roman" w:hAnsi="Garamond" w:cs="Times New Roman"/>
                <w:color w:val="000000"/>
                <w:sz w:val="20"/>
                <w:szCs w:val="20"/>
                <w:lang w:val="pt-PT" w:eastAsia="es-ES"/>
              </w:rPr>
              <w:t xml:space="preserve">. </w:t>
            </w:r>
            <w:proofErr w:type="spellStart"/>
            <w:r w:rsidRPr="007C1C0F">
              <w:rPr>
                <w:rFonts w:ascii="Garamond" w:eastAsia="Times New Roman" w:hAnsi="Garamond" w:cs="Times New Roman"/>
                <w:color w:val="000000"/>
                <w:sz w:val="20"/>
                <w:szCs w:val="20"/>
                <w:lang w:eastAsia="es-ES"/>
              </w:rPr>
              <w:t>Imigrantes</w:t>
            </w:r>
            <w:proofErr w:type="spellEnd"/>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D9AA5" w14:textId="77777777" w:rsidR="0009063D" w:rsidRPr="00D373AE" w:rsidRDefault="0009063D" w:rsidP="0009063D">
            <w:pPr>
              <w:rPr>
                <w:rFonts w:ascii="Garamond" w:eastAsia="Times New Roman" w:hAnsi="Garamond" w:cs="Times New Roman"/>
                <w:color w:val="000000"/>
                <w:sz w:val="12"/>
                <w:szCs w:val="12"/>
                <w:lang w:eastAsia="es-ES"/>
              </w:rPr>
            </w:pPr>
          </w:p>
        </w:tc>
        <w:tc>
          <w:tcPr>
            <w:tcW w:w="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2827C" w14:textId="77777777" w:rsidR="0009063D" w:rsidRPr="00D373AE" w:rsidRDefault="0009063D" w:rsidP="0009063D">
            <w:pPr>
              <w:rPr>
                <w:rFonts w:ascii="Garamond" w:eastAsia="Times New Roman" w:hAnsi="Garamond" w:cs="Times New Roman"/>
                <w:color w:val="000000"/>
                <w:sz w:val="12"/>
                <w:szCs w:val="12"/>
                <w:lang w:eastAsia="es-ES"/>
              </w:rPr>
            </w:pPr>
          </w:p>
        </w:tc>
        <w:tc>
          <w:tcPr>
            <w:tcW w:w="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4A104"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20BB7"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84F95"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1FABE"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D2F5B"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E71ED" w14:textId="77777777" w:rsidR="0009063D" w:rsidRPr="00D373AE" w:rsidRDefault="0009063D" w:rsidP="0009063D">
            <w:pPr>
              <w:rPr>
                <w:rFonts w:ascii="Garamond" w:eastAsia="Times New Roman" w:hAnsi="Garamond" w:cs="Times New Roman"/>
                <w:color w:val="000000"/>
                <w:sz w:val="12"/>
                <w:szCs w:val="12"/>
                <w:lang w:eastAsia="es-ES"/>
              </w:rPr>
            </w:pPr>
            <w:r w:rsidRPr="00D373AE">
              <w:rPr>
                <w:rFonts w:ascii="Garamond" w:eastAsia="Times New Roman" w:hAnsi="Garamond" w:cs="Times New Roman"/>
                <w:b/>
                <w:bCs/>
                <w:color w:val="000000"/>
                <w:sz w:val="12"/>
                <w:szCs w:val="12"/>
                <w:lang w:eastAsia="es-ES"/>
              </w:rPr>
              <w:t>X</w:t>
            </w: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56FF4"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4E232"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966A0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FAFBF"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B5F44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80820"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C9B67" w14:textId="77777777" w:rsidR="0009063D" w:rsidRPr="00D373AE" w:rsidRDefault="0009063D" w:rsidP="0009063D">
            <w:pPr>
              <w:rPr>
                <w:rFonts w:ascii="Garamond" w:eastAsia="Times New Roman" w:hAnsi="Garamond" w:cs="Times New Roman"/>
                <w:color w:val="000000"/>
                <w:sz w:val="12"/>
                <w:szCs w:val="12"/>
                <w:lang w:eastAsia="es-ES"/>
              </w:rPr>
            </w:pPr>
          </w:p>
        </w:tc>
        <w:tc>
          <w:tcPr>
            <w:tcW w:w="1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87DA" w14:textId="77777777" w:rsidR="0009063D" w:rsidRPr="00D373AE" w:rsidRDefault="0009063D" w:rsidP="0009063D">
            <w:pPr>
              <w:rPr>
                <w:rFonts w:ascii="Garamond" w:eastAsia="Times New Roman" w:hAnsi="Garamond" w:cs="Times New Roman"/>
                <w:color w:val="000000"/>
                <w:sz w:val="12"/>
                <w:szCs w:val="12"/>
                <w:lang w:eastAsia="es-ES"/>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269F8" w14:textId="0B76A553" w:rsidR="0009063D" w:rsidRPr="007C1C0F" w:rsidRDefault="0009063D" w:rsidP="0009063D">
            <w:pPr>
              <w:jc w:val="center"/>
              <w:rPr>
                <w:rFonts w:ascii="Garamond" w:eastAsia="Times New Roman" w:hAnsi="Garamond" w:cs="Times New Roman"/>
                <w:color w:val="000000"/>
                <w:sz w:val="20"/>
                <w:szCs w:val="20"/>
                <w:lang w:eastAsia="es-ES"/>
              </w:rPr>
            </w:pPr>
            <w:r w:rsidRPr="0009063D">
              <w:rPr>
                <w:rFonts w:ascii="Garamond" w:eastAsia="Times New Roman" w:hAnsi="Garamond" w:cs="Times New Roman"/>
                <w:color w:val="000000"/>
                <w:sz w:val="20"/>
                <w:szCs w:val="20"/>
                <w:lang w:eastAsia="es-ES"/>
              </w:rPr>
              <w:t>760 000</w:t>
            </w:r>
          </w:p>
        </w:tc>
      </w:tr>
    </w:tbl>
    <w:p w14:paraId="47BB287C" w14:textId="6960CF9F" w:rsidR="00432609" w:rsidRDefault="00432609" w:rsidP="00432609">
      <w:pPr>
        <w:jc w:val="both"/>
        <w:rPr>
          <w:rFonts w:ascii="Garamond" w:hAnsi="Garamond"/>
        </w:rPr>
      </w:pPr>
    </w:p>
    <w:p w14:paraId="720CECC5" w14:textId="643F9743" w:rsidR="00432609" w:rsidRDefault="00432609" w:rsidP="009F6506">
      <w:pPr>
        <w:pStyle w:val="PargrafodaLista"/>
        <w:ind w:left="0"/>
        <w:jc w:val="both"/>
        <w:rPr>
          <w:rFonts w:ascii="Garamond" w:hAnsi="Garamond"/>
          <w:b/>
          <w:sz w:val="20"/>
          <w:szCs w:val="20"/>
          <w:lang w:val="pt-PT"/>
        </w:rPr>
      </w:pPr>
      <w:r w:rsidRPr="00EB750A">
        <w:rPr>
          <w:rFonts w:ascii="Garamond" w:hAnsi="Garamond"/>
          <w:b/>
          <w:sz w:val="20"/>
          <w:szCs w:val="20"/>
          <w:lang w:val="pt-PT"/>
        </w:rPr>
        <w:t xml:space="preserve">Eixo 6 - </w:t>
      </w:r>
      <w:proofErr w:type="spellStart"/>
      <w:r w:rsidRPr="00EB750A">
        <w:rPr>
          <w:rFonts w:ascii="Garamond" w:hAnsi="Garamond"/>
          <w:b/>
          <w:sz w:val="20"/>
          <w:szCs w:val="20"/>
          <w:lang w:val="pt-PT"/>
        </w:rPr>
        <w:t>Transversalização</w:t>
      </w:r>
      <w:proofErr w:type="spellEnd"/>
      <w:r w:rsidRPr="00EB750A">
        <w:rPr>
          <w:rFonts w:ascii="Garamond" w:hAnsi="Garamond"/>
          <w:b/>
          <w:sz w:val="20"/>
          <w:szCs w:val="20"/>
          <w:lang w:val="pt-PT"/>
        </w:rPr>
        <w:t xml:space="preserve"> da Abordagem de Género</w:t>
      </w:r>
    </w:p>
    <w:p w14:paraId="769ACCBD" w14:textId="77777777" w:rsidR="00E23084" w:rsidRDefault="00E23084" w:rsidP="009F6506">
      <w:pPr>
        <w:pStyle w:val="PargrafodaLista"/>
        <w:ind w:left="0"/>
        <w:jc w:val="both"/>
        <w:rPr>
          <w:rFonts w:ascii="Garamond" w:hAnsi="Garamond"/>
          <w:b/>
          <w:sz w:val="20"/>
          <w:szCs w:val="20"/>
          <w:lang w:val="pt-PT"/>
        </w:rPr>
      </w:pPr>
    </w:p>
    <w:p w14:paraId="74E42598" w14:textId="75F509AB" w:rsidR="00432609" w:rsidRDefault="00432609" w:rsidP="00432609">
      <w:pPr>
        <w:shd w:val="clear" w:color="auto" w:fill="FFFFFF" w:themeFill="background1"/>
        <w:rPr>
          <w:rFonts w:ascii="Garamond" w:hAnsi="Garamond"/>
          <w:bCs/>
          <w:sz w:val="20"/>
          <w:szCs w:val="20"/>
          <w:lang w:val="pt-PT"/>
        </w:rPr>
      </w:pPr>
      <w:proofErr w:type="spellStart"/>
      <w:r w:rsidRPr="00EB750A">
        <w:rPr>
          <w:rFonts w:ascii="Garamond" w:hAnsi="Garamond"/>
          <w:b/>
          <w:sz w:val="20"/>
          <w:szCs w:val="20"/>
          <w:lang w:val="pt-PT"/>
        </w:rPr>
        <w:t>Objetivo</w:t>
      </w:r>
      <w:proofErr w:type="spellEnd"/>
      <w:r w:rsidRPr="00EB750A">
        <w:rPr>
          <w:rFonts w:ascii="Garamond" w:hAnsi="Garamond"/>
          <w:b/>
          <w:sz w:val="20"/>
          <w:szCs w:val="20"/>
          <w:lang w:val="pt-PT"/>
        </w:rPr>
        <w:t xml:space="preserve"> estratégico</w:t>
      </w:r>
      <w:r w:rsidRPr="00EB750A">
        <w:rPr>
          <w:rFonts w:ascii="Garamond" w:hAnsi="Garamond"/>
          <w:bCs/>
          <w:sz w:val="20"/>
          <w:szCs w:val="20"/>
          <w:lang w:val="pt-PT"/>
        </w:rPr>
        <w:t>: Contribuir para a institucionalização da abordagem de género e uma cultura promotora da igualdade de género, a nível sectorial e local</w:t>
      </w:r>
    </w:p>
    <w:p w14:paraId="5480DA75" w14:textId="77777777" w:rsidR="00EB5E56" w:rsidRPr="00EB750A" w:rsidRDefault="00EB5E56" w:rsidP="00432609">
      <w:pPr>
        <w:shd w:val="clear" w:color="auto" w:fill="FFFFFF" w:themeFill="background1"/>
        <w:rPr>
          <w:rFonts w:ascii="Garamond" w:hAnsi="Garamond"/>
          <w:bCs/>
          <w:sz w:val="20"/>
          <w:szCs w:val="20"/>
          <w:lang w:val="pt-PT"/>
        </w:rPr>
      </w:pPr>
    </w:p>
    <w:tbl>
      <w:tblPr>
        <w:tblW w:w="146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5"/>
        <w:gridCol w:w="5159"/>
        <w:gridCol w:w="1457"/>
        <w:gridCol w:w="2040"/>
        <w:gridCol w:w="187"/>
        <w:gridCol w:w="187"/>
        <w:gridCol w:w="187"/>
        <w:gridCol w:w="187"/>
        <w:gridCol w:w="187"/>
        <w:gridCol w:w="187"/>
        <w:gridCol w:w="187"/>
        <w:gridCol w:w="187"/>
        <w:gridCol w:w="187"/>
        <w:gridCol w:w="187"/>
        <w:gridCol w:w="187"/>
        <w:gridCol w:w="187"/>
        <w:gridCol w:w="187"/>
        <w:gridCol w:w="187"/>
        <w:gridCol w:w="187"/>
        <w:gridCol w:w="187"/>
        <w:gridCol w:w="1114"/>
      </w:tblGrid>
      <w:tr w:rsidR="00432609" w:rsidRPr="00D21977" w14:paraId="381810B1" w14:textId="77777777" w:rsidTr="003455F1">
        <w:trPr>
          <w:trHeight w:val="424"/>
          <w:tblHeader/>
        </w:trPr>
        <w:tc>
          <w:tcPr>
            <w:tcW w:w="1905" w:type="dxa"/>
            <w:vMerge w:val="restart"/>
            <w:shd w:val="clear" w:color="auto" w:fill="DEEAF6" w:themeFill="accent5" w:themeFillTint="33"/>
            <w:vAlign w:val="center"/>
          </w:tcPr>
          <w:p w14:paraId="6F8324F0"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5159" w:type="dxa"/>
            <w:vMerge w:val="restart"/>
            <w:shd w:val="clear" w:color="auto" w:fill="DEEAF6" w:themeFill="accent5" w:themeFillTint="33"/>
            <w:vAlign w:val="center"/>
          </w:tcPr>
          <w:p w14:paraId="152CFA9C" w14:textId="77777777" w:rsidR="00432609" w:rsidRPr="00D21977" w:rsidRDefault="00432609" w:rsidP="00DF0B6E">
            <w:pPr>
              <w:spacing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Medidas</w:t>
            </w:r>
            <w:proofErr w:type="spellEnd"/>
            <w:r w:rsidRPr="00D21977">
              <w:rPr>
                <w:rFonts w:ascii="Garamond" w:eastAsia="Times New Roman" w:hAnsi="Garamond" w:cs="Times New Roman"/>
                <w:b/>
                <w:bCs/>
                <w:sz w:val="20"/>
                <w:szCs w:val="20"/>
                <w:lang w:eastAsia="es-ES"/>
              </w:rPr>
              <w:t xml:space="preserve"> de </w:t>
            </w:r>
            <w:proofErr w:type="spellStart"/>
            <w:r w:rsidRPr="00D21977">
              <w:rPr>
                <w:rFonts w:ascii="Garamond" w:eastAsia="Times New Roman" w:hAnsi="Garamond" w:cs="Times New Roman"/>
                <w:b/>
                <w:bCs/>
                <w:sz w:val="20"/>
                <w:szCs w:val="20"/>
                <w:lang w:eastAsia="es-ES"/>
              </w:rPr>
              <w:t>ação</w:t>
            </w:r>
            <w:proofErr w:type="spellEnd"/>
          </w:p>
        </w:tc>
        <w:tc>
          <w:tcPr>
            <w:tcW w:w="1457" w:type="dxa"/>
            <w:vMerge w:val="restart"/>
            <w:shd w:val="clear" w:color="auto" w:fill="DEEAF6" w:themeFill="accent5" w:themeFillTint="33"/>
            <w:vAlign w:val="center"/>
          </w:tcPr>
          <w:p w14:paraId="7996EA0A"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responsável</w:t>
            </w:r>
            <w:proofErr w:type="spellEnd"/>
          </w:p>
        </w:tc>
        <w:tc>
          <w:tcPr>
            <w:tcW w:w="2040" w:type="dxa"/>
            <w:vMerge w:val="restart"/>
            <w:shd w:val="clear" w:color="auto" w:fill="DEEAF6" w:themeFill="accent5" w:themeFillTint="33"/>
            <w:vAlign w:val="center"/>
          </w:tcPr>
          <w:p w14:paraId="2D9D8AC1"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Entidades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envolvidas</w:t>
            </w:r>
            <w:proofErr w:type="spellEnd"/>
          </w:p>
        </w:tc>
        <w:tc>
          <w:tcPr>
            <w:tcW w:w="2992" w:type="dxa"/>
            <w:gridSpan w:val="16"/>
            <w:shd w:val="clear" w:color="auto" w:fill="DEEAF6" w:themeFill="accent5" w:themeFillTint="33"/>
            <w:vAlign w:val="center"/>
          </w:tcPr>
          <w:p w14:paraId="0FE0D12D" w14:textId="77777777" w:rsidR="00432609" w:rsidRPr="00D21977" w:rsidRDefault="00432609" w:rsidP="00DF0B6E">
            <w:pPr>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Calendário</w:t>
            </w:r>
            <w:proofErr w:type="spellEnd"/>
          </w:p>
        </w:tc>
        <w:tc>
          <w:tcPr>
            <w:tcW w:w="1114" w:type="dxa"/>
            <w:vMerge w:val="restart"/>
            <w:shd w:val="clear" w:color="auto" w:fill="DEEAF6" w:themeFill="accent5" w:themeFillTint="33"/>
            <w:vAlign w:val="center"/>
          </w:tcPr>
          <w:p w14:paraId="3EC574A1" w14:textId="7DF3D3CF" w:rsidR="00432609" w:rsidRPr="00D21977" w:rsidRDefault="00432609" w:rsidP="00DF0B6E">
            <w:pPr>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Estimativa</w:t>
            </w:r>
            <w:proofErr w:type="spellEnd"/>
            <w:r>
              <w:rPr>
                <w:rFonts w:ascii="Garamond" w:eastAsia="Times New Roman" w:hAnsi="Garamond" w:cs="Times New Roman"/>
                <w:b/>
                <w:bCs/>
                <w:sz w:val="20"/>
                <w:szCs w:val="20"/>
                <w:lang w:eastAsia="es-ES"/>
              </w:rPr>
              <w:t xml:space="preserve"> </w:t>
            </w:r>
            <w:proofErr w:type="spellStart"/>
            <w:r>
              <w:rPr>
                <w:rFonts w:ascii="Garamond" w:eastAsia="Times New Roman" w:hAnsi="Garamond" w:cs="Times New Roman"/>
                <w:b/>
                <w:bCs/>
                <w:sz w:val="20"/>
                <w:szCs w:val="20"/>
                <w:lang w:eastAsia="es-ES"/>
              </w:rPr>
              <w:t>o</w:t>
            </w:r>
            <w:r w:rsidRPr="007C1C0F">
              <w:rPr>
                <w:rFonts w:ascii="Garamond" w:eastAsia="Times New Roman" w:hAnsi="Garamond" w:cs="Times New Roman"/>
                <w:b/>
                <w:bCs/>
                <w:sz w:val="20"/>
                <w:szCs w:val="20"/>
                <w:lang w:eastAsia="es-ES"/>
              </w:rPr>
              <w:t>rçament</w:t>
            </w:r>
            <w:r>
              <w:rPr>
                <w:rFonts w:ascii="Garamond" w:eastAsia="Times New Roman" w:hAnsi="Garamond" w:cs="Times New Roman"/>
                <w:b/>
                <w:bCs/>
                <w:sz w:val="20"/>
                <w:szCs w:val="20"/>
                <w:lang w:eastAsia="es-ES"/>
              </w:rPr>
              <w:t>al</w:t>
            </w:r>
            <w:proofErr w:type="spellEnd"/>
            <w:r w:rsidR="0009063D">
              <w:rPr>
                <w:rFonts w:ascii="Garamond" w:eastAsia="Times New Roman" w:hAnsi="Garamond" w:cs="Times New Roman"/>
                <w:b/>
                <w:bCs/>
                <w:sz w:val="20"/>
                <w:szCs w:val="20"/>
                <w:lang w:eastAsia="es-ES"/>
              </w:rPr>
              <w:t xml:space="preserve"> (</w:t>
            </w:r>
            <w:proofErr w:type="spellStart"/>
            <w:r w:rsidR="0009063D">
              <w:rPr>
                <w:rFonts w:ascii="Garamond" w:eastAsia="Times New Roman" w:hAnsi="Garamond" w:cs="Times New Roman"/>
                <w:b/>
                <w:bCs/>
                <w:sz w:val="20"/>
                <w:szCs w:val="20"/>
                <w:lang w:eastAsia="es-ES"/>
              </w:rPr>
              <w:t>ECV</w:t>
            </w:r>
            <w:proofErr w:type="spellEnd"/>
            <w:r w:rsidR="0009063D">
              <w:rPr>
                <w:rFonts w:ascii="Garamond" w:eastAsia="Times New Roman" w:hAnsi="Garamond" w:cs="Times New Roman"/>
                <w:b/>
                <w:bCs/>
                <w:sz w:val="20"/>
                <w:szCs w:val="20"/>
                <w:lang w:eastAsia="es-ES"/>
              </w:rPr>
              <w:t>)</w:t>
            </w:r>
          </w:p>
        </w:tc>
      </w:tr>
      <w:tr w:rsidR="00432609" w:rsidRPr="00D21977" w14:paraId="6442EA6A" w14:textId="77777777" w:rsidTr="003455F1">
        <w:trPr>
          <w:trHeight w:val="498"/>
          <w:tblHeader/>
        </w:trPr>
        <w:tc>
          <w:tcPr>
            <w:tcW w:w="1905" w:type="dxa"/>
            <w:vMerge/>
            <w:shd w:val="clear" w:color="auto" w:fill="FFFFFF" w:themeFill="background1"/>
            <w:vAlign w:val="center"/>
          </w:tcPr>
          <w:p w14:paraId="0E4525BA"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5159" w:type="dxa"/>
            <w:vMerge/>
            <w:shd w:val="clear" w:color="auto" w:fill="FFFFFF" w:themeFill="background1"/>
          </w:tcPr>
          <w:p w14:paraId="0DC518BB" w14:textId="77777777" w:rsidR="00432609" w:rsidRPr="00D21977" w:rsidRDefault="00432609" w:rsidP="00DF0B6E">
            <w:pPr>
              <w:spacing w:after="60"/>
              <w:jc w:val="center"/>
              <w:rPr>
                <w:rFonts w:ascii="Garamond" w:eastAsia="Times New Roman" w:hAnsi="Garamond" w:cs="Times New Roman"/>
                <w:b/>
                <w:bCs/>
                <w:sz w:val="20"/>
                <w:szCs w:val="20"/>
                <w:lang w:eastAsia="es-ES"/>
              </w:rPr>
            </w:pPr>
          </w:p>
        </w:tc>
        <w:tc>
          <w:tcPr>
            <w:tcW w:w="1457" w:type="dxa"/>
            <w:vMerge/>
            <w:shd w:val="clear" w:color="auto" w:fill="FFFFFF" w:themeFill="background1"/>
            <w:vAlign w:val="center"/>
          </w:tcPr>
          <w:p w14:paraId="5D526E56"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2040" w:type="dxa"/>
            <w:vMerge/>
            <w:shd w:val="clear" w:color="auto" w:fill="FFFFFF" w:themeFill="background1"/>
            <w:vAlign w:val="center"/>
          </w:tcPr>
          <w:p w14:paraId="3E5FC01F" w14:textId="77777777" w:rsidR="00432609" w:rsidRPr="00D21977" w:rsidRDefault="00432609" w:rsidP="00DF0B6E">
            <w:pPr>
              <w:jc w:val="center"/>
              <w:rPr>
                <w:rFonts w:ascii="Garamond" w:eastAsia="Times New Roman" w:hAnsi="Garamond" w:cs="Times New Roman"/>
                <w:b/>
                <w:bCs/>
                <w:sz w:val="20"/>
                <w:szCs w:val="20"/>
                <w:lang w:eastAsia="es-ES"/>
              </w:rPr>
            </w:pPr>
          </w:p>
        </w:tc>
        <w:tc>
          <w:tcPr>
            <w:tcW w:w="748" w:type="dxa"/>
            <w:gridSpan w:val="4"/>
            <w:shd w:val="clear" w:color="auto" w:fill="F2F2F2" w:themeFill="background1" w:themeFillShade="F2"/>
            <w:vAlign w:val="center"/>
          </w:tcPr>
          <w:p w14:paraId="7A5A27CB"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2020</w:t>
            </w:r>
          </w:p>
        </w:tc>
        <w:tc>
          <w:tcPr>
            <w:tcW w:w="748" w:type="dxa"/>
            <w:gridSpan w:val="4"/>
            <w:shd w:val="clear" w:color="auto" w:fill="FFFFFF" w:themeFill="background1"/>
            <w:vAlign w:val="center"/>
          </w:tcPr>
          <w:p w14:paraId="6FB5A256"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2021</w:t>
            </w:r>
          </w:p>
        </w:tc>
        <w:tc>
          <w:tcPr>
            <w:tcW w:w="748" w:type="dxa"/>
            <w:gridSpan w:val="4"/>
            <w:shd w:val="clear" w:color="auto" w:fill="F2F2F2" w:themeFill="background1" w:themeFillShade="F2"/>
            <w:vAlign w:val="center"/>
          </w:tcPr>
          <w:p w14:paraId="2621A65E"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2022</w:t>
            </w:r>
          </w:p>
        </w:tc>
        <w:tc>
          <w:tcPr>
            <w:tcW w:w="748" w:type="dxa"/>
            <w:gridSpan w:val="4"/>
            <w:shd w:val="clear" w:color="auto" w:fill="FFFFFF" w:themeFill="background1"/>
            <w:vAlign w:val="center"/>
          </w:tcPr>
          <w:p w14:paraId="73F837FE" w14:textId="77777777" w:rsidR="00432609" w:rsidRPr="00D21977" w:rsidRDefault="00432609" w:rsidP="00DF0B6E">
            <w:pPr>
              <w:jc w:val="center"/>
              <w:rPr>
                <w:rFonts w:ascii="Garamond" w:eastAsia="Times New Roman" w:hAnsi="Garamond" w:cs="Times New Roman"/>
                <w:b/>
                <w:bCs/>
                <w:sz w:val="20"/>
                <w:szCs w:val="20"/>
                <w:lang w:eastAsia="es-ES"/>
              </w:rPr>
            </w:pPr>
            <w:r w:rsidRPr="00D21977">
              <w:rPr>
                <w:rFonts w:ascii="Garamond" w:eastAsia="Times New Roman" w:hAnsi="Garamond" w:cs="Times New Roman"/>
                <w:b/>
                <w:bCs/>
                <w:sz w:val="20"/>
                <w:szCs w:val="20"/>
                <w:lang w:eastAsia="es-ES"/>
              </w:rPr>
              <w:t>2023</w:t>
            </w:r>
          </w:p>
        </w:tc>
        <w:tc>
          <w:tcPr>
            <w:tcW w:w="1114" w:type="dxa"/>
            <w:vMerge/>
            <w:shd w:val="clear" w:color="auto" w:fill="FFFFFF" w:themeFill="background1"/>
            <w:vAlign w:val="center"/>
          </w:tcPr>
          <w:p w14:paraId="1488EEEE" w14:textId="77777777" w:rsidR="00432609" w:rsidRPr="00D21977" w:rsidRDefault="00432609" w:rsidP="00DF0B6E">
            <w:pPr>
              <w:jc w:val="center"/>
              <w:rPr>
                <w:rFonts w:ascii="Garamond" w:eastAsia="Times New Roman" w:hAnsi="Garamond" w:cs="Times New Roman"/>
                <w:b/>
                <w:bCs/>
                <w:sz w:val="20"/>
                <w:szCs w:val="20"/>
                <w:lang w:eastAsia="es-ES"/>
              </w:rPr>
            </w:pPr>
          </w:p>
        </w:tc>
      </w:tr>
      <w:tr w:rsidR="00E145CC" w:rsidRPr="00D21977" w14:paraId="7CCA9C9C" w14:textId="77777777" w:rsidTr="009F122A">
        <w:trPr>
          <w:trHeight w:val="615"/>
        </w:trPr>
        <w:tc>
          <w:tcPr>
            <w:tcW w:w="1905" w:type="dxa"/>
            <w:vMerge w:val="restart"/>
            <w:shd w:val="clear" w:color="auto" w:fill="FFFFFF" w:themeFill="background1"/>
          </w:tcPr>
          <w:p w14:paraId="7627C90F" w14:textId="77777777" w:rsidR="00E145CC" w:rsidRPr="00432609" w:rsidRDefault="00E145CC" w:rsidP="00E145CC">
            <w:pPr>
              <w:spacing w:after="240"/>
              <w:rPr>
                <w:rFonts w:ascii="Garamond" w:hAnsi="Garamond"/>
                <w:sz w:val="20"/>
                <w:szCs w:val="20"/>
                <w:lang w:val="pt-PT"/>
              </w:rPr>
            </w:pPr>
            <w:r w:rsidRPr="00432609">
              <w:rPr>
                <w:rFonts w:ascii="Garamond" w:hAnsi="Garamond"/>
                <w:sz w:val="20"/>
                <w:szCs w:val="20"/>
                <w:lang w:val="pt-PT"/>
              </w:rPr>
              <w:t xml:space="preserve">6.1. </w:t>
            </w:r>
            <w:r w:rsidRPr="00432609">
              <w:rPr>
                <w:rFonts w:ascii="Garamond" w:hAnsi="Garamond"/>
                <w:lang w:val="pt-PT"/>
              </w:rPr>
              <w:t>A produção estatística permite uma análise mais aprofundada e maior divulgação da situação nacional e subnacional de género em Cabo Verde</w:t>
            </w:r>
          </w:p>
        </w:tc>
        <w:tc>
          <w:tcPr>
            <w:tcW w:w="5159" w:type="dxa"/>
            <w:shd w:val="clear" w:color="auto" w:fill="FFFFFF" w:themeFill="background1"/>
          </w:tcPr>
          <w:p w14:paraId="6F593B82" w14:textId="77777777" w:rsidR="00E145CC" w:rsidRPr="00432609" w:rsidRDefault="00E145CC" w:rsidP="00E145CC">
            <w:pPr>
              <w:spacing w:after="60"/>
              <w:rPr>
                <w:rFonts w:ascii="Garamond" w:eastAsia="Times New Roman" w:hAnsi="Garamond" w:cs="Times New Roman"/>
                <w:color w:val="000000"/>
                <w:sz w:val="20"/>
                <w:szCs w:val="20"/>
                <w:lang w:val="pt-PT" w:eastAsia="es-ES"/>
              </w:rPr>
            </w:pPr>
            <w:r w:rsidRPr="00432609">
              <w:rPr>
                <w:rFonts w:ascii="Garamond" w:hAnsi="Garamond" w:cs="Times New Roman"/>
                <w:lang w:val="pt-PT"/>
              </w:rPr>
              <w:t xml:space="preserve">6.1.1. </w:t>
            </w:r>
            <w:proofErr w:type="spellStart"/>
            <w:r w:rsidRPr="00432609">
              <w:rPr>
                <w:rFonts w:ascii="Garamond" w:hAnsi="Garamond" w:cs="Times New Roman"/>
                <w:lang w:val="pt-PT"/>
              </w:rPr>
              <w:t>Efetuar</w:t>
            </w:r>
            <w:proofErr w:type="spellEnd"/>
            <w:r w:rsidRPr="00432609">
              <w:rPr>
                <w:rFonts w:ascii="Garamond" w:hAnsi="Garamond" w:cs="Times New Roman"/>
                <w:lang w:val="pt-PT"/>
              </w:rPr>
              <w:t xml:space="preserve"> uma análise de género ao Sistema Estatístico Nacional (SEN) e estabelecer e implementar uma agenda estatística de género no país.</w:t>
            </w:r>
          </w:p>
        </w:tc>
        <w:tc>
          <w:tcPr>
            <w:tcW w:w="1457" w:type="dxa"/>
            <w:shd w:val="clear" w:color="auto" w:fill="FFFFFF" w:themeFill="background1"/>
            <w:vAlign w:val="center"/>
          </w:tcPr>
          <w:p w14:paraId="4D4CDC31"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18A82848"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sidRPr="00982AA1">
              <w:rPr>
                <w:rFonts w:ascii="Garamond" w:eastAsia="Times New Roman" w:hAnsi="Garamond" w:cs="Times New Roman"/>
                <w:sz w:val="20"/>
                <w:szCs w:val="20"/>
                <w:lang w:eastAsia="es-ES"/>
              </w:rPr>
              <w:t>ODINE</w:t>
            </w:r>
            <w:proofErr w:type="spellEnd"/>
          </w:p>
        </w:tc>
        <w:tc>
          <w:tcPr>
            <w:tcW w:w="187" w:type="dxa"/>
            <w:shd w:val="clear" w:color="auto" w:fill="F2F2F2" w:themeFill="background1" w:themeFillShade="F2"/>
            <w:vAlign w:val="center"/>
          </w:tcPr>
          <w:p w14:paraId="061E1BE4"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C20A31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B1E6C9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938F3F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8F4F28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809C33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99222F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6533FD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2C5995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1985DE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D57ECF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129BAF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8F627F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667015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8AB810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681F79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5304DE22" w14:textId="4635B8AB"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2 075 000</w:t>
            </w:r>
          </w:p>
        </w:tc>
      </w:tr>
      <w:tr w:rsidR="00E145CC" w:rsidRPr="00D21977" w14:paraId="44AF753C" w14:textId="77777777" w:rsidTr="009F122A">
        <w:trPr>
          <w:trHeight w:val="615"/>
        </w:trPr>
        <w:tc>
          <w:tcPr>
            <w:tcW w:w="1905" w:type="dxa"/>
            <w:vMerge/>
            <w:shd w:val="clear" w:color="auto" w:fill="FFFFFF" w:themeFill="background1"/>
          </w:tcPr>
          <w:p w14:paraId="03E6F9D9"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4F0B9FF8" w14:textId="77777777" w:rsidR="00E145CC" w:rsidRPr="00432609" w:rsidRDefault="00E145CC" w:rsidP="00E145CC">
            <w:pPr>
              <w:spacing w:after="60"/>
              <w:rPr>
                <w:rFonts w:ascii="Garamond" w:eastAsia="Times New Roman" w:hAnsi="Garamond" w:cs="Times New Roman"/>
                <w:color w:val="000000"/>
                <w:sz w:val="20"/>
                <w:szCs w:val="20"/>
                <w:lang w:val="pt-PT" w:eastAsia="es-ES"/>
              </w:rPr>
            </w:pPr>
            <w:r w:rsidRPr="00432609">
              <w:rPr>
                <w:rFonts w:ascii="Garamond" w:hAnsi="Garamond" w:cs="Times New Roman"/>
                <w:lang w:val="pt-PT"/>
              </w:rPr>
              <w:t xml:space="preserve">6.1.2. </w:t>
            </w:r>
            <w:r w:rsidRPr="00432609">
              <w:rPr>
                <w:rFonts w:ascii="Garamond" w:hAnsi="Garamond"/>
                <w:lang w:val="pt-PT"/>
              </w:rPr>
              <w:t xml:space="preserve">Consolidar o Observatório da Igualdade de Género e </w:t>
            </w:r>
            <w:r w:rsidRPr="00432609">
              <w:rPr>
                <w:rFonts w:ascii="Garamond" w:hAnsi="Garamond" w:cs="Times New Roman"/>
                <w:lang w:val="pt-PT"/>
              </w:rPr>
              <w:t>dar continuidade à elaboração e divulgação de publicações específicas de género</w:t>
            </w:r>
            <w:r w:rsidRPr="00432609">
              <w:rPr>
                <w:rFonts w:ascii="Garamond" w:hAnsi="Garamond"/>
                <w:lang w:val="pt-PT"/>
              </w:rPr>
              <w:t xml:space="preserve">. </w:t>
            </w:r>
          </w:p>
        </w:tc>
        <w:tc>
          <w:tcPr>
            <w:tcW w:w="1457" w:type="dxa"/>
            <w:shd w:val="clear" w:color="auto" w:fill="FFFFFF" w:themeFill="background1"/>
            <w:vAlign w:val="center"/>
          </w:tcPr>
          <w:p w14:paraId="0C04D865"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30EE525D"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UniCV</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setores</w:t>
            </w:r>
            <w:proofErr w:type="spellEnd"/>
          </w:p>
        </w:tc>
        <w:tc>
          <w:tcPr>
            <w:tcW w:w="187" w:type="dxa"/>
            <w:shd w:val="clear" w:color="auto" w:fill="F2F2F2" w:themeFill="background1" w:themeFillShade="F2"/>
            <w:vAlign w:val="center"/>
          </w:tcPr>
          <w:p w14:paraId="41DA920D"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921D58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208E5C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A64897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DFA899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F7CA31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B89AFA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C237A2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811C24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C57A3F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93A2A2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76FD17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7C39E0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691ECD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738222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F837D3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6267D6FC" w14:textId="15FA6213"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410 000</w:t>
            </w:r>
          </w:p>
        </w:tc>
      </w:tr>
      <w:tr w:rsidR="00E145CC" w:rsidRPr="00D21977" w14:paraId="625C9981" w14:textId="77777777" w:rsidTr="009F122A">
        <w:trPr>
          <w:trHeight w:val="615"/>
        </w:trPr>
        <w:tc>
          <w:tcPr>
            <w:tcW w:w="1905" w:type="dxa"/>
            <w:vMerge/>
            <w:shd w:val="clear" w:color="auto" w:fill="FFFFFF" w:themeFill="background1"/>
          </w:tcPr>
          <w:p w14:paraId="1A316A06"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74BD18E1" w14:textId="77777777" w:rsidR="00E145CC" w:rsidRPr="00432609" w:rsidRDefault="00E145CC" w:rsidP="00E145CC">
            <w:pPr>
              <w:spacing w:after="60"/>
              <w:rPr>
                <w:rFonts w:ascii="Garamond" w:hAnsi="Garamond" w:cs="Times New Roman"/>
                <w:lang w:val="pt-PT"/>
              </w:rPr>
            </w:pPr>
            <w:r w:rsidRPr="00432609">
              <w:rPr>
                <w:rFonts w:ascii="Garamond" w:hAnsi="Garamond" w:cs="Times New Roman"/>
                <w:lang w:val="pt-PT"/>
              </w:rPr>
              <w:t xml:space="preserve">6.1.3. Elaborar uma análise </w:t>
            </w:r>
            <w:proofErr w:type="spellStart"/>
            <w:r w:rsidRPr="00432609">
              <w:rPr>
                <w:rFonts w:ascii="Garamond" w:hAnsi="Garamond" w:cs="Times New Roman"/>
                <w:lang w:val="pt-PT"/>
              </w:rPr>
              <w:t>interrelacional</w:t>
            </w:r>
            <w:proofErr w:type="spellEnd"/>
            <w:r w:rsidRPr="00432609">
              <w:rPr>
                <w:rFonts w:ascii="Garamond" w:hAnsi="Garamond" w:cs="Times New Roman"/>
                <w:lang w:val="pt-PT"/>
              </w:rPr>
              <w:t xml:space="preserve"> da autonomia económica, na tomada de decisão e física em Cabo Verde e recomendações para estratégias integradas de promoção da igualdade de género entre homens e mulheres</w:t>
            </w:r>
          </w:p>
        </w:tc>
        <w:tc>
          <w:tcPr>
            <w:tcW w:w="1457" w:type="dxa"/>
            <w:shd w:val="clear" w:color="auto" w:fill="FFFFFF" w:themeFill="background1"/>
            <w:vAlign w:val="center"/>
          </w:tcPr>
          <w:p w14:paraId="1570727E"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040" w:type="dxa"/>
            <w:shd w:val="clear" w:color="auto" w:fill="FFFFFF" w:themeFill="background1"/>
            <w:vAlign w:val="center"/>
          </w:tcPr>
          <w:p w14:paraId="15E4FDE7"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UniCV</w:t>
            </w:r>
            <w:proofErr w:type="spellEnd"/>
          </w:p>
        </w:tc>
        <w:tc>
          <w:tcPr>
            <w:tcW w:w="187" w:type="dxa"/>
            <w:shd w:val="clear" w:color="auto" w:fill="F2F2F2" w:themeFill="background1" w:themeFillShade="F2"/>
            <w:vAlign w:val="center"/>
          </w:tcPr>
          <w:p w14:paraId="0CED4E41"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06DFC41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172943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3AC4D4F"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FFFFF" w:themeFill="background1"/>
            <w:vAlign w:val="center"/>
          </w:tcPr>
          <w:p w14:paraId="741E8EF0"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FFFFF" w:themeFill="background1"/>
            <w:vAlign w:val="center"/>
          </w:tcPr>
          <w:p w14:paraId="535E72B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963B51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128032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70F0042"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4589CA2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21E174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76F22EE" w14:textId="160D78F1"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D9BEA24"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1722D36" w14:textId="05B2FAF1"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43D4B0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E753B2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526AB2DD" w14:textId="4191203C"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740 000</w:t>
            </w:r>
          </w:p>
        </w:tc>
      </w:tr>
      <w:tr w:rsidR="00E145CC" w:rsidRPr="00D21977" w14:paraId="1185F280" w14:textId="77777777" w:rsidTr="009F122A">
        <w:trPr>
          <w:trHeight w:val="615"/>
        </w:trPr>
        <w:tc>
          <w:tcPr>
            <w:tcW w:w="1905" w:type="dxa"/>
            <w:vMerge/>
            <w:shd w:val="clear" w:color="auto" w:fill="FFFFFF" w:themeFill="background1"/>
          </w:tcPr>
          <w:p w14:paraId="1579E62C"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007FE694" w14:textId="77777777" w:rsidR="00E145CC" w:rsidRPr="00432609" w:rsidRDefault="00E145CC" w:rsidP="00E145CC">
            <w:pPr>
              <w:spacing w:after="60"/>
              <w:rPr>
                <w:rFonts w:ascii="Garamond" w:eastAsia="Times New Roman" w:hAnsi="Garamond" w:cs="Times New Roman"/>
                <w:color w:val="000000"/>
                <w:sz w:val="20"/>
                <w:szCs w:val="20"/>
                <w:lang w:val="pt-PT" w:eastAsia="es-ES"/>
              </w:rPr>
            </w:pPr>
            <w:r w:rsidRPr="00432609">
              <w:rPr>
                <w:rFonts w:ascii="Garamond" w:hAnsi="Garamond" w:cs="Times New Roman"/>
                <w:lang w:val="pt-PT"/>
              </w:rPr>
              <w:t xml:space="preserve">6.1.4. </w:t>
            </w:r>
            <w:r w:rsidRPr="00432609">
              <w:rPr>
                <w:rFonts w:ascii="Garamond" w:hAnsi="Garamond"/>
                <w:lang w:val="pt-PT"/>
              </w:rPr>
              <w:t>Mapear os indicadores disponíveis a nível municipal/domínio ou ilha, disponibilizar dados para elaboração de análises de género a nível subnacional, e identificar lacunas a preencher.</w:t>
            </w:r>
          </w:p>
        </w:tc>
        <w:tc>
          <w:tcPr>
            <w:tcW w:w="1457" w:type="dxa"/>
            <w:shd w:val="clear" w:color="auto" w:fill="FFFFFF" w:themeFill="background1"/>
            <w:vAlign w:val="center"/>
          </w:tcPr>
          <w:p w14:paraId="45BD5EE8"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0CEECB65"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sidRPr="00982AA1">
              <w:rPr>
                <w:rFonts w:ascii="Garamond" w:eastAsia="Times New Roman" w:hAnsi="Garamond" w:cs="Times New Roman"/>
                <w:sz w:val="20"/>
                <w:szCs w:val="20"/>
                <w:lang w:eastAsia="es-ES"/>
              </w:rPr>
              <w:t xml:space="preserve">, </w:t>
            </w:r>
            <w:proofErr w:type="spellStart"/>
            <w:r w:rsidRPr="00982AA1">
              <w:rPr>
                <w:rFonts w:ascii="Garamond" w:eastAsia="Times New Roman" w:hAnsi="Garamond" w:cs="Times New Roman"/>
                <w:sz w:val="20"/>
                <w:szCs w:val="20"/>
                <w:lang w:eastAsia="es-ES"/>
              </w:rPr>
              <w:t>ODINE</w:t>
            </w:r>
            <w:proofErr w:type="spellEnd"/>
            <w:r w:rsidRPr="00982AA1">
              <w:rPr>
                <w:rFonts w:ascii="Garamond" w:eastAsia="Times New Roman" w:hAnsi="Garamond" w:cs="Times New Roman"/>
                <w:sz w:val="20"/>
                <w:szCs w:val="20"/>
                <w:lang w:eastAsia="es-ES"/>
              </w:rPr>
              <w:t xml:space="preserve"> </w:t>
            </w:r>
            <w:proofErr w:type="spellStart"/>
            <w:r w:rsidRPr="00982AA1">
              <w:rPr>
                <w:rFonts w:ascii="Garamond" w:eastAsia="Times New Roman" w:hAnsi="Garamond" w:cs="Times New Roman"/>
                <w:sz w:val="20"/>
                <w:szCs w:val="20"/>
                <w:lang w:eastAsia="es-ES"/>
              </w:rPr>
              <w:t>sectores</w:t>
            </w:r>
            <w:proofErr w:type="spellEnd"/>
            <w:r w:rsidRPr="00982AA1">
              <w:rPr>
                <w:rFonts w:ascii="Garamond" w:eastAsia="Times New Roman" w:hAnsi="Garamond" w:cs="Times New Roman"/>
                <w:sz w:val="20"/>
                <w:szCs w:val="20"/>
                <w:lang w:eastAsia="es-ES"/>
              </w:rPr>
              <w:t xml:space="preserve">, </w:t>
            </w:r>
            <w:proofErr w:type="spellStart"/>
            <w:r w:rsidRPr="00982AA1">
              <w:rPr>
                <w:rFonts w:ascii="Garamond" w:eastAsia="Times New Roman" w:hAnsi="Garamond" w:cs="Times New Roman"/>
                <w:sz w:val="20"/>
                <w:szCs w:val="20"/>
                <w:lang w:eastAsia="es-ES"/>
              </w:rPr>
              <w:t>municípios</w:t>
            </w:r>
            <w:proofErr w:type="spellEnd"/>
          </w:p>
        </w:tc>
        <w:tc>
          <w:tcPr>
            <w:tcW w:w="187" w:type="dxa"/>
            <w:shd w:val="clear" w:color="auto" w:fill="F2F2F2" w:themeFill="background1" w:themeFillShade="F2"/>
            <w:vAlign w:val="center"/>
          </w:tcPr>
          <w:p w14:paraId="3FFD89DA"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7C9E57D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19BF52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7186EF9" w14:textId="7BFA8329"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F661AD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B1FFEB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57BD28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A485E4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555D6C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91E973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59B246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BCFF84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473ACF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4BFEB3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1B00C6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9D7A5D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61017F85" w14:textId="778E7383"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500 000</w:t>
            </w:r>
          </w:p>
        </w:tc>
      </w:tr>
      <w:tr w:rsidR="00E145CC" w:rsidRPr="00D21977" w14:paraId="5B532043" w14:textId="77777777" w:rsidTr="009F122A">
        <w:trPr>
          <w:trHeight w:val="615"/>
        </w:trPr>
        <w:tc>
          <w:tcPr>
            <w:tcW w:w="1905" w:type="dxa"/>
            <w:vMerge/>
            <w:shd w:val="clear" w:color="auto" w:fill="FFFFFF" w:themeFill="background1"/>
          </w:tcPr>
          <w:p w14:paraId="5AB4E287"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68634090" w14:textId="77777777" w:rsidR="00E145CC" w:rsidRPr="00432609" w:rsidRDefault="00E145CC" w:rsidP="00E145CC">
            <w:pPr>
              <w:spacing w:after="60"/>
              <w:rPr>
                <w:rFonts w:ascii="Garamond" w:eastAsia="Times New Roman" w:hAnsi="Garamond" w:cs="Times New Roman"/>
                <w:color w:val="000000"/>
                <w:sz w:val="20"/>
                <w:szCs w:val="20"/>
                <w:lang w:val="pt-PT" w:eastAsia="es-ES"/>
              </w:rPr>
            </w:pPr>
            <w:r w:rsidRPr="00432609">
              <w:rPr>
                <w:rFonts w:ascii="Garamond" w:hAnsi="Garamond" w:cs="Times New Roman"/>
                <w:lang w:val="pt-PT"/>
              </w:rPr>
              <w:t xml:space="preserve">6.1.5. Integrar a abordagem de género nos inquéritos previstos nos próximos anos (Censo 2020, IMC, </w:t>
            </w:r>
            <w:proofErr w:type="spellStart"/>
            <w:r w:rsidRPr="00432609">
              <w:rPr>
                <w:rFonts w:ascii="Garamond" w:hAnsi="Garamond" w:cs="Times New Roman"/>
                <w:lang w:val="pt-PT"/>
              </w:rPr>
              <w:t>IDNT</w:t>
            </w:r>
            <w:proofErr w:type="spellEnd"/>
            <w:r w:rsidRPr="00432609">
              <w:rPr>
                <w:rFonts w:ascii="Garamond" w:hAnsi="Garamond" w:cs="Times New Roman"/>
                <w:lang w:val="pt-PT"/>
              </w:rPr>
              <w:t xml:space="preserve">, IAE, entre outos), desde a sua </w:t>
            </w:r>
            <w:proofErr w:type="spellStart"/>
            <w:r w:rsidRPr="00432609">
              <w:rPr>
                <w:rFonts w:ascii="Garamond" w:hAnsi="Garamond" w:cs="Times New Roman"/>
                <w:lang w:val="pt-PT"/>
              </w:rPr>
              <w:t>conceção</w:t>
            </w:r>
            <w:proofErr w:type="spellEnd"/>
            <w:r w:rsidRPr="00432609">
              <w:rPr>
                <w:rFonts w:ascii="Garamond" w:hAnsi="Garamond" w:cs="Times New Roman"/>
                <w:lang w:val="pt-PT"/>
              </w:rPr>
              <w:t xml:space="preserve"> e em todas as etapas.</w:t>
            </w:r>
          </w:p>
        </w:tc>
        <w:tc>
          <w:tcPr>
            <w:tcW w:w="1457" w:type="dxa"/>
            <w:shd w:val="clear" w:color="auto" w:fill="FFFFFF" w:themeFill="background1"/>
            <w:vAlign w:val="center"/>
          </w:tcPr>
          <w:p w14:paraId="42B0C741"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12D8D485"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MSS</w:t>
            </w:r>
            <w:proofErr w:type="spellEnd"/>
          </w:p>
        </w:tc>
        <w:tc>
          <w:tcPr>
            <w:tcW w:w="187" w:type="dxa"/>
            <w:shd w:val="clear" w:color="auto" w:fill="F2F2F2" w:themeFill="background1" w:themeFillShade="F2"/>
            <w:vAlign w:val="center"/>
          </w:tcPr>
          <w:p w14:paraId="235DA5DF"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AB10E4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57E022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E2560C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AFE2DC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42FC8D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838E93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A5818F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0C336E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C1D9D4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727551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AF8C77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5093EB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EB75FB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BE1130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4A2E78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5898070B" w14:textId="2EF26100"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2 000 000</w:t>
            </w:r>
          </w:p>
        </w:tc>
      </w:tr>
      <w:tr w:rsidR="00E145CC" w:rsidRPr="00D21977" w14:paraId="771DBE86" w14:textId="77777777" w:rsidTr="009F122A">
        <w:trPr>
          <w:trHeight w:val="615"/>
        </w:trPr>
        <w:tc>
          <w:tcPr>
            <w:tcW w:w="1905" w:type="dxa"/>
            <w:vMerge/>
            <w:shd w:val="clear" w:color="auto" w:fill="FFFFFF" w:themeFill="background1"/>
          </w:tcPr>
          <w:p w14:paraId="1F09A06E"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4F5C59A0"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cs="Times New Roman"/>
                <w:lang w:val="pt-PT"/>
              </w:rPr>
              <w:t xml:space="preserve">6.1.6. Reforçar as capacidades dos </w:t>
            </w:r>
            <w:proofErr w:type="spellStart"/>
            <w:r w:rsidRPr="00084515">
              <w:rPr>
                <w:rFonts w:ascii="Garamond" w:hAnsi="Garamond" w:cs="Times New Roman"/>
                <w:lang w:val="pt-PT"/>
              </w:rPr>
              <w:t>atores</w:t>
            </w:r>
            <w:proofErr w:type="spellEnd"/>
            <w:r w:rsidRPr="00084515">
              <w:rPr>
                <w:rFonts w:ascii="Garamond" w:hAnsi="Garamond" w:cs="Times New Roman"/>
                <w:lang w:val="pt-PT"/>
              </w:rPr>
              <w:t xml:space="preserve"> envolvidos nas </w:t>
            </w:r>
            <w:r w:rsidRPr="00084515">
              <w:rPr>
                <w:rFonts w:ascii="Garamond" w:hAnsi="Garamond"/>
                <w:lang w:val="pt-PT"/>
              </w:rPr>
              <w:t>estatísticas das empresas para a produção de dados desagregados por sexo e indicadores de género relevantes</w:t>
            </w:r>
          </w:p>
        </w:tc>
        <w:tc>
          <w:tcPr>
            <w:tcW w:w="1457" w:type="dxa"/>
            <w:shd w:val="clear" w:color="auto" w:fill="FFFFFF" w:themeFill="background1"/>
            <w:vAlign w:val="center"/>
          </w:tcPr>
          <w:p w14:paraId="24E73BC6"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55ECDCF1"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7AE4E45C"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3A19A35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49B4B0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49ABF0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FA0890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CB59E9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E91166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F14BB8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96A91D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869CB9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DB4E5B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FDE0A6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441F89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1EABDA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5799E3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5B827F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34E2AD43" w14:textId="238012F2"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775 000</w:t>
            </w:r>
          </w:p>
        </w:tc>
      </w:tr>
      <w:tr w:rsidR="00E145CC" w:rsidRPr="00D21977" w14:paraId="311AAB14" w14:textId="77777777" w:rsidTr="009F122A">
        <w:trPr>
          <w:trHeight w:val="615"/>
        </w:trPr>
        <w:tc>
          <w:tcPr>
            <w:tcW w:w="1905" w:type="dxa"/>
            <w:vMerge/>
            <w:shd w:val="clear" w:color="auto" w:fill="FFFFFF" w:themeFill="background1"/>
          </w:tcPr>
          <w:p w14:paraId="4B231D0E"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1D1E7E07"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cs="Times New Roman"/>
                <w:lang w:val="pt-PT"/>
              </w:rPr>
              <w:t xml:space="preserve">6.1.7. </w:t>
            </w:r>
            <w:r w:rsidRPr="00084515">
              <w:rPr>
                <w:rFonts w:ascii="Garamond" w:hAnsi="Garamond"/>
                <w:lang w:val="pt-PT"/>
              </w:rPr>
              <w:t xml:space="preserve">Advogar junto do </w:t>
            </w:r>
            <w:proofErr w:type="spellStart"/>
            <w:r w:rsidRPr="00084515">
              <w:rPr>
                <w:rFonts w:ascii="Garamond" w:hAnsi="Garamond"/>
                <w:lang w:val="pt-PT"/>
              </w:rPr>
              <w:t>BCV</w:t>
            </w:r>
            <w:proofErr w:type="spellEnd"/>
            <w:r w:rsidRPr="00084515">
              <w:rPr>
                <w:rFonts w:ascii="Garamond" w:hAnsi="Garamond"/>
                <w:lang w:val="pt-PT"/>
              </w:rPr>
              <w:t xml:space="preserve"> a necessidade de produzir indicadores de acesso ao crédito e microcrédito desagregados por sexo e apoiar a sua implementação.</w:t>
            </w:r>
          </w:p>
        </w:tc>
        <w:tc>
          <w:tcPr>
            <w:tcW w:w="1457" w:type="dxa"/>
            <w:shd w:val="clear" w:color="auto" w:fill="FFFFFF" w:themeFill="background1"/>
            <w:vAlign w:val="center"/>
          </w:tcPr>
          <w:p w14:paraId="35D58126"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5AC867E5" w14:textId="291D78AF"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BCV</w:t>
            </w:r>
            <w:proofErr w:type="spellEnd"/>
            <w:r>
              <w:rPr>
                <w:rFonts w:ascii="Garamond" w:eastAsia="Times New Roman" w:hAnsi="Garamond" w:cs="Times New Roman"/>
                <w:color w:val="000000"/>
                <w:sz w:val="20"/>
                <w:szCs w:val="20"/>
                <w:lang w:eastAsia="es-ES"/>
              </w:rPr>
              <w:t>, IMF</w:t>
            </w:r>
          </w:p>
        </w:tc>
        <w:tc>
          <w:tcPr>
            <w:tcW w:w="187" w:type="dxa"/>
            <w:shd w:val="clear" w:color="auto" w:fill="F2F2F2" w:themeFill="background1" w:themeFillShade="F2"/>
            <w:vAlign w:val="center"/>
          </w:tcPr>
          <w:p w14:paraId="554694E8"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0FCB648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8DC0CC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CE3B6B6" w14:textId="6AAB9F1F"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6E564B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954CED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58EECB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71BD23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15C689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1243B5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6049EE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A5166F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FE7605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A68420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CB8C3A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736CCB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0C58434D" w14:textId="03638E82"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775 000</w:t>
            </w:r>
          </w:p>
        </w:tc>
      </w:tr>
      <w:tr w:rsidR="00E145CC" w:rsidRPr="00D21977" w14:paraId="32C0CEF6" w14:textId="77777777" w:rsidTr="009F122A">
        <w:trPr>
          <w:trHeight w:val="615"/>
        </w:trPr>
        <w:tc>
          <w:tcPr>
            <w:tcW w:w="1905" w:type="dxa"/>
            <w:vMerge/>
            <w:shd w:val="clear" w:color="auto" w:fill="FFFFFF" w:themeFill="background1"/>
          </w:tcPr>
          <w:p w14:paraId="6721EA64"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1B29ED26"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cs="Times New Roman"/>
                <w:lang w:val="pt-PT"/>
              </w:rPr>
              <w:t xml:space="preserve">6.1.8. </w:t>
            </w:r>
            <w:r w:rsidRPr="004F26A9">
              <w:rPr>
                <w:rFonts w:ascii="Garamond" w:hAnsi="Garamond" w:cs="Arial"/>
                <w:lang w:val="pt-BR"/>
              </w:rPr>
              <w:t xml:space="preserve">Introduzidas questões sobre a conciliação </w:t>
            </w:r>
            <w:r w:rsidRPr="00084515">
              <w:rPr>
                <w:rFonts w:ascii="Garamond" w:hAnsi="Garamond"/>
                <w:lang w:val="pt-PT"/>
              </w:rPr>
              <w:t xml:space="preserve">da vida familiar e laboral no Inquérito ao Emprego e planificar </w:t>
            </w:r>
            <w:r w:rsidRPr="004F26A9">
              <w:rPr>
                <w:rFonts w:ascii="Garamond" w:hAnsi="Garamond" w:cs="Arial"/>
                <w:lang w:val="pt-BR"/>
              </w:rPr>
              <w:t>a realização do 2º IUT e otenção de dados subnacionais sobre Uso do Tempo.</w:t>
            </w:r>
          </w:p>
        </w:tc>
        <w:tc>
          <w:tcPr>
            <w:tcW w:w="1457" w:type="dxa"/>
            <w:shd w:val="clear" w:color="auto" w:fill="FFFFFF" w:themeFill="background1"/>
            <w:vAlign w:val="center"/>
          </w:tcPr>
          <w:p w14:paraId="327B9715"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4A5FD705"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59C8C537"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0642A62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5EBD69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3953FB2" w14:textId="35486811"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FB9506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34E56D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F670EC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FAF1F3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C4C837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E5CAFA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4CB1BF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EFDAAF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49417A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05C204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9504AD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85419A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4D683B89" w14:textId="1D5EB45F"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3 555 000</w:t>
            </w:r>
          </w:p>
        </w:tc>
      </w:tr>
      <w:tr w:rsidR="00E145CC" w:rsidRPr="00D21977" w14:paraId="4C887412" w14:textId="77777777" w:rsidTr="009F122A">
        <w:trPr>
          <w:trHeight w:val="615"/>
        </w:trPr>
        <w:tc>
          <w:tcPr>
            <w:tcW w:w="1905" w:type="dxa"/>
            <w:vMerge/>
            <w:shd w:val="clear" w:color="auto" w:fill="FFFFFF" w:themeFill="background1"/>
          </w:tcPr>
          <w:p w14:paraId="29D08531"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3F9269C4"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cs="Times New Roman"/>
                <w:lang w:val="pt-PT"/>
              </w:rPr>
              <w:t xml:space="preserve">6.1.9. </w:t>
            </w:r>
            <w:r w:rsidRPr="00084515">
              <w:rPr>
                <w:rFonts w:ascii="Garamond" w:hAnsi="Garamond"/>
                <w:lang w:val="pt-PT"/>
              </w:rPr>
              <w:t xml:space="preserve">Reforçar as capacidades do INE para a análise da dimensão salarial nos inquéritos ao emprego. </w:t>
            </w:r>
          </w:p>
        </w:tc>
        <w:tc>
          <w:tcPr>
            <w:tcW w:w="1457" w:type="dxa"/>
            <w:shd w:val="clear" w:color="auto" w:fill="FFFFFF" w:themeFill="background1"/>
            <w:vAlign w:val="center"/>
          </w:tcPr>
          <w:p w14:paraId="6EF04A2F"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135ADFF1"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204DE590"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676C83F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90EFBC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EDE272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B9215C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E598B9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C4D111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394CB1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E3EF16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FBF553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A35925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43C38F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5627DB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E7E172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64BBB3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25A0AB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2359F13D" w14:textId="553A5B41"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745 000</w:t>
            </w:r>
          </w:p>
        </w:tc>
      </w:tr>
      <w:tr w:rsidR="00E145CC" w:rsidRPr="00D21977" w14:paraId="208066AF" w14:textId="77777777" w:rsidTr="009F122A">
        <w:trPr>
          <w:trHeight w:val="615"/>
        </w:trPr>
        <w:tc>
          <w:tcPr>
            <w:tcW w:w="1905" w:type="dxa"/>
            <w:vMerge/>
            <w:shd w:val="clear" w:color="auto" w:fill="FFFFFF" w:themeFill="background1"/>
          </w:tcPr>
          <w:p w14:paraId="29D9B83F"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207E1D55"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cs="Times New Roman"/>
                <w:lang w:val="pt-PT"/>
              </w:rPr>
              <w:t xml:space="preserve">6.1.10. </w:t>
            </w:r>
            <w:proofErr w:type="spellStart"/>
            <w:r w:rsidRPr="00084515">
              <w:rPr>
                <w:rFonts w:ascii="Garamond" w:hAnsi="Garamond" w:cs="Times New Roman"/>
                <w:lang w:val="pt-PT"/>
              </w:rPr>
              <w:t>Efetuar</w:t>
            </w:r>
            <w:proofErr w:type="spellEnd"/>
            <w:r w:rsidRPr="00084515">
              <w:rPr>
                <w:rFonts w:ascii="Garamond" w:hAnsi="Garamond" w:cs="Times New Roman"/>
                <w:lang w:val="pt-PT"/>
              </w:rPr>
              <w:t xml:space="preserve"> e divulgar análises complementares a partir dos dados disponíveis, em particular uma análise abrangente </w:t>
            </w:r>
            <w:r w:rsidRPr="00084515">
              <w:rPr>
                <w:rFonts w:ascii="Garamond" w:hAnsi="Garamond"/>
                <w:lang w:val="pt-PT"/>
              </w:rPr>
              <w:t xml:space="preserve">dos dados do </w:t>
            </w:r>
            <w:proofErr w:type="spellStart"/>
            <w:r w:rsidRPr="00084515">
              <w:rPr>
                <w:rFonts w:ascii="Garamond" w:hAnsi="Garamond"/>
                <w:lang w:val="pt-PT"/>
              </w:rPr>
              <w:t>IDSR</w:t>
            </w:r>
            <w:proofErr w:type="spellEnd"/>
            <w:r w:rsidRPr="00084515">
              <w:rPr>
                <w:rFonts w:ascii="Garamond" w:hAnsi="Garamond"/>
                <w:lang w:val="pt-PT"/>
              </w:rPr>
              <w:t xml:space="preserve"> III (2018), do Censo 2020 e indicadores disponíveis a nível subnacional (perfis locais de género)</w:t>
            </w:r>
          </w:p>
        </w:tc>
        <w:tc>
          <w:tcPr>
            <w:tcW w:w="1457" w:type="dxa"/>
            <w:shd w:val="clear" w:color="auto" w:fill="FFFFFF" w:themeFill="background1"/>
            <w:vAlign w:val="center"/>
          </w:tcPr>
          <w:p w14:paraId="2138148E"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INE</w:t>
            </w:r>
            <w:proofErr w:type="spellEnd"/>
          </w:p>
        </w:tc>
        <w:tc>
          <w:tcPr>
            <w:tcW w:w="2040" w:type="dxa"/>
            <w:shd w:val="clear" w:color="auto" w:fill="FFFFFF" w:themeFill="background1"/>
            <w:vAlign w:val="center"/>
          </w:tcPr>
          <w:p w14:paraId="7F795AC8"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AMNCV</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Municípios</w:t>
            </w:r>
            <w:proofErr w:type="spellEnd"/>
          </w:p>
        </w:tc>
        <w:tc>
          <w:tcPr>
            <w:tcW w:w="187" w:type="dxa"/>
            <w:shd w:val="clear" w:color="auto" w:fill="F2F2F2" w:themeFill="background1" w:themeFillShade="F2"/>
            <w:vAlign w:val="center"/>
          </w:tcPr>
          <w:p w14:paraId="6D9CAAA2"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2E4AEBF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B4BE20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92A612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9DE341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C813A3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4A3EE8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001BB7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D8237B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7A180F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9DD50C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A6FF1D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39D133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BF68CC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C8394C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EF01C2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5C757117" w14:textId="3ACBB60A"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3 030 000</w:t>
            </w:r>
          </w:p>
        </w:tc>
      </w:tr>
      <w:tr w:rsidR="00E145CC" w:rsidRPr="00D21977" w14:paraId="422E9323" w14:textId="77777777" w:rsidTr="009F122A">
        <w:trPr>
          <w:trHeight w:val="615"/>
        </w:trPr>
        <w:tc>
          <w:tcPr>
            <w:tcW w:w="1905" w:type="dxa"/>
            <w:vMerge w:val="restart"/>
            <w:shd w:val="clear" w:color="auto" w:fill="FFFFFF" w:themeFill="background1"/>
          </w:tcPr>
          <w:p w14:paraId="78F00D8E" w14:textId="77777777" w:rsidR="00E145CC" w:rsidRPr="00084515" w:rsidRDefault="00E145CC" w:rsidP="00E145CC">
            <w:pPr>
              <w:spacing w:after="240"/>
              <w:rPr>
                <w:rFonts w:ascii="Garamond" w:hAnsi="Garamond"/>
                <w:sz w:val="20"/>
                <w:szCs w:val="20"/>
                <w:lang w:val="pt-PT"/>
              </w:rPr>
            </w:pPr>
            <w:r w:rsidRPr="00084515">
              <w:rPr>
                <w:rFonts w:ascii="Garamond" w:hAnsi="Garamond"/>
                <w:lang w:val="pt-PT"/>
              </w:rPr>
              <w:t xml:space="preserve">6.2. Melhoradas as capacidades da Comissão de Género e dos </w:t>
            </w:r>
            <w:proofErr w:type="spellStart"/>
            <w:r w:rsidRPr="00084515">
              <w:rPr>
                <w:rFonts w:ascii="Garamond" w:hAnsi="Garamond"/>
                <w:lang w:val="pt-PT"/>
              </w:rPr>
              <w:t>setores</w:t>
            </w:r>
            <w:proofErr w:type="spellEnd"/>
            <w:r w:rsidRPr="00084515">
              <w:rPr>
                <w:rFonts w:ascii="Garamond" w:hAnsi="Garamond"/>
                <w:lang w:val="pt-PT"/>
              </w:rPr>
              <w:t xml:space="preserve"> para a </w:t>
            </w:r>
            <w:proofErr w:type="spellStart"/>
            <w:r w:rsidRPr="00084515">
              <w:rPr>
                <w:rFonts w:ascii="Garamond" w:hAnsi="Garamond"/>
                <w:lang w:val="pt-PT"/>
              </w:rPr>
              <w:t>transversalização</w:t>
            </w:r>
            <w:proofErr w:type="spellEnd"/>
            <w:r w:rsidRPr="00084515">
              <w:rPr>
                <w:rFonts w:ascii="Garamond" w:hAnsi="Garamond"/>
                <w:lang w:val="pt-PT"/>
              </w:rPr>
              <w:t xml:space="preserve"> da abordagem de género e implementação e seguimento dos compromissos nacionais e internacionais de género</w:t>
            </w:r>
          </w:p>
        </w:tc>
        <w:tc>
          <w:tcPr>
            <w:tcW w:w="5159" w:type="dxa"/>
            <w:shd w:val="clear" w:color="auto" w:fill="FFFFFF" w:themeFill="background1"/>
          </w:tcPr>
          <w:p w14:paraId="2C44F374"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6.2.1. Reforçar as capacidades da Comissão de Género em matéria de </w:t>
            </w:r>
            <w:proofErr w:type="spellStart"/>
            <w:r w:rsidRPr="00084515">
              <w:rPr>
                <w:rFonts w:ascii="Garamond" w:hAnsi="Garamond"/>
                <w:lang w:val="pt-PT"/>
              </w:rPr>
              <w:t>TG</w:t>
            </w:r>
            <w:proofErr w:type="spellEnd"/>
            <w:r w:rsidRPr="00084515">
              <w:rPr>
                <w:rFonts w:ascii="Garamond" w:hAnsi="Garamond"/>
                <w:lang w:val="pt-PT"/>
              </w:rPr>
              <w:t xml:space="preserve"> e análise sectorial de género, e operacionalizar o seguimento e reportagem sobre políticas de género.</w:t>
            </w:r>
          </w:p>
        </w:tc>
        <w:tc>
          <w:tcPr>
            <w:tcW w:w="1457" w:type="dxa"/>
            <w:shd w:val="clear" w:color="auto" w:fill="FFFFFF" w:themeFill="background1"/>
            <w:vAlign w:val="center"/>
          </w:tcPr>
          <w:p w14:paraId="6C3C6E26"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040" w:type="dxa"/>
            <w:shd w:val="clear" w:color="auto" w:fill="FFFFFF" w:themeFill="background1"/>
            <w:vAlign w:val="center"/>
          </w:tcPr>
          <w:p w14:paraId="655A8CCE"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Comissão</w:t>
            </w:r>
            <w:proofErr w:type="spellEnd"/>
            <w:r>
              <w:rPr>
                <w:rFonts w:ascii="Garamond" w:eastAsia="Times New Roman" w:hAnsi="Garamond" w:cs="Times New Roman"/>
                <w:color w:val="000000"/>
                <w:sz w:val="20"/>
                <w:szCs w:val="20"/>
                <w:lang w:eastAsia="es-ES"/>
              </w:rPr>
              <w:t xml:space="preserve"> de </w:t>
            </w:r>
            <w:proofErr w:type="spellStart"/>
            <w:r>
              <w:rPr>
                <w:rFonts w:ascii="Garamond" w:eastAsia="Times New Roman" w:hAnsi="Garamond" w:cs="Times New Roman"/>
                <w:color w:val="000000"/>
                <w:sz w:val="20"/>
                <w:szCs w:val="20"/>
                <w:lang w:eastAsia="es-ES"/>
              </w:rPr>
              <w:t>Género</w:t>
            </w:r>
            <w:proofErr w:type="spellEnd"/>
          </w:p>
        </w:tc>
        <w:tc>
          <w:tcPr>
            <w:tcW w:w="187" w:type="dxa"/>
            <w:shd w:val="clear" w:color="auto" w:fill="F2F2F2" w:themeFill="background1" w:themeFillShade="F2"/>
            <w:vAlign w:val="center"/>
          </w:tcPr>
          <w:p w14:paraId="5DD8B558"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DB1CA2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8A45A0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41EE36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00617D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4CC986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7FE607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4C8451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20E9D1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5ACE46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4C4137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12BD5B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9B1746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7CBD82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231361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4F551A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724AFF3C" w14:textId="341366EA"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1 755 000</w:t>
            </w:r>
          </w:p>
        </w:tc>
      </w:tr>
      <w:tr w:rsidR="00E145CC" w:rsidRPr="00D21977" w14:paraId="53041603" w14:textId="77777777" w:rsidTr="009F122A">
        <w:trPr>
          <w:trHeight w:val="615"/>
        </w:trPr>
        <w:tc>
          <w:tcPr>
            <w:tcW w:w="1905" w:type="dxa"/>
            <w:vMerge/>
            <w:shd w:val="clear" w:color="auto" w:fill="FFFFFF" w:themeFill="background1"/>
          </w:tcPr>
          <w:p w14:paraId="0FCF86C0" w14:textId="77777777" w:rsidR="00E145CC" w:rsidRDefault="00E145CC" w:rsidP="00E145CC">
            <w:pPr>
              <w:spacing w:after="240"/>
              <w:rPr>
                <w:rFonts w:ascii="Garamond" w:hAnsi="Garamond"/>
              </w:rPr>
            </w:pPr>
          </w:p>
        </w:tc>
        <w:tc>
          <w:tcPr>
            <w:tcW w:w="5159" w:type="dxa"/>
            <w:shd w:val="clear" w:color="auto" w:fill="FFFFFF" w:themeFill="background1"/>
          </w:tcPr>
          <w:p w14:paraId="27712FD8"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6.2.2. Discutir com todos os sectores, gestores de Programas do </w:t>
            </w:r>
            <w:proofErr w:type="spellStart"/>
            <w:r w:rsidRPr="00084515">
              <w:rPr>
                <w:rFonts w:ascii="Garamond" w:hAnsi="Garamond"/>
                <w:lang w:val="pt-PT"/>
              </w:rPr>
              <w:t>PEDS</w:t>
            </w:r>
            <w:proofErr w:type="spellEnd"/>
            <w:r w:rsidRPr="00084515">
              <w:rPr>
                <w:rFonts w:ascii="Garamond" w:hAnsi="Garamond"/>
                <w:lang w:val="pt-PT"/>
              </w:rPr>
              <w:t xml:space="preserve"> e </w:t>
            </w:r>
            <w:proofErr w:type="spellStart"/>
            <w:r w:rsidRPr="00084515">
              <w:rPr>
                <w:rFonts w:ascii="Garamond" w:hAnsi="Garamond"/>
                <w:lang w:val="pt-PT"/>
              </w:rPr>
              <w:t>atores</w:t>
            </w:r>
            <w:proofErr w:type="spellEnd"/>
            <w:r w:rsidRPr="00084515">
              <w:rPr>
                <w:rFonts w:ascii="Garamond" w:hAnsi="Garamond"/>
                <w:lang w:val="pt-PT"/>
              </w:rPr>
              <w:t xml:space="preserve"> implicados na implementação do </w:t>
            </w:r>
            <w:proofErr w:type="spellStart"/>
            <w:r w:rsidRPr="00084515">
              <w:rPr>
                <w:rFonts w:ascii="Garamond" w:hAnsi="Garamond"/>
                <w:lang w:val="pt-PT"/>
              </w:rPr>
              <w:t>PNIG</w:t>
            </w:r>
            <w:proofErr w:type="spellEnd"/>
            <w:r w:rsidRPr="00084515">
              <w:rPr>
                <w:rFonts w:ascii="Garamond" w:hAnsi="Garamond"/>
                <w:lang w:val="pt-PT"/>
              </w:rPr>
              <w:t xml:space="preserve"> os respectivos compromissos de género (</w:t>
            </w:r>
            <w:proofErr w:type="spellStart"/>
            <w:r w:rsidRPr="00084515">
              <w:rPr>
                <w:rFonts w:ascii="Garamond" w:hAnsi="Garamond"/>
                <w:lang w:val="pt-PT"/>
              </w:rPr>
              <w:t>PNIG</w:t>
            </w:r>
            <w:proofErr w:type="spellEnd"/>
            <w:r w:rsidRPr="00084515">
              <w:rPr>
                <w:rFonts w:ascii="Garamond" w:hAnsi="Garamond"/>
                <w:lang w:val="pt-PT"/>
              </w:rPr>
              <w:t xml:space="preserve"> e </w:t>
            </w:r>
            <w:proofErr w:type="spellStart"/>
            <w:r w:rsidRPr="00084515">
              <w:rPr>
                <w:rFonts w:ascii="Garamond" w:hAnsi="Garamond"/>
                <w:lang w:val="pt-PT"/>
              </w:rPr>
              <w:t>CEDAW</w:t>
            </w:r>
            <w:proofErr w:type="spellEnd"/>
            <w:r w:rsidRPr="00084515">
              <w:rPr>
                <w:rFonts w:ascii="Garamond" w:hAnsi="Garamond"/>
                <w:lang w:val="pt-PT"/>
              </w:rPr>
              <w:t>) e planificar a sua implementação.</w:t>
            </w:r>
          </w:p>
        </w:tc>
        <w:tc>
          <w:tcPr>
            <w:tcW w:w="1457" w:type="dxa"/>
            <w:shd w:val="clear" w:color="auto" w:fill="FFFFFF" w:themeFill="background1"/>
            <w:vAlign w:val="center"/>
          </w:tcPr>
          <w:p w14:paraId="3C453EDF"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040" w:type="dxa"/>
            <w:shd w:val="clear" w:color="auto" w:fill="FFFFFF" w:themeFill="background1"/>
            <w:vAlign w:val="center"/>
          </w:tcPr>
          <w:p w14:paraId="4789BCD7" w14:textId="77777777" w:rsidR="00E145CC" w:rsidRPr="00D21977" w:rsidRDefault="00E145CC" w:rsidP="00E145C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DNP, </w:t>
            </w:r>
            <w:proofErr w:type="spellStart"/>
            <w:r>
              <w:rPr>
                <w:rFonts w:ascii="Garamond" w:eastAsia="Times New Roman" w:hAnsi="Garamond" w:cs="Times New Roman"/>
                <w:color w:val="000000"/>
                <w:sz w:val="20"/>
                <w:szCs w:val="20"/>
                <w:lang w:eastAsia="es-ES"/>
              </w:rPr>
              <w:t>DGPOGs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sectores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instituições</w:t>
            </w:r>
            <w:proofErr w:type="spellEnd"/>
          </w:p>
        </w:tc>
        <w:tc>
          <w:tcPr>
            <w:tcW w:w="187" w:type="dxa"/>
            <w:shd w:val="clear" w:color="auto" w:fill="F2F2F2" w:themeFill="background1" w:themeFillShade="F2"/>
            <w:vAlign w:val="center"/>
          </w:tcPr>
          <w:p w14:paraId="0A1E570E"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8FE6A7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347EBF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9334EA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05DF95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0329AA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063C6A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EC96B5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027743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4A2681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5808C8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F9C042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F579E8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F69D63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A4C042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1471B0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3FE51930" w14:textId="675FEB35"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640 000</w:t>
            </w:r>
          </w:p>
        </w:tc>
      </w:tr>
      <w:tr w:rsidR="00E145CC" w:rsidRPr="00D21977" w14:paraId="1CE0D5DF" w14:textId="77777777" w:rsidTr="009F122A">
        <w:trPr>
          <w:trHeight w:val="615"/>
        </w:trPr>
        <w:tc>
          <w:tcPr>
            <w:tcW w:w="1905" w:type="dxa"/>
            <w:vMerge/>
            <w:shd w:val="clear" w:color="auto" w:fill="FFFFFF" w:themeFill="background1"/>
          </w:tcPr>
          <w:p w14:paraId="5ECD472E" w14:textId="77777777" w:rsidR="00E145CC" w:rsidRDefault="00E145CC" w:rsidP="00E145CC">
            <w:pPr>
              <w:spacing w:after="240"/>
              <w:rPr>
                <w:rFonts w:ascii="Garamond" w:hAnsi="Garamond"/>
              </w:rPr>
            </w:pPr>
          </w:p>
        </w:tc>
        <w:tc>
          <w:tcPr>
            <w:tcW w:w="5159" w:type="dxa"/>
            <w:shd w:val="clear" w:color="auto" w:fill="FFFFFF" w:themeFill="background1"/>
          </w:tcPr>
          <w:p w14:paraId="0430A49A" w14:textId="77777777" w:rsidR="00E145CC" w:rsidRPr="00084515" w:rsidRDefault="00E145CC" w:rsidP="00E145CC">
            <w:pPr>
              <w:spacing w:after="60"/>
              <w:rPr>
                <w:rFonts w:ascii="Garamond" w:hAnsi="Garamond"/>
                <w:lang w:val="pt-PT"/>
              </w:rPr>
            </w:pPr>
            <w:r w:rsidRPr="00084515">
              <w:rPr>
                <w:rFonts w:ascii="Garamond" w:hAnsi="Garamond"/>
                <w:lang w:val="pt-PT"/>
              </w:rPr>
              <w:t xml:space="preserve">6.2.3. Reforçar as capacidades técnicas do </w:t>
            </w:r>
            <w:proofErr w:type="spellStart"/>
            <w:r w:rsidRPr="00084515">
              <w:rPr>
                <w:rFonts w:ascii="Garamond" w:hAnsi="Garamond"/>
                <w:lang w:val="pt-PT"/>
              </w:rPr>
              <w:t>ICIEG</w:t>
            </w:r>
            <w:proofErr w:type="spellEnd"/>
            <w:r w:rsidRPr="00084515">
              <w:rPr>
                <w:rFonts w:ascii="Garamond" w:hAnsi="Garamond"/>
                <w:lang w:val="pt-PT"/>
              </w:rPr>
              <w:t xml:space="preserve"> em matéria de seguimento e avaliação e assegurar a operacionalidade do sistema de </w:t>
            </w:r>
            <w:proofErr w:type="spellStart"/>
            <w:r w:rsidRPr="00084515">
              <w:rPr>
                <w:rFonts w:ascii="Garamond" w:hAnsi="Garamond"/>
                <w:lang w:val="pt-PT"/>
              </w:rPr>
              <w:t>S&amp;A</w:t>
            </w:r>
            <w:proofErr w:type="spellEnd"/>
            <w:r w:rsidRPr="00084515">
              <w:rPr>
                <w:rFonts w:ascii="Garamond" w:hAnsi="Garamond"/>
                <w:lang w:val="pt-PT"/>
              </w:rPr>
              <w:t xml:space="preserve"> do </w:t>
            </w:r>
            <w:proofErr w:type="spellStart"/>
            <w:r w:rsidRPr="00084515">
              <w:rPr>
                <w:rFonts w:ascii="Garamond" w:hAnsi="Garamond"/>
                <w:lang w:val="pt-PT"/>
              </w:rPr>
              <w:t>PNIG</w:t>
            </w:r>
            <w:proofErr w:type="spellEnd"/>
          </w:p>
        </w:tc>
        <w:tc>
          <w:tcPr>
            <w:tcW w:w="1457" w:type="dxa"/>
            <w:shd w:val="clear" w:color="auto" w:fill="FFFFFF" w:themeFill="background1"/>
            <w:vAlign w:val="center"/>
          </w:tcPr>
          <w:p w14:paraId="59276935"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040" w:type="dxa"/>
            <w:shd w:val="clear" w:color="auto" w:fill="FFFFFF" w:themeFill="background1"/>
            <w:vAlign w:val="center"/>
          </w:tcPr>
          <w:p w14:paraId="57FBF81C" w14:textId="77777777" w:rsidR="00E145CC" w:rsidRDefault="00E145CC" w:rsidP="00E145CC">
            <w:pPr>
              <w:jc w:val="center"/>
              <w:rPr>
                <w:rFonts w:ascii="Garamond" w:eastAsia="Times New Roman" w:hAnsi="Garamond" w:cs="Times New Roman"/>
                <w:color w:val="000000"/>
                <w:sz w:val="20"/>
                <w:szCs w:val="20"/>
                <w:lang w:eastAsia="es-ES"/>
              </w:rPr>
            </w:pPr>
          </w:p>
        </w:tc>
        <w:tc>
          <w:tcPr>
            <w:tcW w:w="187" w:type="dxa"/>
            <w:shd w:val="clear" w:color="auto" w:fill="F2F2F2" w:themeFill="background1" w:themeFillShade="F2"/>
            <w:vAlign w:val="center"/>
          </w:tcPr>
          <w:p w14:paraId="786A2C8D"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C3C0A0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65931C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6D6FEC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0F8D23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4A54B1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43F8E2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53D0FE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297474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095C05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C008BC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BFEC6F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823561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EAA3C7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3DF97F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3D5078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2E8E1C4F" w14:textId="65CF460A"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2 490 000</w:t>
            </w:r>
          </w:p>
        </w:tc>
      </w:tr>
      <w:tr w:rsidR="00E145CC" w:rsidRPr="00D21977" w14:paraId="7DFC0CBC" w14:textId="77777777" w:rsidTr="009F122A">
        <w:trPr>
          <w:trHeight w:val="615"/>
        </w:trPr>
        <w:tc>
          <w:tcPr>
            <w:tcW w:w="1905" w:type="dxa"/>
            <w:vMerge/>
            <w:shd w:val="clear" w:color="auto" w:fill="FFFFFF" w:themeFill="background1"/>
          </w:tcPr>
          <w:p w14:paraId="78799750" w14:textId="77777777" w:rsidR="00E145CC" w:rsidRDefault="00E145CC" w:rsidP="00E145CC">
            <w:pPr>
              <w:spacing w:after="240"/>
              <w:rPr>
                <w:rFonts w:ascii="Garamond" w:hAnsi="Garamond"/>
              </w:rPr>
            </w:pPr>
          </w:p>
        </w:tc>
        <w:tc>
          <w:tcPr>
            <w:tcW w:w="5159" w:type="dxa"/>
            <w:shd w:val="clear" w:color="auto" w:fill="FFFFFF" w:themeFill="background1"/>
          </w:tcPr>
          <w:p w14:paraId="6BAEC6F4"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6.2.4. Estabelecer a nível nacional bolsas de técnico(a)s, incluindo da sociedade civil, formados em metodologias e técnicas para a </w:t>
            </w:r>
            <w:proofErr w:type="spellStart"/>
            <w:r w:rsidRPr="00084515">
              <w:rPr>
                <w:rFonts w:ascii="Garamond" w:hAnsi="Garamond"/>
                <w:lang w:val="pt-PT"/>
              </w:rPr>
              <w:t>transversalização</w:t>
            </w:r>
            <w:proofErr w:type="spellEnd"/>
            <w:r w:rsidRPr="00084515">
              <w:rPr>
                <w:rFonts w:ascii="Garamond" w:hAnsi="Garamond"/>
                <w:lang w:val="pt-PT"/>
              </w:rPr>
              <w:t xml:space="preserve"> da igualdade de género.</w:t>
            </w:r>
          </w:p>
        </w:tc>
        <w:tc>
          <w:tcPr>
            <w:tcW w:w="1457" w:type="dxa"/>
            <w:shd w:val="clear" w:color="auto" w:fill="FFFFFF" w:themeFill="background1"/>
            <w:vAlign w:val="center"/>
          </w:tcPr>
          <w:p w14:paraId="2B137840"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2040" w:type="dxa"/>
            <w:shd w:val="clear" w:color="auto" w:fill="FFFFFF" w:themeFill="background1"/>
            <w:vAlign w:val="center"/>
          </w:tcPr>
          <w:p w14:paraId="24F90199"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CIGEF</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OSC</w:t>
            </w:r>
            <w:proofErr w:type="spellEnd"/>
          </w:p>
        </w:tc>
        <w:tc>
          <w:tcPr>
            <w:tcW w:w="187" w:type="dxa"/>
            <w:shd w:val="clear" w:color="auto" w:fill="F2F2F2" w:themeFill="background1" w:themeFillShade="F2"/>
            <w:vAlign w:val="center"/>
          </w:tcPr>
          <w:p w14:paraId="7FBF15F5"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60BA4DD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64A0CD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1DBBA7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58C8A8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BABDC4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B2D505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470630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6934D8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C11C29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0628AC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F71993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40F353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67A145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46C1E4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2D1A81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502A333A" w14:textId="5BBEDC27"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6 945 000</w:t>
            </w:r>
          </w:p>
        </w:tc>
      </w:tr>
      <w:tr w:rsidR="00E145CC" w:rsidRPr="00D21977" w14:paraId="7F2D6B5F" w14:textId="77777777" w:rsidTr="009F122A">
        <w:trPr>
          <w:trHeight w:val="615"/>
        </w:trPr>
        <w:tc>
          <w:tcPr>
            <w:tcW w:w="1905" w:type="dxa"/>
            <w:vMerge/>
            <w:shd w:val="clear" w:color="auto" w:fill="FFFFFF" w:themeFill="background1"/>
          </w:tcPr>
          <w:p w14:paraId="4981923D" w14:textId="77777777" w:rsidR="00E145CC" w:rsidRDefault="00E145CC" w:rsidP="00E145CC">
            <w:pPr>
              <w:spacing w:after="240"/>
              <w:rPr>
                <w:rFonts w:ascii="Garamond" w:hAnsi="Garamond"/>
              </w:rPr>
            </w:pPr>
          </w:p>
        </w:tc>
        <w:tc>
          <w:tcPr>
            <w:tcW w:w="5159" w:type="dxa"/>
            <w:shd w:val="clear" w:color="auto" w:fill="FFFFFF" w:themeFill="background1"/>
          </w:tcPr>
          <w:p w14:paraId="0AD41770"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6.2.5. Desenvolver e implementar módulos de formação (presencial e on-line) sobre temáticas-chave de género para a Administração Pública.</w:t>
            </w:r>
          </w:p>
        </w:tc>
        <w:tc>
          <w:tcPr>
            <w:tcW w:w="1457" w:type="dxa"/>
            <w:shd w:val="clear" w:color="auto" w:fill="FFFFFF" w:themeFill="background1"/>
            <w:vAlign w:val="center"/>
          </w:tcPr>
          <w:p w14:paraId="0593DF09"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DNAP</w:t>
            </w:r>
            <w:proofErr w:type="spellEnd"/>
          </w:p>
        </w:tc>
        <w:tc>
          <w:tcPr>
            <w:tcW w:w="2040" w:type="dxa"/>
            <w:shd w:val="clear" w:color="auto" w:fill="FFFFFF" w:themeFill="background1"/>
            <w:vAlign w:val="center"/>
          </w:tcPr>
          <w:p w14:paraId="14E00A5A"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funcionários</w:t>
            </w:r>
            <w:proofErr w:type="spellEnd"/>
            <w:r>
              <w:rPr>
                <w:rFonts w:ascii="Garamond" w:eastAsia="Times New Roman" w:hAnsi="Garamond" w:cs="Times New Roman"/>
                <w:color w:val="000000"/>
                <w:sz w:val="20"/>
                <w:szCs w:val="20"/>
                <w:lang w:eastAsia="es-ES"/>
              </w:rPr>
              <w:t>(as)</w:t>
            </w:r>
          </w:p>
        </w:tc>
        <w:tc>
          <w:tcPr>
            <w:tcW w:w="187" w:type="dxa"/>
            <w:shd w:val="clear" w:color="auto" w:fill="F2F2F2" w:themeFill="background1" w:themeFillShade="F2"/>
            <w:vAlign w:val="center"/>
          </w:tcPr>
          <w:p w14:paraId="71F9ED5E"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1C1424B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BD133C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3BD4FE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0B0657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A3106F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5E59DF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4EA808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350E70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1BB2FD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52874F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C1D458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A02608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83D21B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C44003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7C90C6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36EEB89F" w14:textId="44109AEF"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2 960 000</w:t>
            </w:r>
          </w:p>
        </w:tc>
      </w:tr>
      <w:tr w:rsidR="00E145CC" w:rsidRPr="00D21977" w14:paraId="3A10A321" w14:textId="77777777" w:rsidTr="009F122A">
        <w:trPr>
          <w:trHeight w:val="615"/>
        </w:trPr>
        <w:tc>
          <w:tcPr>
            <w:tcW w:w="1905" w:type="dxa"/>
            <w:vMerge/>
            <w:shd w:val="clear" w:color="auto" w:fill="FFFFFF" w:themeFill="background1"/>
          </w:tcPr>
          <w:p w14:paraId="0C7D23E2" w14:textId="77777777" w:rsidR="00E145CC" w:rsidRDefault="00E145CC" w:rsidP="00E145CC">
            <w:pPr>
              <w:spacing w:after="240"/>
              <w:rPr>
                <w:rFonts w:ascii="Garamond" w:hAnsi="Garamond"/>
              </w:rPr>
            </w:pPr>
          </w:p>
        </w:tc>
        <w:tc>
          <w:tcPr>
            <w:tcW w:w="5159" w:type="dxa"/>
            <w:shd w:val="clear" w:color="auto" w:fill="FFFFFF" w:themeFill="background1"/>
          </w:tcPr>
          <w:p w14:paraId="37D65F0E"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6.2.6. Estabelecer requisitos de formação em género para o ingresso e progresso na AP e integrar o género no projecto de montagem do Instituto de Administração Pública. </w:t>
            </w:r>
          </w:p>
        </w:tc>
        <w:tc>
          <w:tcPr>
            <w:tcW w:w="1457" w:type="dxa"/>
            <w:shd w:val="clear" w:color="auto" w:fill="FFFFFF" w:themeFill="background1"/>
            <w:vAlign w:val="center"/>
          </w:tcPr>
          <w:p w14:paraId="360980A4"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DNAP</w:t>
            </w:r>
            <w:proofErr w:type="spellEnd"/>
          </w:p>
        </w:tc>
        <w:tc>
          <w:tcPr>
            <w:tcW w:w="2040" w:type="dxa"/>
            <w:shd w:val="clear" w:color="auto" w:fill="FFFFFF" w:themeFill="background1"/>
            <w:vAlign w:val="center"/>
          </w:tcPr>
          <w:p w14:paraId="2598E447"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757A4351"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6E757E3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C783E0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BF06CF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191BC3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EEF4EF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DB46B3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D81D39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89FA4B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F7FF92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B85DE6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9B1E6D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8F2972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D9CCE1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39B20E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14ACC0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6D8247FD" w14:textId="4C14A9B3"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920 000</w:t>
            </w:r>
          </w:p>
        </w:tc>
      </w:tr>
      <w:tr w:rsidR="00E145CC" w:rsidRPr="00D21977" w14:paraId="39220083" w14:textId="77777777" w:rsidTr="009F122A">
        <w:trPr>
          <w:trHeight w:val="615"/>
        </w:trPr>
        <w:tc>
          <w:tcPr>
            <w:tcW w:w="1905" w:type="dxa"/>
            <w:vMerge/>
            <w:shd w:val="clear" w:color="auto" w:fill="FFFFFF" w:themeFill="background1"/>
          </w:tcPr>
          <w:p w14:paraId="2B4F0A52" w14:textId="77777777" w:rsidR="00E145CC" w:rsidRDefault="00E145CC" w:rsidP="00E145CC">
            <w:pPr>
              <w:spacing w:after="240"/>
              <w:rPr>
                <w:rFonts w:ascii="Garamond" w:hAnsi="Garamond"/>
              </w:rPr>
            </w:pPr>
          </w:p>
        </w:tc>
        <w:tc>
          <w:tcPr>
            <w:tcW w:w="5159" w:type="dxa"/>
            <w:shd w:val="clear" w:color="auto" w:fill="FFFFFF" w:themeFill="background1"/>
          </w:tcPr>
          <w:p w14:paraId="124BC3C2"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6.2.7. Identificar as necessidades de formação dos </w:t>
            </w:r>
            <w:proofErr w:type="spellStart"/>
            <w:r w:rsidRPr="00084515">
              <w:rPr>
                <w:rFonts w:ascii="Garamond" w:hAnsi="Garamond"/>
                <w:lang w:val="pt-PT"/>
              </w:rPr>
              <w:t>setores</w:t>
            </w:r>
            <w:proofErr w:type="spellEnd"/>
            <w:r w:rsidRPr="00084515">
              <w:rPr>
                <w:rFonts w:ascii="Garamond" w:hAnsi="Garamond"/>
                <w:lang w:val="pt-PT"/>
              </w:rPr>
              <w:t xml:space="preserve"> sobre o Marcador de Género do OE, implementar a formação e operacionalizar o seguimento sectorial dos resultados da marcação.</w:t>
            </w:r>
          </w:p>
        </w:tc>
        <w:tc>
          <w:tcPr>
            <w:tcW w:w="1457" w:type="dxa"/>
            <w:shd w:val="clear" w:color="auto" w:fill="FFFFFF" w:themeFill="background1"/>
            <w:vAlign w:val="center"/>
          </w:tcPr>
          <w:p w14:paraId="7FA1A664" w14:textId="77777777" w:rsidR="00E145CC" w:rsidRPr="00982AA1" w:rsidRDefault="00E145CC" w:rsidP="00E145CC">
            <w:pPr>
              <w:jc w:val="center"/>
              <w:rPr>
                <w:rFonts w:ascii="Garamond" w:eastAsia="Times New Roman" w:hAnsi="Garamond" w:cs="Times New Roman"/>
                <w:sz w:val="20"/>
                <w:szCs w:val="20"/>
                <w:lang w:eastAsia="es-ES"/>
              </w:rPr>
            </w:pPr>
            <w:proofErr w:type="spellStart"/>
            <w:r w:rsidRPr="00982AA1">
              <w:rPr>
                <w:rFonts w:ascii="Garamond" w:eastAsia="Times New Roman" w:hAnsi="Garamond" w:cs="Times New Roman"/>
                <w:sz w:val="20"/>
                <w:szCs w:val="20"/>
                <w:lang w:eastAsia="es-ES"/>
              </w:rPr>
              <w:t>ICIEG</w:t>
            </w:r>
            <w:proofErr w:type="spellEnd"/>
          </w:p>
        </w:tc>
        <w:tc>
          <w:tcPr>
            <w:tcW w:w="2040" w:type="dxa"/>
            <w:shd w:val="clear" w:color="auto" w:fill="FFFFFF" w:themeFill="background1"/>
            <w:vAlign w:val="center"/>
          </w:tcPr>
          <w:p w14:paraId="77793E04" w14:textId="77777777" w:rsidR="00E145CC" w:rsidRPr="00084515" w:rsidRDefault="00E145CC" w:rsidP="00E145CC">
            <w:pPr>
              <w:jc w:val="center"/>
              <w:rPr>
                <w:rFonts w:ascii="Garamond" w:eastAsia="Times New Roman" w:hAnsi="Garamond" w:cs="Times New Roman"/>
                <w:sz w:val="20"/>
                <w:szCs w:val="20"/>
                <w:lang w:val="pt-PT" w:eastAsia="es-ES"/>
              </w:rPr>
            </w:pPr>
            <w:proofErr w:type="spellStart"/>
            <w:r w:rsidRPr="00084515">
              <w:rPr>
                <w:rFonts w:ascii="Garamond" w:eastAsia="Times New Roman" w:hAnsi="Garamond" w:cs="Times New Roman"/>
                <w:sz w:val="20"/>
                <w:szCs w:val="20"/>
                <w:lang w:val="pt-PT" w:eastAsia="es-ES"/>
              </w:rPr>
              <w:t>DNOCP</w:t>
            </w:r>
            <w:proofErr w:type="spellEnd"/>
            <w:r w:rsidRPr="00084515">
              <w:rPr>
                <w:rFonts w:ascii="Garamond" w:eastAsia="Times New Roman" w:hAnsi="Garamond" w:cs="Times New Roman"/>
                <w:sz w:val="20"/>
                <w:szCs w:val="20"/>
                <w:lang w:val="pt-PT" w:eastAsia="es-ES"/>
              </w:rPr>
              <w:t xml:space="preserve">, </w:t>
            </w:r>
            <w:proofErr w:type="spellStart"/>
            <w:r w:rsidRPr="00084515">
              <w:rPr>
                <w:rFonts w:ascii="Garamond" w:eastAsia="Times New Roman" w:hAnsi="Garamond" w:cs="Times New Roman"/>
                <w:sz w:val="20"/>
                <w:szCs w:val="20"/>
                <w:lang w:val="pt-PT" w:eastAsia="es-ES"/>
              </w:rPr>
              <w:t>DNP</w:t>
            </w:r>
            <w:proofErr w:type="spellEnd"/>
            <w:r w:rsidRPr="00084515">
              <w:rPr>
                <w:rFonts w:ascii="Garamond" w:eastAsia="Times New Roman" w:hAnsi="Garamond" w:cs="Times New Roman"/>
                <w:sz w:val="20"/>
                <w:szCs w:val="20"/>
                <w:lang w:val="pt-PT" w:eastAsia="es-ES"/>
              </w:rPr>
              <w:t xml:space="preserve">, </w:t>
            </w:r>
            <w:proofErr w:type="spellStart"/>
            <w:r w:rsidRPr="00084515">
              <w:rPr>
                <w:rFonts w:ascii="Garamond" w:eastAsia="Times New Roman" w:hAnsi="Garamond" w:cs="Times New Roman"/>
                <w:sz w:val="20"/>
                <w:szCs w:val="20"/>
                <w:lang w:val="pt-PT" w:eastAsia="es-ES"/>
              </w:rPr>
              <w:t>DGPOGs</w:t>
            </w:r>
            <w:proofErr w:type="spellEnd"/>
            <w:r w:rsidRPr="00084515">
              <w:rPr>
                <w:rFonts w:ascii="Garamond" w:eastAsia="Times New Roman" w:hAnsi="Garamond" w:cs="Times New Roman"/>
                <w:sz w:val="20"/>
                <w:szCs w:val="20"/>
                <w:lang w:val="pt-PT" w:eastAsia="es-ES"/>
              </w:rPr>
              <w:t xml:space="preserve">, sectores, instituições, </w:t>
            </w:r>
            <w:proofErr w:type="spellStart"/>
            <w:r w:rsidRPr="00084515">
              <w:rPr>
                <w:rFonts w:ascii="Garamond" w:eastAsia="Times New Roman" w:hAnsi="Garamond" w:cs="Times New Roman"/>
                <w:sz w:val="20"/>
                <w:szCs w:val="20"/>
                <w:lang w:val="pt-PT" w:eastAsia="es-ES"/>
              </w:rPr>
              <w:t>RMP</w:t>
            </w:r>
            <w:proofErr w:type="spellEnd"/>
            <w:r w:rsidRPr="00084515">
              <w:rPr>
                <w:rFonts w:ascii="Garamond" w:eastAsia="Times New Roman" w:hAnsi="Garamond" w:cs="Times New Roman"/>
                <w:sz w:val="20"/>
                <w:szCs w:val="20"/>
                <w:lang w:val="pt-PT" w:eastAsia="es-ES"/>
              </w:rPr>
              <w:t>-CV</w:t>
            </w:r>
          </w:p>
        </w:tc>
        <w:tc>
          <w:tcPr>
            <w:tcW w:w="187" w:type="dxa"/>
            <w:shd w:val="clear" w:color="auto" w:fill="F2F2F2" w:themeFill="background1" w:themeFillShade="F2"/>
            <w:vAlign w:val="center"/>
          </w:tcPr>
          <w:p w14:paraId="014D0AAE"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39F65F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5187E4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7B0D67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6218DE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04D92B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B02280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CC5B10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7259E1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92E501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0C4432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44FED4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94DAD2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3F8A98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58B88C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50A84F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3F9B052A" w14:textId="4FBF20ED"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5 680 000</w:t>
            </w:r>
          </w:p>
        </w:tc>
      </w:tr>
      <w:tr w:rsidR="00E145CC" w:rsidRPr="002855E3" w14:paraId="16C0D625" w14:textId="77777777" w:rsidTr="009F122A">
        <w:trPr>
          <w:trHeight w:val="615"/>
        </w:trPr>
        <w:tc>
          <w:tcPr>
            <w:tcW w:w="1905" w:type="dxa"/>
            <w:vMerge/>
            <w:shd w:val="clear" w:color="auto" w:fill="FFFFFF" w:themeFill="background1"/>
          </w:tcPr>
          <w:p w14:paraId="687A7CC7" w14:textId="77777777" w:rsidR="00E145CC" w:rsidRDefault="00E145CC" w:rsidP="00E145CC">
            <w:pPr>
              <w:spacing w:after="240"/>
              <w:rPr>
                <w:rFonts w:ascii="Garamond" w:hAnsi="Garamond"/>
              </w:rPr>
            </w:pPr>
          </w:p>
        </w:tc>
        <w:tc>
          <w:tcPr>
            <w:tcW w:w="5159" w:type="dxa"/>
            <w:shd w:val="clear" w:color="auto" w:fill="FFFFFF" w:themeFill="background1"/>
          </w:tcPr>
          <w:p w14:paraId="3E11BA4E"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6.2.8. Rever e melhorar os instrumentos para o seguimento dos investimentos de género no OE e a integração da Orçamento Sensível ao Género nas directrizes orçamentais.</w:t>
            </w:r>
          </w:p>
        </w:tc>
        <w:tc>
          <w:tcPr>
            <w:tcW w:w="1457" w:type="dxa"/>
            <w:shd w:val="clear" w:color="auto" w:fill="FFFFFF" w:themeFill="background1"/>
            <w:vAlign w:val="center"/>
          </w:tcPr>
          <w:p w14:paraId="49251E46" w14:textId="77777777" w:rsidR="00E145CC" w:rsidRPr="00982AA1" w:rsidRDefault="00E145CC" w:rsidP="00E145CC">
            <w:pPr>
              <w:jc w:val="center"/>
              <w:rPr>
                <w:rFonts w:ascii="Garamond" w:eastAsia="Times New Roman" w:hAnsi="Garamond" w:cs="Times New Roman"/>
                <w:sz w:val="20"/>
                <w:szCs w:val="20"/>
                <w:lang w:eastAsia="es-ES"/>
              </w:rPr>
            </w:pPr>
            <w:proofErr w:type="spellStart"/>
            <w:r w:rsidRPr="00982AA1">
              <w:rPr>
                <w:rFonts w:ascii="Garamond" w:eastAsia="Times New Roman" w:hAnsi="Garamond" w:cs="Times New Roman"/>
                <w:sz w:val="20"/>
                <w:szCs w:val="20"/>
                <w:lang w:eastAsia="es-ES"/>
              </w:rPr>
              <w:t>RMP</w:t>
            </w:r>
            <w:proofErr w:type="spellEnd"/>
            <w:r w:rsidRPr="00982AA1">
              <w:rPr>
                <w:rFonts w:ascii="Garamond" w:eastAsia="Times New Roman" w:hAnsi="Garamond" w:cs="Times New Roman"/>
                <w:sz w:val="20"/>
                <w:szCs w:val="20"/>
                <w:lang w:eastAsia="es-ES"/>
              </w:rPr>
              <w:t>-CV</w:t>
            </w:r>
          </w:p>
        </w:tc>
        <w:tc>
          <w:tcPr>
            <w:tcW w:w="2040" w:type="dxa"/>
            <w:shd w:val="clear" w:color="auto" w:fill="FFFFFF" w:themeFill="background1"/>
            <w:vAlign w:val="center"/>
          </w:tcPr>
          <w:p w14:paraId="30073866" w14:textId="77777777" w:rsidR="00E145CC" w:rsidRPr="00982AA1" w:rsidRDefault="00E145CC" w:rsidP="00E145CC">
            <w:pPr>
              <w:jc w:val="center"/>
              <w:rPr>
                <w:rFonts w:ascii="Garamond" w:eastAsia="Times New Roman" w:hAnsi="Garamond" w:cs="Times New Roman"/>
                <w:sz w:val="20"/>
                <w:szCs w:val="20"/>
                <w:lang w:eastAsia="es-ES"/>
              </w:rPr>
            </w:pPr>
            <w:proofErr w:type="spellStart"/>
            <w:r w:rsidRPr="00982AA1">
              <w:rPr>
                <w:rFonts w:ascii="Garamond" w:eastAsia="Times New Roman" w:hAnsi="Garamond" w:cs="Times New Roman"/>
                <w:sz w:val="20"/>
                <w:szCs w:val="20"/>
                <w:lang w:eastAsia="es-ES"/>
              </w:rPr>
              <w:t>DNOCP</w:t>
            </w:r>
            <w:proofErr w:type="spellEnd"/>
            <w:r w:rsidRPr="00982AA1">
              <w:rPr>
                <w:rFonts w:ascii="Garamond" w:eastAsia="Times New Roman" w:hAnsi="Garamond" w:cs="Times New Roman"/>
                <w:sz w:val="20"/>
                <w:szCs w:val="20"/>
                <w:lang w:eastAsia="es-ES"/>
              </w:rPr>
              <w:t xml:space="preserve">, DNP, </w:t>
            </w:r>
            <w:proofErr w:type="spellStart"/>
            <w:r w:rsidRPr="00982AA1">
              <w:rPr>
                <w:rFonts w:ascii="Garamond" w:eastAsia="Times New Roman" w:hAnsi="Garamond" w:cs="Times New Roman"/>
                <w:sz w:val="20"/>
                <w:szCs w:val="20"/>
                <w:lang w:eastAsia="es-ES"/>
              </w:rPr>
              <w:t>DGPOGs</w:t>
            </w:r>
            <w:proofErr w:type="spellEnd"/>
            <w:r w:rsidRPr="00982AA1">
              <w:rPr>
                <w:rFonts w:ascii="Garamond" w:eastAsia="Times New Roman" w:hAnsi="Garamond" w:cs="Times New Roman"/>
                <w:sz w:val="20"/>
                <w:szCs w:val="20"/>
                <w:lang w:eastAsia="es-ES"/>
              </w:rPr>
              <w:t xml:space="preserve">, </w:t>
            </w:r>
            <w:proofErr w:type="spellStart"/>
            <w:r w:rsidRPr="00982AA1">
              <w:rPr>
                <w:rFonts w:ascii="Garamond" w:eastAsia="Times New Roman" w:hAnsi="Garamond" w:cs="Times New Roman"/>
                <w:sz w:val="20"/>
                <w:szCs w:val="20"/>
                <w:lang w:eastAsia="es-ES"/>
              </w:rPr>
              <w:t>OSC</w:t>
            </w:r>
            <w:proofErr w:type="spellEnd"/>
            <w:r w:rsidRPr="00982AA1">
              <w:rPr>
                <w:rFonts w:ascii="Garamond" w:eastAsia="Times New Roman" w:hAnsi="Garamond" w:cs="Times New Roman"/>
                <w:sz w:val="20"/>
                <w:szCs w:val="20"/>
                <w:lang w:eastAsia="es-ES"/>
              </w:rPr>
              <w:t xml:space="preserve">, </w:t>
            </w:r>
            <w:proofErr w:type="spellStart"/>
            <w:r w:rsidRPr="00982AA1">
              <w:rPr>
                <w:rFonts w:ascii="Garamond" w:eastAsia="Times New Roman" w:hAnsi="Garamond" w:cs="Times New Roman"/>
                <w:sz w:val="20"/>
                <w:szCs w:val="20"/>
                <w:lang w:eastAsia="es-ES"/>
              </w:rPr>
              <w:t>ICIEG</w:t>
            </w:r>
            <w:proofErr w:type="spellEnd"/>
          </w:p>
        </w:tc>
        <w:tc>
          <w:tcPr>
            <w:tcW w:w="187" w:type="dxa"/>
            <w:shd w:val="clear" w:color="auto" w:fill="F2F2F2" w:themeFill="background1" w:themeFillShade="F2"/>
            <w:vAlign w:val="center"/>
          </w:tcPr>
          <w:p w14:paraId="200B7A26"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7359B62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3ADF8C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42D681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D003CD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D2AB3D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A41E75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D54E33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C9CF94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D13621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BA71C2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4EF80B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32A056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E1E5C9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DD2153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F83F5E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547E9256" w14:textId="725F0953" w:rsidR="00E145CC" w:rsidRPr="002855E3"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2 420 000</w:t>
            </w:r>
          </w:p>
        </w:tc>
      </w:tr>
      <w:tr w:rsidR="00E145CC" w:rsidRPr="00D21977" w14:paraId="61ECA87A" w14:textId="77777777" w:rsidTr="009F122A">
        <w:trPr>
          <w:trHeight w:val="615"/>
        </w:trPr>
        <w:tc>
          <w:tcPr>
            <w:tcW w:w="1905" w:type="dxa"/>
            <w:vMerge/>
            <w:shd w:val="clear" w:color="auto" w:fill="FFFFFF" w:themeFill="background1"/>
          </w:tcPr>
          <w:p w14:paraId="7EE4084D" w14:textId="77777777" w:rsidR="00E145CC" w:rsidRPr="002855E3" w:rsidRDefault="00E145CC" w:rsidP="00E145CC">
            <w:pPr>
              <w:spacing w:after="240"/>
              <w:rPr>
                <w:rFonts w:ascii="Garamond" w:hAnsi="Garamond"/>
              </w:rPr>
            </w:pPr>
          </w:p>
        </w:tc>
        <w:tc>
          <w:tcPr>
            <w:tcW w:w="5159" w:type="dxa"/>
            <w:shd w:val="clear" w:color="auto" w:fill="FFFFFF" w:themeFill="background1"/>
          </w:tcPr>
          <w:p w14:paraId="0D1F8164"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6.2.9. Reforçar as capacidades dos vários </w:t>
            </w:r>
            <w:proofErr w:type="spellStart"/>
            <w:r w:rsidRPr="00084515">
              <w:rPr>
                <w:rFonts w:ascii="Garamond" w:hAnsi="Garamond"/>
                <w:lang w:val="pt-PT"/>
              </w:rPr>
              <w:t>atores</w:t>
            </w:r>
            <w:proofErr w:type="spellEnd"/>
            <w:r w:rsidRPr="00084515">
              <w:rPr>
                <w:rFonts w:ascii="Garamond" w:hAnsi="Garamond"/>
                <w:lang w:val="pt-PT"/>
              </w:rPr>
              <w:t xml:space="preserve">, incluindo as parlamentares e </w:t>
            </w:r>
            <w:proofErr w:type="spellStart"/>
            <w:r w:rsidRPr="00084515">
              <w:rPr>
                <w:rFonts w:ascii="Garamond" w:hAnsi="Garamond"/>
                <w:lang w:val="pt-PT"/>
              </w:rPr>
              <w:t>OSC</w:t>
            </w:r>
            <w:proofErr w:type="spellEnd"/>
            <w:r w:rsidRPr="00084515">
              <w:rPr>
                <w:rFonts w:ascii="Garamond" w:hAnsi="Garamond"/>
                <w:lang w:val="pt-PT"/>
              </w:rPr>
              <w:t xml:space="preserve">, para a fiscalização da implementação dos compromissos de género do OE. </w:t>
            </w:r>
          </w:p>
        </w:tc>
        <w:tc>
          <w:tcPr>
            <w:tcW w:w="1457" w:type="dxa"/>
            <w:shd w:val="clear" w:color="auto" w:fill="FFFFFF" w:themeFill="background1"/>
            <w:vAlign w:val="center"/>
          </w:tcPr>
          <w:p w14:paraId="0CB37FEB"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RMP</w:t>
            </w:r>
            <w:proofErr w:type="spellEnd"/>
            <w:r>
              <w:rPr>
                <w:rFonts w:ascii="Garamond" w:eastAsia="Times New Roman" w:hAnsi="Garamond" w:cs="Times New Roman"/>
                <w:color w:val="000000"/>
                <w:sz w:val="20"/>
                <w:szCs w:val="20"/>
                <w:lang w:eastAsia="es-ES"/>
              </w:rPr>
              <w:t>-CV</w:t>
            </w:r>
          </w:p>
        </w:tc>
        <w:tc>
          <w:tcPr>
            <w:tcW w:w="2040" w:type="dxa"/>
            <w:shd w:val="clear" w:color="auto" w:fill="FFFFFF" w:themeFill="background1"/>
            <w:vAlign w:val="center"/>
          </w:tcPr>
          <w:p w14:paraId="5D3F22C0"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sidRPr="002855E3">
              <w:rPr>
                <w:rFonts w:ascii="Garamond" w:eastAsia="Times New Roman" w:hAnsi="Garamond" w:cs="Times New Roman"/>
                <w:color w:val="000000"/>
                <w:sz w:val="20"/>
                <w:szCs w:val="20"/>
                <w:lang w:eastAsia="es-ES"/>
              </w:rPr>
              <w:t>OSC</w:t>
            </w:r>
            <w:proofErr w:type="spellEnd"/>
          </w:p>
        </w:tc>
        <w:tc>
          <w:tcPr>
            <w:tcW w:w="187" w:type="dxa"/>
            <w:shd w:val="clear" w:color="auto" w:fill="F2F2F2" w:themeFill="background1" w:themeFillShade="F2"/>
            <w:vAlign w:val="center"/>
          </w:tcPr>
          <w:p w14:paraId="5A250B6C"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A3408B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940716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84BA3C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8D80DC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3961D8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0F7BCC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B11037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6BFC86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678B46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FAC71E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599CEF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8A651E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FA0887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C9F577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7EBC9E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1BAD4995" w14:textId="42F59E34"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4 130 000</w:t>
            </w:r>
          </w:p>
        </w:tc>
      </w:tr>
      <w:tr w:rsidR="00E145CC" w:rsidRPr="00D21977" w14:paraId="0E6BBACC" w14:textId="77777777" w:rsidTr="009F122A">
        <w:trPr>
          <w:trHeight w:val="615"/>
        </w:trPr>
        <w:tc>
          <w:tcPr>
            <w:tcW w:w="1905" w:type="dxa"/>
            <w:vMerge/>
            <w:shd w:val="clear" w:color="auto" w:fill="FFFFFF" w:themeFill="background1"/>
          </w:tcPr>
          <w:p w14:paraId="4F0837DF" w14:textId="77777777" w:rsidR="00E145CC" w:rsidRDefault="00E145CC" w:rsidP="00E145CC">
            <w:pPr>
              <w:spacing w:after="240"/>
              <w:rPr>
                <w:rFonts w:ascii="Garamond" w:hAnsi="Garamond"/>
              </w:rPr>
            </w:pPr>
          </w:p>
        </w:tc>
        <w:tc>
          <w:tcPr>
            <w:tcW w:w="5159" w:type="dxa"/>
            <w:shd w:val="clear" w:color="auto" w:fill="FFFFFF" w:themeFill="background1"/>
          </w:tcPr>
          <w:p w14:paraId="095440E7"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6.2.10. Apoiar a </w:t>
            </w:r>
            <w:proofErr w:type="spellStart"/>
            <w:r w:rsidRPr="00084515">
              <w:rPr>
                <w:rFonts w:ascii="Garamond" w:hAnsi="Garamond"/>
                <w:lang w:val="pt-PT"/>
              </w:rPr>
              <w:t>transversalização</w:t>
            </w:r>
            <w:proofErr w:type="spellEnd"/>
            <w:r w:rsidRPr="00084515">
              <w:rPr>
                <w:rFonts w:ascii="Garamond" w:hAnsi="Garamond"/>
                <w:lang w:val="pt-PT"/>
              </w:rPr>
              <w:t xml:space="preserve"> do género no sistema de seguimento e reportagem para o </w:t>
            </w:r>
            <w:proofErr w:type="spellStart"/>
            <w:r w:rsidRPr="00084515">
              <w:rPr>
                <w:rFonts w:ascii="Garamond" w:hAnsi="Garamond"/>
                <w:lang w:val="pt-PT"/>
              </w:rPr>
              <w:t>PEDS</w:t>
            </w:r>
            <w:proofErr w:type="spellEnd"/>
            <w:r w:rsidRPr="00084515">
              <w:rPr>
                <w:rFonts w:ascii="Garamond" w:hAnsi="Garamond"/>
                <w:lang w:val="pt-PT"/>
              </w:rPr>
              <w:t xml:space="preserve"> e </w:t>
            </w:r>
            <w:proofErr w:type="spellStart"/>
            <w:r w:rsidRPr="00084515">
              <w:rPr>
                <w:rFonts w:ascii="Garamond" w:hAnsi="Garamond"/>
                <w:lang w:val="pt-PT"/>
              </w:rPr>
              <w:t>ODS</w:t>
            </w:r>
            <w:proofErr w:type="spellEnd"/>
            <w:r w:rsidRPr="00084515">
              <w:rPr>
                <w:rFonts w:ascii="Garamond" w:hAnsi="Garamond"/>
                <w:lang w:val="pt-PT"/>
              </w:rPr>
              <w:t xml:space="preserve">, bem como na avaliação dos compromissos de género do </w:t>
            </w:r>
            <w:proofErr w:type="spellStart"/>
            <w:r w:rsidRPr="00084515">
              <w:rPr>
                <w:rFonts w:ascii="Garamond" w:hAnsi="Garamond"/>
                <w:lang w:val="pt-PT"/>
              </w:rPr>
              <w:t>PEDS</w:t>
            </w:r>
            <w:proofErr w:type="spellEnd"/>
            <w:r w:rsidRPr="00084515">
              <w:rPr>
                <w:rFonts w:ascii="Garamond" w:hAnsi="Garamond"/>
                <w:lang w:val="pt-PT"/>
              </w:rPr>
              <w:t xml:space="preserve">. </w:t>
            </w:r>
          </w:p>
        </w:tc>
        <w:tc>
          <w:tcPr>
            <w:tcW w:w="1457" w:type="dxa"/>
            <w:shd w:val="clear" w:color="auto" w:fill="FFFFFF" w:themeFill="background1"/>
            <w:vAlign w:val="center"/>
          </w:tcPr>
          <w:p w14:paraId="004A9E10" w14:textId="77777777" w:rsidR="00E145CC" w:rsidRPr="00D21977" w:rsidRDefault="00E145CC" w:rsidP="00E145C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DNP</w:t>
            </w:r>
          </w:p>
        </w:tc>
        <w:tc>
          <w:tcPr>
            <w:tcW w:w="2040" w:type="dxa"/>
            <w:shd w:val="clear" w:color="auto" w:fill="FFFFFF" w:themeFill="background1"/>
            <w:vAlign w:val="center"/>
          </w:tcPr>
          <w:p w14:paraId="499E6B82"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INE</w:t>
            </w:r>
            <w:proofErr w:type="spellEnd"/>
          </w:p>
        </w:tc>
        <w:tc>
          <w:tcPr>
            <w:tcW w:w="187" w:type="dxa"/>
            <w:shd w:val="clear" w:color="auto" w:fill="F2F2F2" w:themeFill="background1" w:themeFillShade="F2"/>
            <w:vAlign w:val="center"/>
          </w:tcPr>
          <w:p w14:paraId="5D8F2DB2"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8D8FB3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72AB9B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D2251B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8A54C2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866F48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0C04ED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C9C64F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6DB3F8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4214DC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CB096A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D8FEDE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5A6154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F8B094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3EFC36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027513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0F641AFB" w14:textId="63C2FDD7"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3 510 000</w:t>
            </w:r>
          </w:p>
        </w:tc>
      </w:tr>
      <w:tr w:rsidR="00E145CC" w:rsidRPr="00D21977" w14:paraId="1AEE7BBF" w14:textId="77777777" w:rsidTr="009F122A">
        <w:trPr>
          <w:trHeight w:val="615"/>
        </w:trPr>
        <w:tc>
          <w:tcPr>
            <w:tcW w:w="1905" w:type="dxa"/>
            <w:vMerge/>
            <w:shd w:val="clear" w:color="auto" w:fill="FFFFFF" w:themeFill="background1"/>
          </w:tcPr>
          <w:p w14:paraId="55E9CCA5" w14:textId="77777777" w:rsidR="00E145CC" w:rsidRDefault="00E145CC" w:rsidP="00E145CC">
            <w:pPr>
              <w:spacing w:after="240"/>
              <w:rPr>
                <w:rFonts w:ascii="Garamond" w:hAnsi="Garamond"/>
              </w:rPr>
            </w:pPr>
          </w:p>
        </w:tc>
        <w:tc>
          <w:tcPr>
            <w:tcW w:w="5159" w:type="dxa"/>
            <w:shd w:val="clear" w:color="auto" w:fill="FFFFFF" w:themeFill="background1"/>
          </w:tcPr>
          <w:p w14:paraId="055CBA0D"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6.2.11. Elaborar directrizes para a </w:t>
            </w:r>
            <w:proofErr w:type="spellStart"/>
            <w:r w:rsidRPr="00084515">
              <w:rPr>
                <w:rFonts w:ascii="Garamond" w:hAnsi="Garamond"/>
                <w:lang w:val="pt-PT"/>
              </w:rPr>
              <w:t>TG</w:t>
            </w:r>
            <w:proofErr w:type="spellEnd"/>
            <w:r w:rsidRPr="00084515">
              <w:rPr>
                <w:rFonts w:ascii="Garamond" w:hAnsi="Garamond"/>
                <w:lang w:val="pt-PT"/>
              </w:rPr>
              <w:t xml:space="preserve"> na mobilização de fundos, bem como </w:t>
            </w:r>
            <w:proofErr w:type="spellStart"/>
            <w:r w:rsidRPr="00084515">
              <w:rPr>
                <w:rFonts w:ascii="Garamond" w:hAnsi="Garamond"/>
                <w:i/>
                <w:iCs/>
                <w:lang w:val="pt-PT"/>
              </w:rPr>
              <w:t>checklists</w:t>
            </w:r>
            <w:proofErr w:type="spellEnd"/>
            <w:r w:rsidRPr="00084515">
              <w:rPr>
                <w:rFonts w:ascii="Garamond" w:hAnsi="Garamond"/>
                <w:lang w:val="pt-PT"/>
              </w:rPr>
              <w:t xml:space="preserve"> da qualidade da </w:t>
            </w:r>
            <w:proofErr w:type="spellStart"/>
            <w:r w:rsidRPr="00084515">
              <w:rPr>
                <w:rFonts w:ascii="Garamond" w:hAnsi="Garamond"/>
                <w:lang w:val="pt-PT"/>
              </w:rPr>
              <w:t>TG</w:t>
            </w:r>
            <w:proofErr w:type="spellEnd"/>
            <w:r w:rsidRPr="00084515">
              <w:rPr>
                <w:rFonts w:ascii="Garamond" w:hAnsi="Garamond"/>
                <w:lang w:val="pt-PT"/>
              </w:rPr>
              <w:t xml:space="preserve">, a aplicar </w:t>
            </w:r>
            <w:proofErr w:type="spellStart"/>
            <w:r w:rsidRPr="00084515">
              <w:rPr>
                <w:rFonts w:ascii="Garamond" w:hAnsi="Garamond"/>
                <w:lang w:val="pt-PT"/>
              </w:rPr>
              <w:t>pelos</w:t>
            </w:r>
            <w:proofErr w:type="spellEnd"/>
            <w:r w:rsidRPr="00084515">
              <w:rPr>
                <w:rFonts w:ascii="Garamond" w:hAnsi="Garamond"/>
                <w:lang w:val="pt-PT"/>
              </w:rPr>
              <w:t xml:space="preserve"> diferentes </w:t>
            </w:r>
            <w:proofErr w:type="spellStart"/>
            <w:r w:rsidRPr="00084515">
              <w:rPr>
                <w:rFonts w:ascii="Garamond" w:hAnsi="Garamond"/>
                <w:lang w:val="pt-PT"/>
              </w:rPr>
              <w:t>atores</w:t>
            </w:r>
            <w:proofErr w:type="spellEnd"/>
            <w:r w:rsidRPr="00084515">
              <w:rPr>
                <w:rFonts w:ascii="Garamond" w:hAnsi="Garamond"/>
                <w:lang w:val="pt-PT"/>
              </w:rPr>
              <w:t xml:space="preserve"> do circuito de elaboração e aprovação dos </w:t>
            </w:r>
            <w:proofErr w:type="spellStart"/>
            <w:r w:rsidRPr="00084515">
              <w:rPr>
                <w:rFonts w:ascii="Garamond" w:hAnsi="Garamond"/>
                <w:lang w:val="pt-PT"/>
              </w:rPr>
              <w:t>projetos</w:t>
            </w:r>
            <w:proofErr w:type="spellEnd"/>
            <w:r w:rsidRPr="00084515">
              <w:rPr>
                <w:rFonts w:ascii="Garamond" w:hAnsi="Garamond"/>
                <w:lang w:val="pt-PT"/>
              </w:rPr>
              <w:t xml:space="preserve"> para financiamento.</w:t>
            </w:r>
          </w:p>
        </w:tc>
        <w:tc>
          <w:tcPr>
            <w:tcW w:w="1457" w:type="dxa"/>
            <w:shd w:val="clear" w:color="auto" w:fill="FFFFFF" w:themeFill="background1"/>
            <w:vAlign w:val="center"/>
          </w:tcPr>
          <w:p w14:paraId="515A2B9C" w14:textId="77777777" w:rsidR="00E145CC" w:rsidRPr="00D21977" w:rsidRDefault="00E145CC" w:rsidP="00E145CC">
            <w:pPr>
              <w:jc w:val="center"/>
              <w:rPr>
                <w:rFonts w:ascii="Garamond" w:eastAsia="Times New Roman" w:hAnsi="Garamond" w:cs="Times New Roman"/>
                <w:color w:val="000000"/>
                <w:sz w:val="20"/>
                <w:szCs w:val="20"/>
                <w:lang w:eastAsia="es-ES"/>
              </w:rPr>
            </w:pPr>
            <w:r w:rsidRPr="00063642">
              <w:rPr>
                <w:rFonts w:ascii="Garamond" w:eastAsia="Times New Roman" w:hAnsi="Garamond" w:cs="Times New Roman"/>
                <w:sz w:val="20"/>
                <w:szCs w:val="20"/>
                <w:lang w:eastAsia="es-ES"/>
              </w:rPr>
              <w:t>MF</w:t>
            </w:r>
          </w:p>
        </w:tc>
        <w:tc>
          <w:tcPr>
            <w:tcW w:w="2040" w:type="dxa"/>
            <w:shd w:val="clear" w:color="auto" w:fill="FFFFFF" w:themeFill="background1"/>
            <w:vAlign w:val="center"/>
          </w:tcPr>
          <w:p w14:paraId="0B47E3EE"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5FFFD649"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74CC8A8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5EB5F5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1B5880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C2FBB2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E2B756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443A6B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26094F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E3F048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29D3EC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57E37A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62ACA7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2A59F7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6E3F55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2480BA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0F3177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18D76947" w14:textId="4A910FD9"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1 240 000</w:t>
            </w:r>
          </w:p>
        </w:tc>
      </w:tr>
      <w:tr w:rsidR="00E145CC" w:rsidRPr="00D21977" w14:paraId="73F7E703" w14:textId="77777777" w:rsidTr="009F122A">
        <w:trPr>
          <w:trHeight w:val="615"/>
        </w:trPr>
        <w:tc>
          <w:tcPr>
            <w:tcW w:w="1905" w:type="dxa"/>
            <w:vMerge w:val="restart"/>
            <w:shd w:val="clear" w:color="auto" w:fill="FFFFFF" w:themeFill="background1"/>
          </w:tcPr>
          <w:p w14:paraId="4A0E15A5" w14:textId="77777777" w:rsidR="00E145CC" w:rsidRPr="00084515" w:rsidRDefault="00E145CC" w:rsidP="00E145CC">
            <w:pPr>
              <w:spacing w:after="240"/>
              <w:rPr>
                <w:rFonts w:ascii="Garamond" w:hAnsi="Garamond"/>
                <w:sz w:val="20"/>
                <w:szCs w:val="20"/>
                <w:lang w:val="pt-PT"/>
              </w:rPr>
            </w:pPr>
            <w:r w:rsidRPr="00084515">
              <w:rPr>
                <w:rFonts w:ascii="Garamond" w:hAnsi="Garamond"/>
                <w:lang w:val="pt-PT"/>
              </w:rPr>
              <w:t xml:space="preserve">6.3. Melhoradas as capacidades dos municípios e dos </w:t>
            </w:r>
            <w:proofErr w:type="spellStart"/>
            <w:r w:rsidRPr="00084515">
              <w:rPr>
                <w:rFonts w:ascii="Garamond" w:hAnsi="Garamond"/>
                <w:lang w:val="pt-PT"/>
              </w:rPr>
              <w:t>atores</w:t>
            </w:r>
            <w:proofErr w:type="spellEnd"/>
            <w:r w:rsidRPr="00084515">
              <w:rPr>
                <w:rFonts w:ascii="Garamond" w:hAnsi="Garamond"/>
                <w:lang w:val="pt-PT"/>
              </w:rPr>
              <w:t xml:space="preserve"> locais para a </w:t>
            </w:r>
            <w:proofErr w:type="spellStart"/>
            <w:r w:rsidRPr="00084515">
              <w:rPr>
                <w:rFonts w:ascii="Garamond" w:hAnsi="Garamond"/>
                <w:lang w:val="pt-PT"/>
              </w:rPr>
              <w:t>transversalização</w:t>
            </w:r>
            <w:proofErr w:type="spellEnd"/>
            <w:r w:rsidRPr="00084515">
              <w:rPr>
                <w:rFonts w:ascii="Garamond" w:hAnsi="Garamond"/>
                <w:lang w:val="pt-PT"/>
              </w:rPr>
              <w:t xml:space="preserve"> da abordagem de género e implementação e seguimento das prioridades locais de género</w:t>
            </w:r>
          </w:p>
        </w:tc>
        <w:tc>
          <w:tcPr>
            <w:tcW w:w="5159" w:type="dxa"/>
            <w:shd w:val="clear" w:color="auto" w:fill="FFFFFF" w:themeFill="background1"/>
          </w:tcPr>
          <w:p w14:paraId="19612AD1"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6.3.1. Compilar os diagnósticos e prioridades de género dos </w:t>
            </w:r>
            <w:proofErr w:type="spellStart"/>
            <w:r w:rsidRPr="00084515">
              <w:rPr>
                <w:rFonts w:ascii="Garamond" w:hAnsi="Garamond"/>
                <w:lang w:val="pt-PT"/>
              </w:rPr>
              <w:t>PEMDS</w:t>
            </w:r>
            <w:proofErr w:type="spellEnd"/>
            <w:r w:rsidRPr="00084515">
              <w:rPr>
                <w:rFonts w:ascii="Garamond" w:hAnsi="Garamond"/>
                <w:lang w:val="pt-PT"/>
              </w:rPr>
              <w:t xml:space="preserve"> numa publicação específica, e divulgar junto dos vários públicos alvo.</w:t>
            </w:r>
          </w:p>
        </w:tc>
        <w:tc>
          <w:tcPr>
            <w:tcW w:w="1457" w:type="dxa"/>
            <w:shd w:val="clear" w:color="auto" w:fill="FFFFFF" w:themeFill="background1"/>
            <w:vAlign w:val="center"/>
          </w:tcPr>
          <w:p w14:paraId="3FB45F87" w14:textId="77777777" w:rsidR="00E145CC" w:rsidRPr="00DC4901" w:rsidRDefault="00E145CC" w:rsidP="00E145CC">
            <w:pPr>
              <w:jc w:val="center"/>
              <w:rPr>
                <w:rFonts w:ascii="Garamond" w:eastAsia="Times New Roman" w:hAnsi="Garamond" w:cs="Times New Roman"/>
                <w:color w:val="FF0000"/>
                <w:sz w:val="20"/>
                <w:szCs w:val="20"/>
                <w:lang w:eastAsia="es-ES"/>
              </w:rPr>
            </w:pPr>
            <w:proofErr w:type="spellStart"/>
            <w:r w:rsidRPr="00746F5E">
              <w:rPr>
                <w:rFonts w:ascii="Garamond" w:eastAsia="Times New Roman" w:hAnsi="Garamond" w:cs="Times New Roman"/>
                <w:sz w:val="20"/>
                <w:szCs w:val="20"/>
                <w:lang w:eastAsia="es-ES"/>
              </w:rPr>
              <w:t>Programa</w:t>
            </w:r>
            <w:proofErr w:type="spellEnd"/>
            <w:r w:rsidRPr="00746F5E">
              <w:rPr>
                <w:rFonts w:ascii="Garamond" w:eastAsia="Times New Roman" w:hAnsi="Garamond" w:cs="Times New Roman"/>
                <w:sz w:val="20"/>
                <w:szCs w:val="20"/>
                <w:lang w:eastAsia="es-ES"/>
              </w:rPr>
              <w:t xml:space="preserve"> </w:t>
            </w:r>
            <w:proofErr w:type="spellStart"/>
            <w:r w:rsidRPr="00746F5E">
              <w:rPr>
                <w:rFonts w:ascii="Garamond" w:eastAsia="Times New Roman" w:hAnsi="Garamond" w:cs="Times New Roman"/>
                <w:sz w:val="20"/>
                <w:szCs w:val="20"/>
                <w:lang w:eastAsia="es-ES"/>
              </w:rPr>
              <w:t>Plataformas</w:t>
            </w:r>
            <w:proofErr w:type="spellEnd"/>
            <w:r w:rsidRPr="00746F5E">
              <w:rPr>
                <w:rFonts w:ascii="Garamond" w:eastAsia="Times New Roman" w:hAnsi="Garamond" w:cs="Times New Roman"/>
                <w:sz w:val="20"/>
                <w:szCs w:val="20"/>
                <w:lang w:eastAsia="es-ES"/>
              </w:rPr>
              <w:t xml:space="preserve"> </w:t>
            </w:r>
            <w:proofErr w:type="spellStart"/>
            <w:r w:rsidRPr="00746F5E">
              <w:rPr>
                <w:rFonts w:ascii="Garamond" w:eastAsia="Times New Roman" w:hAnsi="Garamond" w:cs="Times New Roman"/>
                <w:sz w:val="20"/>
                <w:szCs w:val="20"/>
                <w:lang w:eastAsia="es-ES"/>
              </w:rPr>
              <w:t>Locais</w:t>
            </w:r>
            <w:proofErr w:type="spellEnd"/>
          </w:p>
        </w:tc>
        <w:tc>
          <w:tcPr>
            <w:tcW w:w="2040" w:type="dxa"/>
            <w:shd w:val="clear" w:color="auto" w:fill="FFFFFF" w:themeFill="background1"/>
            <w:vAlign w:val="center"/>
          </w:tcPr>
          <w:p w14:paraId="05C1A273" w14:textId="77777777" w:rsidR="00E145CC" w:rsidRPr="00084515" w:rsidRDefault="00E145CC" w:rsidP="00E145CC">
            <w:pPr>
              <w:jc w:val="center"/>
              <w:rPr>
                <w:rFonts w:ascii="Garamond" w:eastAsia="Times New Roman" w:hAnsi="Garamond" w:cs="Times New Roman"/>
                <w:color w:val="FF0000"/>
                <w:sz w:val="20"/>
                <w:szCs w:val="20"/>
                <w:lang w:val="pt-PT" w:eastAsia="es-ES"/>
              </w:rPr>
            </w:pPr>
            <w:proofErr w:type="spellStart"/>
            <w:r w:rsidRPr="00084515">
              <w:rPr>
                <w:rFonts w:ascii="Garamond" w:eastAsia="Times New Roman" w:hAnsi="Garamond" w:cs="Times New Roman"/>
                <w:color w:val="000000"/>
                <w:sz w:val="20"/>
                <w:szCs w:val="20"/>
                <w:lang w:val="pt-PT" w:eastAsia="es-ES"/>
              </w:rPr>
              <w:t>DNP</w:t>
            </w:r>
            <w:proofErr w:type="spellEnd"/>
            <w:r w:rsidRPr="00084515">
              <w:rPr>
                <w:rFonts w:ascii="Garamond" w:eastAsia="Times New Roman" w:hAnsi="Garamond" w:cs="Times New Roman"/>
                <w:color w:val="000000"/>
                <w:sz w:val="20"/>
                <w:szCs w:val="20"/>
                <w:lang w:val="pt-PT" w:eastAsia="es-ES"/>
              </w:rPr>
              <w:t xml:space="preserve">, CM, </w:t>
            </w:r>
            <w:proofErr w:type="spellStart"/>
            <w:r w:rsidRPr="00084515">
              <w:rPr>
                <w:rFonts w:ascii="Garamond" w:eastAsia="Times New Roman" w:hAnsi="Garamond" w:cs="Times New Roman"/>
                <w:color w:val="000000"/>
                <w:sz w:val="20"/>
                <w:szCs w:val="20"/>
                <w:lang w:val="pt-PT" w:eastAsia="es-ES"/>
              </w:rPr>
              <w:t>DGAL</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AMNCV</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OSC</w:t>
            </w:r>
            <w:proofErr w:type="spellEnd"/>
            <w:r w:rsidRPr="00084515">
              <w:rPr>
                <w:rFonts w:ascii="Garamond" w:eastAsia="Times New Roman" w:hAnsi="Garamond" w:cs="Times New Roman"/>
                <w:color w:val="000000"/>
                <w:sz w:val="20"/>
                <w:szCs w:val="20"/>
                <w:lang w:val="pt-PT" w:eastAsia="es-ES"/>
              </w:rPr>
              <w:t>, Plataformas locais de desenvolvimento</w:t>
            </w:r>
          </w:p>
        </w:tc>
        <w:tc>
          <w:tcPr>
            <w:tcW w:w="187" w:type="dxa"/>
            <w:shd w:val="clear" w:color="auto" w:fill="F2F2F2" w:themeFill="background1" w:themeFillShade="F2"/>
            <w:vAlign w:val="center"/>
          </w:tcPr>
          <w:p w14:paraId="7081D889"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405CF9E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9EBEFC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B599AF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79B36D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892F39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8972DB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AC17AC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6B8F1D9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C6E53C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F90451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CB6864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14B0BB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70E54B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BD4980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5D9B43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2BE464B3" w14:textId="3A19E381"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2 620 000</w:t>
            </w:r>
          </w:p>
        </w:tc>
      </w:tr>
      <w:tr w:rsidR="00E145CC" w:rsidRPr="00D21977" w14:paraId="207FC5E5" w14:textId="77777777" w:rsidTr="009F122A">
        <w:trPr>
          <w:trHeight w:val="615"/>
        </w:trPr>
        <w:tc>
          <w:tcPr>
            <w:tcW w:w="1905" w:type="dxa"/>
            <w:vMerge/>
            <w:shd w:val="clear" w:color="auto" w:fill="FFFFFF" w:themeFill="background1"/>
          </w:tcPr>
          <w:p w14:paraId="086662F1" w14:textId="77777777" w:rsidR="00E145CC" w:rsidRDefault="00E145CC" w:rsidP="00E145CC">
            <w:pPr>
              <w:spacing w:after="240"/>
              <w:rPr>
                <w:rFonts w:ascii="Garamond" w:hAnsi="Garamond"/>
              </w:rPr>
            </w:pPr>
          </w:p>
        </w:tc>
        <w:tc>
          <w:tcPr>
            <w:tcW w:w="5159" w:type="dxa"/>
            <w:shd w:val="clear" w:color="auto" w:fill="FFFFFF" w:themeFill="background1"/>
          </w:tcPr>
          <w:p w14:paraId="5AEE6CF9"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6.3.2. Identificar as necessidades de reforço das capacidades dos </w:t>
            </w:r>
            <w:proofErr w:type="spellStart"/>
            <w:r w:rsidRPr="00084515">
              <w:rPr>
                <w:rFonts w:ascii="Garamond" w:hAnsi="Garamond"/>
                <w:lang w:val="pt-PT"/>
              </w:rPr>
              <w:t>atores</w:t>
            </w:r>
            <w:proofErr w:type="spellEnd"/>
            <w:r w:rsidRPr="00084515">
              <w:rPr>
                <w:rFonts w:ascii="Garamond" w:hAnsi="Garamond"/>
                <w:lang w:val="pt-PT"/>
              </w:rPr>
              <w:t xml:space="preserve"> locais para a implementação das prioridades locais de género.</w:t>
            </w:r>
          </w:p>
        </w:tc>
        <w:tc>
          <w:tcPr>
            <w:tcW w:w="1457" w:type="dxa"/>
            <w:shd w:val="clear" w:color="auto" w:fill="FFFFFF" w:themeFill="background1"/>
            <w:vAlign w:val="center"/>
          </w:tcPr>
          <w:p w14:paraId="07D779DB" w14:textId="77777777" w:rsidR="00E145CC" w:rsidRPr="00DC4901" w:rsidRDefault="00E145CC" w:rsidP="00E145CC">
            <w:pPr>
              <w:jc w:val="center"/>
              <w:rPr>
                <w:rFonts w:ascii="Garamond" w:eastAsia="Times New Roman" w:hAnsi="Garamond" w:cs="Times New Roman"/>
                <w:color w:val="FF0000"/>
                <w:sz w:val="20"/>
                <w:szCs w:val="20"/>
                <w:lang w:eastAsia="es-ES"/>
              </w:rPr>
            </w:pPr>
            <w:proofErr w:type="spellStart"/>
            <w:r w:rsidRPr="00546DF7">
              <w:rPr>
                <w:rFonts w:ascii="Garamond" w:eastAsia="Times New Roman" w:hAnsi="Garamond" w:cs="Times New Roman"/>
                <w:sz w:val="20"/>
                <w:szCs w:val="20"/>
                <w:lang w:eastAsia="es-ES"/>
              </w:rPr>
              <w:t>ICIEG</w:t>
            </w:r>
            <w:proofErr w:type="spellEnd"/>
          </w:p>
        </w:tc>
        <w:tc>
          <w:tcPr>
            <w:tcW w:w="2040" w:type="dxa"/>
            <w:shd w:val="clear" w:color="auto" w:fill="FFFFFF" w:themeFill="background1"/>
            <w:vAlign w:val="center"/>
          </w:tcPr>
          <w:p w14:paraId="706A8186" w14:textId="77777777" w:rsidR="00E145CC" w:rsidRPr="00084515" w:rsidRDefault="00E145CC" w:rsidP="00E145CC">
            <w:pPr>
              <w:jc w:val="center"/>
              <w:rPr>
                <w:rFonts w:ascii="Garamond" w:eastAsia="Times New Roman" w:hAnsi="Garamond" w:cs="Times New Roman"/>
                <w:color w:val="FF0000"/>
                <w:sz w:val="20"/>
                <w:szCs w:val="20"/>
                <w:lang w:val="pt-PT" w:eastAsia="es-ES"/>
              </w:rPr>
            </w:pPr>
            <w:r w:rsidRPr="00084515">
              <w:rPr>
                <w:rFonts w:ascii="Garamond" w:eastAsia="Times New Roman" w:hAnsi="Garamond" w:cs="Times New Roman"/>
                <w:color w:val="000000"/>
                <w:sz w:val="20"/>
                <w:szCs w:val="20"/>
                <w:lang w:val="pt-PT" w:eastAsia="es-ES"/>
              </w:rPr>
              <w:t xml:space="preserve">CM, </w:t>
            </w:r>
            <w:proofErr w:type="spellStart"/>
            <w:r w:rsidRPr="00084515">
              <w:rPr>
                <w:rFonts w:ascii="Garamond" w:eastAsia="Times New Roman" w:hAnsi="Garamond" w:cs="Times New Roman"/>
                <w:color w:val="000000"/>
                <w:sz w:val="20"/>
                <w:szCs w:val="20"/>
                <w:lang w:val="pt-PT" w:eastAsia="es-ES"/>
              </w:rPr>
              <w:t>DGAL</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AMNCV</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OSC</w:t>
            </w:r>
            <w:proofErr w:type="spellEnd"/>
            <w:r w:rsidRPr="00084515">
              <w:rPr>
                <w:rFonts w:ascii="Garamond" w:eastAsia="Times New Roman" w:hAnsi="Garamond" w:cs="Times New Roman"/>
                <w:color w:val="000000"/>
                <w:sz w:val="20"/>
                <w:szCs w:val="20"/>
                <w:lang w:val="pt-PT" w:eastAsia="es-ES"/>
              </w:rPr>
              <w:t>, Plataformas locais de desenvolvimento</w:t>
            </w:r>
          </w:p>
        </w:tc>
        <w:tc>
          <w:tcPr>
            <w:tcW w:w="187" w:type="dxa"/>
            <w:shd w:val="clear" w:color="auto" w:fill="F2F2F2" w:themeFill="background1" w:themeFillShade="F2"/>
            <w:vAlign w:val="center"/>
          </w:tcPr>
          <w:p w14:paraId="40F7F002"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02BF602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2D8B9C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F5C83B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B36656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0DC4B9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E4D151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E2F958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289666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C29E34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E0098D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7F47AF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91D860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CAACA6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F22A1F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EAB3E9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4A8D0EDB" w14:textId="0E39A661"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1 640 000</w:t>
            </w:r>
          </w:p>
        </w:tc>
      </w:tr>
      <w:tr w:rsidR="00E145CC" w:rsidRPr="00D21977" w14:paraId="436DC2A0" w14:textId="77777777" w:rsidTr="009F122A">
        <w:trPr>
          <w:trHeight w:val="615"/>
        </w:trPr>
        <w:tc>
          <w:tcPr>
            <w:tcW w:w="1905" w:type="dxa"/>
            <w:vMerge/>
            <w:shd w:val="clear" w:color="auto" w:fill="FFFFFF" w:themeFill="background1"/>
          </w:tcPr>
          <w:p w14:paraId="60D7AFF7" w14:textId="77777777" w:rsidR="00E145CC" w:rsidRDefault="00E145CC" w:rsidP="00E145CC">
            <w:pPr>
              <w:spacing w:after="240"/>
              <w:rPr>
                <w:rFonts w:ascii="Garamond" w:hAnsi="Garamond"/>
              </w:rPr>
            </w:pPr>
          </w:p>
        </w:tc>
        <w:tc>
          <w:tcPr>
            <w:tcW w:w="5159" w:type="dxa"/>
            <w:shd w:val="clear" w:color="auto" w:fill="FFFFFF" w:themeFill="background1"/>
          </w:tcPr>
          <w:p w14:paraId="4D868566"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6.3.3. Apoiar os </w:t>
            </w:r>
            <w:proofErr w:type="spellStart"/>
            <w:r w:rsidRPr="00084515">
              <w:rPr>
                <w:rFonts w:ascii="Garamond" w:hAnsi="Garamond"/>
                <w:lang w:val="pt-PT"/>
              </w:rPr>
              <w:t>atores</w:t>
            </w:r>
            <w:proofErr w:type="spellEnd"/>
            <w:r w:rsidRPr="00084515">
              <w:rPr>
                <w:rFonts w:ascii="Garamond" w:hAnsi="Garamond"/>
                <w:lang w:val="pt-PT"/>
              </w:rPr>
              <w:t xml:space="preserve"> locais, incluindo </w:t>
            </w:r>
            <w:proofErr w:type="spellStart"/>
            <w:r w:rsidRPr="00084515">
              <w:rPr>
                <w:rFonts w:ascii="Garamond" w:hAnsi="Garamond"/>
                <w:lang w:val="pt-PT"/>
              </w:rPr>
              <w:t>OSC</w:t>
            </w:r>
            <w:proofErr w:type="spellEnd"/>
            <w:r w:rsidRPr="00084515">
              <w:rPr>
                <w:rFonts w:ascii="Garamond" w:hAnsi="Garamond"/>
                <w:lang w:val="pt-PT"/>
              </w:rPr>
              <w:t>, no estabelecimento de parcerias e na mobilização de fundos para a implementação dos projectos de género priorizados.</w:t>
            </w:r>
          </w:p>
        </w:tc>
        <w:tc>
          <w:tcPr>
            <w:tcW w:w="1457" w:type="dxa"/>
            <w:shd w:val="clear" w:color="auto" w:fill="FFFFFF" w:themeFill="background1"/>
            <w:vAlign w:val="center"/>
          </w:tcPr>
          <w:p w14:paraId="3CB87EC2" w14:textId="77777777" w:rsidR="00E145CC" w:rsidRPr="00DC4901" w:rsidRDefault="00E145CC" w:rsidP="00E145CC">
            <w:pPr>
              <w:jc w:val="center"/>
              <w:rPr>
                <w:rFonts w:ascii="Garamond" w:eastAsia="Times New Roman" w:hAnsi="Garamond" w:cs="Times New Roman"/>
                <w:color w:val="FF0000"/>
                <w:sz w:val="20"/>
                <w:szCs w:val="20"/>
                <w:lang w:eastAsia="es-ES"/>
              </w:rPr>
            </w:pPr>
            <w:proofErr w:type="spellStart"/>
            <w:r w:rsidRPr="00D82403">
              <w:rPr>
                <w:rFonts w:ascii="Garamond" w:eastAsia="Times New Roman" w:hAnsi="Garamond" w:cs="Times New Roman"/>
                <w:sz w:val="20"/>
                <w:szCs w:val="20"/>
                <w:lang w:eastAsia="es-ES"/>
              </w:rPr>
              <w:t>ICIEG</w:t>
            </w:r>
            <w:proofErr w:type="spellEnd"/>
          </w:p>
        </w:tc>
        <w:tc>
          <w:tcPr>
            <w:tcW w:w="2040" w:type="dxa"/>
            <w:shd w:val="clear" w:color="auto" w:fill="FFFFFF" w:themeFill="background1"/>
            <w:vAlign w:val="center"/>
          </w:tcPr>
          <w:p w14:paraId="0CE3B71D" w14:textId="77777777" w:rsidR="00E145CC" w:rsidRPr="00084515" w:rsidRDefault="00E145CC" w:rsidP="00E145CC">
            <w:pPr>
              <w:jc w:val="center"/>
              <w:rPr>
                <w:rFonts w:ascii="Garamond" w:eastAsia="Times New Roman" w:hAnsi="Garamond" w:cs="Times New Roman"/>
                <w:color w:val="FF0000"/>
                <w:sz w:val="20"/>
                <w:szCs w:val="20"/>
                <w:lang w:val="pt-PT" w:eastAsia="es-ES"/>
              </w:rPr>
            </w:pPr>
            <w:r w:rsidRPr="00084515">
              <w:rPr>
                <w:rFonts w:ascii="Garamond" w:eastAsia="Times New Roman" w:hAnsi="Garamond" w:cs="Times New Roman"/>
                <w:color w:val="000000"/>
                <w:sz w:val="20"/>
                <w:szCs w:val="20"/>
                <w:lang w:val="pt-PT" w:eastAsia="es-ES"/>
              </w:rPr>
              <w:t xml:space="preserve">CM, </w:t>
            </w:r>
            <w:proofErr w:type="spellStart"/>
            <w:r w:rsidRPr="00084515">
              <w:rPr>
                <w:rFonts w:ascii="Garamond" w:eastAsia="Times New Roman" w:hAnsi="Garamond" w:cs="Times New Roman"/>
                <w:color w:val="000000"/>
                <w:sz w:val="20"/>
                <w:szCs w:val="20"/>
                <w:lang w:val="pt-PT" w:eastAsia="es-ES"/>
              </w:rPr>
              <w:t>DGAL</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AMNCV</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OSC</w:t>
            </w:r>
            <w:proofErr w:type="spellEnd"/>
            <w:r w:rsidRPr="00084515">
              <w:rPr>
                <w:rFonts w:ascii="Garamond" w:eastAsia="Times New Roman" w:hAnsi="Garamond" w:cs="Times New Roman"/>
                <w:color w:val="000000"/>
                <w:sz w:val="20"/>
                <w:szCs w:val="20"/>
                <w:lang w:val="pt-PT" w:eastAsia="es-ES"/>
              </w:rPr>
              <w:t>, Plataformas locais de desenvolvimento</w:t>
            </w:r>
          </w:p>
        </w:tc>
        <w:tc>
          <w:tcPr>
            <w:tcW w:w="187" w:type="dxa"/>
            <w:shd w:val="clear" w:color="auto" w:fill="F2F2F2" w:themeFill="background1" w:themeFillShade="F2"/>
            <w:vAlign w:val="center"/>
          </w:tcPr>
          <w:p w14:paraId="16F496D3"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404AD479"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11C60C2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5CD517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0BA400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4364C3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215C7E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8A1883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7F33D1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97A403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1FD662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145A60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7FF915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278A4C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9565A2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0CC9D2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04B589A2" w14:textId="54B09AE6"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1 640 000</w:t>
            </w:r>
          </w:p>
        </w:tc>
      </w:tr>
      <w:tr w:rsidR="00E145CC" w:rsidRPr="00D21977" w14:paraId="2588D88B" w14:textId="77777777" w:rsidTr="009F122A">
        <w:trPr>
          <w:trHeight w:val="615"/>
        </w:trPr>
        <w:tc>
          <w:tcPr>
            <w:tcW w:w="1905" w:type="dxa"/>
            <w:vMerge/>
            <w:shd w:val="clear" w:color="auto" w:fill="FFFFFF" w:themeFill="background1"/>
          </w:tcPr>
          <w:p w14:paraId="64D0457F" w14:textId="77777777" w:rsidR="00E145CC" w:rsidRDefault="00E145CC" w:rsidP="00E145CC">
            <w:pPr>
              <w:spacing w:after="240"/>
              <w:rPr>
                <w:rFonts w:ascii="Garamond" w:hAnsi="Garamond"/>
              </w:rPr>
            </w:pPr>
          </w:p>
        </w:tc>
        <w:tc>
          <w:tcPr>
            <w:tcW w:w="5159" w:type="dxa"/>
            <w:shd w:val="clear" w:color="auto" w:fill="FFFFFF" w:themeFill="background1"/>
          </w:tcPr>
          <w:p w14:paraId="2506FD05"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6.3.4. Publicar os recursos metodológicos de género desenvolvidos e utilizados no âmbito do Programa Plataformas locais e divulgar as boas práticas identificadas.</w:t>
            </w:r>
          </w:p>
        </w:tc>
        <w:tc>
          <w:tcPr>
            <w:tcW w:w="1457" w:type="dxa"/>
            <w:shd w:val="clear" w:color="auto" w:fill="FFFFFF" w:themeFill="background1"/>
            <w:vAlign w:val="center"/>
          </w:tcPr>
          <w:p w14:paraId="1825612A" w14:textId="77777777" w:rsidR="00E145CC" w:rsidRPr="00DC4901" w:rsidRDefault="00E145CC" w:rsidP="00E145CC">
            <w:pPr>
              <w:jc w:val="center"/>
              <w:rPr>
                <w:rFonts w:ascii="Garamond" w:eastAsia="Times New Roman" w:hAnsi="Garamond" w:cs="Times New Roman"/>
                <w:color w:val="FF0000"/>
                <w:sz w:val="20"/>
                <w:szCs w:val="20"/>
                <w:lang w:eastAsia="es-ES"/>
              </w:rPr>
            </w:pPr>
            <w:proofErr w:type="spellStart"/>
            <w:r w:rsidRPr="00746F5E">
              <w:rPr>
                <w:rFonts w:ascii="Garamond" w:eastAsia="Times New Roman" w:hAnsi="Garamond" w:cs="Times New Roman"/>
                <w:sz w:val="20"/>
                <w:szCs w:val="20"/>
                <w:lang w:eastAsia="es-ES"/>
              </w:rPr>
              <w:t>Programa</w:t>
            </w:r>
            <w:proofErr w:type="spellEnd"/>
            <w:r w:rsidRPr="00746F5E">
              <w:rPr>
                <w:rFonts w:ascii="Garamond" w:eastAsia="Times New Roman" w:hAnsi="Garamond" w:cs="Times New Roman"/>
                <w:sz w:val="20"/>
                <w:szCs w:val="20"/>
                <w:lang w:eastAsia="es-ES"/>
              </w:rPr>
              <w:t xml:space="preserve"> </w:t>
            </w:r>
            <w:proofErr w:type="spellStart"/>
            <w:r w:rsidRPr="00746F5E">
              <w:rPr>
                <w:rFonts w:ascii="Garamond" w:eastAsia="Times New Roman" w:hAnsi="Garamond" w:cs="Times New Roman"/>
                <w:sz w:val="20"/>
                <w:szCs w:val="20"/>
                <w:lang w:eastAsia="es-ES"/>
              </w:rPr>
              <w:t>Plataformas</w:t>
            </w:r>
            <w:proofErr w:type="spellEnd"/>
            <w:r w:rsidRPr="00746F5E">
              <w:rPr>
                <w:rFonts w:ascii="Garamond" w:eastAsia="Times New Roman" w:hAnsi="Garamond" w:cs="Times New Roman"/>
                <w:sz w:val="20"/>
                <w:szCs w:val="20"/>
                <w:lang w:eastAsia="es-ES"/>
              </w:rPr>
              <w:t xml:space="preserve"> </w:t>
            </w:r>
            <w:proofErr w:type="spellStart"/>
            <w:r w:rsidRPr="00746F5E">
              <w:rPr>
                <w:rFonts w:ascii="Garamond" w:eastAsia="Times New Roman" w:hAnsi="Garamond" w:cs="Times New Roman"/>
                <w:sz w:val="20"/>
                <w:szCs w:val="20"/>
                <w:lang w:eastAsia="es-ES"/>
              </w:rPr>
              <w:t>Locais</w:t>
            </w:r>
            <w:proofErr w:type="spellEnd"/>
          </w:p>
        </w:tc>
        <w:tc>
          <w:tcPr>
            <w:tcW w:w="2040" w:type="dxa"/>
            <w:shd w:val="clear" w:color="auto" w:fill="FFFFFF" w:themeFill="background1"/>
            <w:vAlign w:val="center"/>
          </w:tcPr>
          <w:p w14:paraId="6D0D5282" w14:textId="77777777" w:rsidR="00E145CC" w:rsidRPr="00084515" w:rsidRDefault="00E145CC" w:rsidP="00E145CC">
            <w:pPr>
              <w:jc w:val="center"/>
              <w:rPr>
                <w:rFonts w:ascii="Garamond" w:eastAsia="Times New Roman" w:hAnsi="Garamond" w:cs="Times New Roman"/>
                <w:color w:val="FF0000"/>
                <w:sz w:val="20"/>
                <w:szCs w:val="20"/>
                <w:lang w:val="pt-PT" w:eastAsia="es-ES"/>
              </w:rPr>
            </w:pPr>
            <w:r w:rsidRPr="00084515">
              <w:rPr>
                <w:rFonts w:ascii="Garamond" w:eastAsia="Times New Roman" w:hAnsi="Garamond" w:cs="Times New Roman"/>
                <w:color w:val="000000"/>
                <w:sz w:val="20"/>
                <w:szCs w:val="20"/>
                <w:lang w:val="pt-PT" w:eastAsia="es-ES"/>
              </w:rPr>
              <w:t xml:space="preserve">CM, </w:t>
            </w:r>
            <w:proofErr w:type="spellStart"/>
            <w:r w:rsidRPr="00084515">
              <w:rPr>
                <w:rFonts w:ascii="Garamond" w:eastAsia="Times New Roman" w:hAnsi="Garamond" w:cs="Times New Roman"/>
                <w:color w:val="000000"/>
                <w:sz w:val="20"/>
                <w:szCs w:val="20"/>
                <w:lang w:val="pt-PT" w:eastAsia="es-ES"/>
              </w:rPr>
              <w:t>DGAL</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AMNCV</w:t>
            </w:r>
            <w:proofErr w:type="spellEnd"/>
            <w:r w:rsidRPr="00084515">
              <w:rPr>
                <w:rFonts w:ascii="Garamond" w:eastAsia="Times New Roman" w:hAnsi="Garamond" w:cs="Times New Roman"/>
                <w:color w:val="000000"/>
                <w:sz w:val="20"/>
                <w:szCs w:val="20"/>
                <w:lang w:val="pt-PT" w:eastAsia="es-ES"/>
              </w:rPr>
              <w:t xml:space="preserve">, </w:t>
            </w:r>
            <w:proofErr w:type="spellStart"/>
            <w:r w:rsidRPr="00084515">
              <w:rPr>
                <w:rFonts w:ascii="Garamond" w:eastAsia="Times New Roman" w:hAnsi="Garamond" w:cs="Times New Roman"/>
                <w:color w:val="000000"/>
                <w:sz w:val="20"/>
                <w:szCs w:val="20"/>
                <w:lang w:val="pt-PT" w:eastAsia="es-ES"/>
              </w:rPr>
              <w:t>OSC</w:t>
            </w:r>
            <w:proofErr w:type="spellEnd"/>
            <w:r w:rsidRPr="00084515">
              <w:rPr>
                <w:rFonts w:ascii="Garamond" w:eastAsia="Times New Roman" w:hAnsi="Garamond" w:cs="Times New Roman"/>
                <w:color w:val="000000"/>
                <w:sz w:val="20"/>
                <w:szCs w:val="20"/>
                <w:lang w:val="pt-PT" w:eastAsia="es-ES"/>
              </w:rPr>
              <w:t>, Plataformas locais de desenvolvimento</w:t>
            </w:r>
          </w:p>
        </w:tc>
        <w:tc>
          <w:tcPr>
            <w:tcW w:w="187" w:type="dxa"/>
            <w:shd w:val="clear" w:color="auto" w:fill="F2F2F2" w:themeFill="background1" w:themeFillShade="F2"/>
            <w:vAlign w:val="center"/>
          </w:tcPr>
          <w:p w14:paraId="332345A8"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6B33FE64"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44B343A8" w14:textId="51B6D5F2" w:rsidR="00E145CC" w:rsidRPr="005808D4"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2C374B4A" w14:textId="384BDF00" w:rsidR="00E145CC" w:rsidRPr="005808D4"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605025C1" w14:textId="77777777" w:rsidR="00E145CC" w:rsidRPr="005808D4"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7DC54F13" w14:textId="687CAA8B"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57796AC" w14:textId="11A78B3D"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7DC073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F0ECFA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6413CB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FC32CC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D9957C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ECA7CB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9201EB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04784B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2BBFED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312CFA3E" w14:textId="16334439"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1 625 000</w:t>
            </w:r>
          </w:p>
        </w:tc>
      </w:tr>
      <w:tr w:rsidR="00E145CC" w:rsidRPr="00D21977" w14:paraId="52090265" w14:textId="77777777" w:rsidTr="009F122A">
        <w:trPr>
          <w:trHeight w:val="615"/>
        </w:trPr>
        <w:tc>
          <w:tcPr>
            <w:tcW w:w="1905" w:type="dxa"/>
            <w:vMerge w:val="restart"/>
            <w:shd w:val="clear" w:color="auto" w:fill="FFFFFF" w:themeFill="background1"/>
          </w:tcPr>
          <w:p w14:paraId="0DE812EF" w14:textId="77777777" w:rsidR="00E145CC" w:rsidRPr="00084515" w:rsidRDefault="00E145CC" w:rsidP="00E145CC">
            <w:pPr>
              <w:spacing w:after="240"/>
              <w:rPr>
                <w:rFonts w:ascii="Garamond" w:hAnsi="Garamond"/>
                <w:sz w:val="20"/>
                <w:szCs w:val="20"/>
                <w:lang w:val="pt-PT"/>
              </w:rPr>
            </w:pPr>
            <w:r w:rsidRPr="00084515">
              <w:rPr>
                <w:rFonts w:ascii="Garamond" w:hAnsi="Garamond"/>
                <w:lang w:val="pt-PT"/>
              </w:rPr>
              <w:t xml:space="preserve">6.4. Melhorada a capacidade institucional de instituições e </w:t>
            </w:r>
            <w:proofErr w:type="spellStart"/>
            <w:r w:rsidRPr="00084515">
              <w:rPr>
                <w:rFonts w:ascii="Garamond" w:hAnsi="Garamond"/>
                <w:lang w:val="pt-PT"/>
              </w:rPr>
              <w:t>setores</w:t>
            </w:r>
            <w:proofErr w:type="spellEnd"/>
            <w:r w:rsidRPr="00084515">
              <w:rPr>
                <w:rFonts w:ascii="Garamond" w:hAnsi="Garamond"/>
                <w:lang w:val="pt-PT"/>
              </w:rPr>
              <w:t xml:space="preserve"> específicos para uma integração abrangente e consistente da igualdade de género</w:t>
            </w:r>
          </w:p>
        </w:tc>
        <w:tc>
          <w:tcPr>
            <w:tcW w:w="5159" w:type="dxa"/>
            <w:shd w:val="clear" w:color="auto" w:fill="FFFFFF" w:themeFill="background1"/>
          </w:tcPr>
          <w:p w14:paraId="1B2B0469"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6.4.1. Elaborar e implementar o Plano de </w:t>
            </w:r>
            <w:proofErr w:type="spellStart"/>
            <w:r w:rsidRPr="00084515">
              <w:rPr>
                <w:rFonts w:ascii="Garamond" w:hAnsi="Garamond"/>
                <w:lang w:val="pt-PT"/>
              </w:rPr>
              <w:t>Ação</w:t>
            </w:r>
            <w:proofErr w:type="spellEnd"/>
            <w:r w:rsidRPr="00084515">
              <w:rPr>
                <w:rFonts w:ascii="Garamond" w:hAnsi="Garamond"/>
                <w:lang w:val="pt-PT"/>
              </w:rPr>
              <w:t xml:space="preserve"> em matéria de Género e Energia, incluindo as questões de emprego e empregabilidade das mulheres nas energias renováveis e eficiência energética</w:t>
            </w:r>
            <w:r w:rsidRPr="00084515">
              <w:rPr>
                <w:rFonts w:ascii="Garamond" w:eastAsia="Times New Roman" w:hAnsi="Garamond" w:cs="Tahoma"/>
                <w:bCs/>
                <w:lang w:val="pt-PT" w:eastAsia="pt-PT"/>
              </w:rPr>
              <w:t>.</w:t>
            </w:r>
          </w:p>
        </w:tc>
        <w:tc>
          <w:tcPr>
            <w:tcW w:w="1457" w:type="dxa"/>
            <w:shd w:val="clear" w:color="auto" w:fill="FFFFFF" w:themeFill="background1"/>
            <w:vAlign w:val="center"/>
          </w:tcPr>
          <w:p w14:paraId="5C5502B7"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DGE</w:t>
            </w:r>
            <w:proofErr w:type="spellEnd"/>
          </w:p>
        </w:tc>
        <w:tc>
          <w:tcPr>
            <w:tcW w:w="2040" w:type="dxa"/>
            <w:shd w:val="clear" w:color="auto" w:fill="FFFFFF" w:themeFill="background1"/>
            <w:vAlign w:val="center"/>
          </w:tcPr>
          <w:p w14:paraId="445606C3" w14:textId="77777777" w:rsidR="00E145CC" w:rsidRPr="00084515" w:rsidRDefault="00E145CC" w:rsidP="00E145CC">
            <w:pPr>
              <w:jc w:val="center"/>
              <w:rPr>
                <w:rFonts w:ascii="Garamond" w:eastAsia="Times New Roman" w:hAnsi="Garamond" w:cs="Times New Roman"/>
                <w:color w:val="000000"/>
                <w:sz w:val="20"/>
                <w:szCs w:val="20"/>
                <w:lang w:val="pt-PT" w:eastAsia="es-ES"/>
              </w:rPr>
            </w:pPr>
            <w:proofErr w:type="spellStart"/>
            <w:r w:rsidRPr="00084515">
              <w:rPr>
                <w:rFonts w:ascii="Garamond" w:eastAsia="Times New Roman" w:hAnsi="Garamond" w:cs="Times New Roman"/>
                <w:color w:val="000000"/>
                <w:sz w:val="20"/>
                <w:szCs w:val="20"/>
                <w:lang w:val="pt-PT" w:eastAsia="es-ES"/>
              </w:rPr>
              <w:t>ICIEG</w:t>
            </w:r>
            <w:proofErr w:type="spellEnd"/>
            <w:r w:rsidRPr="00084515">
              <w:rPr>
                <w:rFonts w:ascii="Garamond" w:eastAsia="Times New Roman" w:hAnsi="Garamond" w:cs="Times New Roman"/>
                <w:color w:val="000000"/>
                <w:sz w:val="20"/>
                <w:szCs w:val="20"/>
                <w:lang w:val="pt-PT" w:eastAsia="es-ES"/>
              </w:rPr>
              <w:t xml:space="preserve">, </w:t>
            </w:r>
            <w:proofErr w:type="gramStart"/>
            <w:r w:rsidRPr="00084515">
              <w:rPr>
                <w:rFonts w:ascii="Garamond" w:eastAsia="Times New Roman" w:hAnsi="Garamond" w:cs="Times New Roman"/>
                <w:color w:val="000000"/>
                <w:sz w:val="20"/>
                <w:szCs w:val="20"/>
                <w:lang w:val="pt-PT" w:eastAsia="es-ES"/>
              </w:rPr>
              <w:t>Operadoras</w:t>
            </w:r>
            <w:proofErr w:type="gramEnd"/>
            <w:r w:rsidRPr="00084515">
              <w:rPr>
                <w:rFonts w:ascii="Garamond" w:eastAsia="Times New Roman" w:hAnsi="Garamond" w:cs="Times New Roman"/>
                <w:color w:val="000000"/>
                <w:sz w:val="20"/>
                <w:szCs w:val="20"/>
                <w:lang w:val="pt-PT" w:eastAsia="es-ES"/>
              </w:rPr>
              <w:t xml:space="preserve">, parceiros do </w:t>
            </w:r>
            <w:proofErr w:type="spellStart"/>
            <w:r w:rsidRPr="00084515">
              <w:rPr>
                <w:rFonts w:ascii="Garamond" w:eastAsia="Times New Roman" w:hAnsi="Garamond" w:cs="Times New Roman"/>
                <w:color w:val="000000"/>
                <w:sz w:val="20"/>
                <w:szCs w:val="20"/>
                <w:lang w:val="pt-PT" w:eastAsia="es-ES"/>
              </w:rPr>
              <w:t>setor</w:t>
            </w:r>
            <w:proofErr w:type="spellEnd"/>
            <w:r w:rsidRPr="00084515">
              <w:rPr>
                <w:rFonts w:ascii="Garamond" w:eastAsia="Times New Roman" w:hAnsi="Garamond" w:cs="Times New Roman"/>
                <w:color w:val="000000"/>
                <w:sz w:val="20"/>
                <w:szCs w:val="20"/>
                <w:lang w:val="pt-PT" w:eastAsia="es-ES"/>
              </w:rPr>
              <w:t xml:space="preserve"> da energia</w:t>
            </w:r>
          </w:p>
        </w:tc>
        <w:tc>
          <w:tcPr>
            <w:tcW w:w="187" w:type="dxa"/>
            <w:shd w:val="clear" w:color="auto" w:fill="F2F2F2" w:themeFill="background1" w:themeFillShade="F2"/>
            <w:vAlign w:val="center"/>
          </w:tcPr>
          <w:p w14:paraId="334E5057"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5E6CE9D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3543EA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1F3E96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54CF2E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40E3D8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015B998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321D5A9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B29DD9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027348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B15E2A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1A4580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8D1D5D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505760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D8D5A4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2CD6C6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5DC462A3" w14:textId="47CCE9F1"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2 150 000</w:t>
            </w:r>
          </w:p>
        </w:tc>
      </w:tr>
      <w:tr w:rsidR="00E145CC" w:rsidRPr="00D21977" w14:paraId="016E6838" w14:textId="77777777" w:rsidTr="009F122A">
        <w:trPr>
          <w:trHeight w:val="615"/>
        </w:trPr>
        <w:tc>
          <w:tcPr>
            <w:tcW w:w="1905" w:type="dxa"/>
            <w:vMerge/>
            <w:shd w:val="clear" w:color="auto" w:fill="FFFFFF" w:themeFill="background1"/>
          </w:tcPr>
          <w:p w14:paraId="3EADCE35"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2CCCA836"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iCs/>
                <w:lang w:val="pt-PT"/>
              </w:rPr>
              <w:t xml:space="preserve">6.4.2. Desenvolver, implementar e seguir um plano para a </w:t>
            </w:r>
            <w:r w:rsidRPr="00084515">
              <w:rPr>
                <w:rFonts w:ascii="Garamond" w:eastAsia="Times New Roman" w:hAnsi="Garamond" w:cs="Tahoma"/>
                <w:bCs/>
                <w:lang w:val="pt-PT" w:eastAsia="pt-PT"/>
              </w:rPr>
              <w:t>implementação dos compromissos de género no âmbito da Carta Africana dos Transportes Marítimos.</w:t>
            </w:r>
          </w:p>
        </w:tc>
        <w:tc>
          <w:tcPr>
            <w:tcW w:w="1457" w:type="dxa"/>
            <w:shd w:val="clear" w:color="auto" w:fill="FFFFFF" w:themeFill="background1"/>
            <w:vAlign w:val="center"/>
          </w:tcPr>
          <w:p w14:paraId="425DFB1B" w14:textId="77777777" w:rsidR="00E145CC" w:rsidRPr="001054E9" w:rsidRDefault="00E145CC" w:rsidP="00E145CC">
            <w:pPr>
              <w:jc w:val="center"/>
              <w:rPr>
                <w:rFonts w:ascii="Garamond" w:eastAsia="Times New Roman" w:hAnsi="Garamond" w:cs="Times New Roman"/>
                <w:color w:val="000000"/>
                <w:sz w:val="20"/>
                <w:szCs w:val="20"/>
                <w:lang w:eastAsia="es-ES"/>
              </w:rPr>
            </w:pPr>
            <w:r w:rsidRPr="001054E9">
              <w:rPr>
                <w:rFonts w:ascii="Garamond" w:eastAsia="Times New Roman" w:hAnsi="Garamond" w:cs="Times New Roman"/>
                <w:color w:val="000000"/>
                <w:sz w:val="20"/>
                <w:szCs w:val="20"/>
                <w:lang w:eastAsia="es-ES"/>
              </w:rPr>
              <w:t>MEM</w:t>
            </w:r>
          </w:p>
        </w:tc>
        <w:tc>
          <w:tcPr>
            <w:tcW w:w="2040" w:type="dxa"/>
            <w:shd w:val="clear" w:color="auto" w:fill="FFFFFF" w:themeFill="background1"/>
            <w:vAlign w:val="center"/>
          </w:tcPr>
          <w:p w14:paraId="2A770C55" w14:textId="77777777" w:rsidR="00E145CC" w:rsidRPr="00084515" w:rsidRDefault="00E145CC" w:rsidP="00E145CC">
            <w:pPr>
              <w:jc w:val="center"/>
              <w:rPr>
                <w:rFonts w:ascii="Garamond" w:eastAsia="Times New Roman" w:hAnsi="Garamond" w:cs="Times New Roman"/>
                <w:color w:val="000000"/>
                <w:sz w:val="20"/>
                <w:szCs w:val="20"/>
                <w:lang w:val="pt-PT" w:eastAsia="es-ES"/>
              </w:rPr>
            </w:pPr>
            <w:proofErr w:type="spellStart"/>
            <w:r w:rsidRPr="00084515">
              <w:rPr>
                <w:rFonts w:ascii="Garamond" w:eastAsia="Times New Roman" w:hAnsi="Garamond" w:cs="Times New Roman"/>
                <w:color w:val="000000"/>
                <w:sz w:val="20"/>
                <w:szCs w:val="20"/>
                <w:lang w:val="pt-PT" w:eastAsia="es-ES"/>
              </w:rPr>
              <w:t>ENAPOR</w:t>
            </w:r>
            <w:proofErr w:type="spellEnd"/>
            <w:r w:rsidRPr="00084515">
              <w:rPr>
                <w:rFonts w:ascii="Garamond" w:eastAsia="Times New Roman" w:hAnsi="Garamond" w:cs="Times New Roman"/>
                <w:color w:val="000000"/>
                <w:sz w:val="20"/>
                <w:szCs w:val="20"/>
                <w:lang w:val="pt-PT" w:eastAsia="es-ES"/>
              </w:rPr>
              <w:t xml:space="preserve">, Universidade, Escola de formação </w:t>
            </w:r>
          </w:p>
        </w:tc>
        <w:tc>
          <w:tcPr>
            <w:tcW w:w="187" w:type="dxa"/>
            <w:shd w:val="clear" w:color="auto" w:fill="F2F2F2" w:themeFill="background1" w:themeFillShade="F2"/>
            <w:vAlign w:val="center"/>
          </w:tcPr>
          <w:p w14:paraId="3420E455"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6CE46758"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115D8C57"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4CDD9256"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6B43D7F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4C0053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5946ED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A6CE48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E86FDE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BC78D57"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186173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034DC2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6EE180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71CEBA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B8881F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EEDB71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3095E491" w14:textId="1B3794F9"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1 215 000</w:t>
            </w:r>
          </w:p>
        </w:tc>
      </w:tr>
      <w:tr w:rsidR="00E145CC" w:rsidRPr="00D21977" w14:paraId="4BFEF461" w14:textId="77777777" w:rsidTr="009F122A">
        <w:trPr>
          <w:trHeight w:val="615"/>
        </w:trPr>
        <w:tc>
          <w:tcPr>
            <w:tcW w:w="1905" w:type="dxa"/>
            <w:vMerge/>
            <w:shd w:val="clear" w:color="auto" w:fill="FFFFFF" w:themeFill="background1"/>
          </w:tcPr>
          <w:p w14:paraId="03A0E225"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4E1068F4"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Pr>
                <w:rFonts w:ascii="Garamond" w:hAnsi="Garamond" w:cs="Arial"/>
                <w:lang w:val="pt-BR"/>
              </w:rPr>
              <w:t xml:space="preserve">6.4.3. </w:t>
            </w:r>
            <w:r w:rsidRPr="00E4652C">
              <w:rPr>
                <w:rFonts w:ascii="Garamond" w:hAnsi="Garamond" w:cs="Arial"/>
                <w:lang w:val="pt-BR"/>
              </w:rPr>
              <w:t>Identificar as necessidades de reforço das capacidades de género a todos os níveis do MAA e desenhar, implementar e seguir um plano de capacitação.</w:t>
            </w:r>
          </w:p>
        </w:tc>
        <w:tc>
          <w:tcPr>
            <w:tcW w:w="1457" w:type="dxa"/>
            <w:shd w:val="clear" w:color="auto" w:fill="FFFFFF" w:themeFill="background1"/>
            <w:vAlign w:val="center"/>
          </w:tcPr>
          <w:p w14:paraId="669730DD"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DGPOG</w:t>
            </w:r>
            <w:proofErr w:type="spellEnd"/>
            <w:r>
              <w:rPr>
                <w:rFonts w:ascii="Garamond" w:eastAsia="Times New Roman" w:hAnsi="Garamond" w:cs="Times New Roman"/>
                <w:color w:val="000000"/>
                <w:sz w:val="20"/>
                <w:szCs w:val="20"/>
                <w:lang w:eastAsia="es-ES"/>
              </w:rPr>
              <w:t>/MAA</w:t>
            </w:r>
          </w:p>
        </w:tc>
        <w:tc>
          <w:tcPr>
            <w:tcW w:w="2040" w:type="dxa"/>
            <w:shd w:val="clear" w:color="auto" w:fill="FFFFFF" w:themeFill="background1"/>
            <w:vAlign w:val="center"/>
          </w:tcPr>
          <w:p w14:paraId="513A6F2B"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DSGRHP</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serviços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Delegações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 xml:space="preserve"> </w:t>
            </w:r>
          </w:p>
        </w:tc>
        <w:tc>
          <w:tcPr>
            <w:tcW w:w="187" w:type="dxa"/>
            <w:shd w:val="clear" w:color="auto" w:fill="F2F2F2" w:themeFill="background1" w:themeFillShade="F2"/>
            <w:vAlign w:val="center"/>
          </w:tcPr>
          <w:p w14:paraId="49C79924"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94ACFB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60FB74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3F7458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0326BD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95FC1E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99E16E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0E0816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FD1AAE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9955EB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260732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92F11C9"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DCA2BB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FFB708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C17F61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E4848B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561A5A16" w14:textId="3E5AE6CE"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5 190 000</w:t>
            </w:r>
          </w:p>
        </w:tc>
      </w:tr>
      <w:tr w:rsidR="00E145CC" w:rsidRPr="00D21977" w14:paraId="36B8BB3F" w14:textId="77777777" w:rsidTr="009F122A">
        <w:trPr>
          <w:trHeight w:val="615"/>
        </w:trPr>
        <w:tc>
          <w:tcPr>
            <w:tcW w:w="1905" w:type="dxa"/>
            <w:vMerge/>
            <w:shd w:val="clear" w:color="auto" w:fill="FFFFFF" w:themeFill="background1"/>
          </w:tcPr>
          <w:p w14:paraId="0EF206C8"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75FADC74" w14:textId="77777777" w:rsidR="00E145CC" w:rsidRPr="00084515" w:rsidRDefault="00E145CC" w:rsidP="00E145CC">
            <w:pPr>
              <w:spacing w:after="60"/>
              <w:rPr>
                <w:rFonts w:ascii="Garamond" w:eastAsia="Times New Roman" w:hAnsi="Garamond" w:cs="Times New Roman"/>
                <w:sz w:val="20"/>
                <w:szCs w:val="20"/>
                <w:lang w:val="pt-PT" w:eastAsia="es-ES"/>
              </w:rPr>
            </w:pPr>
            <w:r w:rsidRPr="00084515">
              <w:rPr>
                <w:rFonts w:ascii="Garamond" w:hAnsi="Garamond"/>
                <w:iCs/>
                <w:lang w:val="pt-PT"/>
              </w:rPr>
              <w:t xml:space="preserve">6.4.4. Garantir capacidades para a </w:t>
            </w:r>
            <w:proofErr w:type="spellStart"/>
            <w:r w:rsidRPr="00084515">
              <w:rPr>
                <w:rFonts w:ascii="Garamond" w:hAnsi="Garamond"/>
                <w:iCs/>
                <w:lang w:val="pt-PT"/>
              </w:rPr>
              <w:t>transversalização</w:t>
            </w:r>
            <w:proofErr w:type="spellEnd"/>
            <w:r w:rsidRPr="00084515">
              <w:rPr>
                <w:rFonts w:ascii="Garamond" w:hAnsi="Garamond"/>
                <w:iCs/>
                <w:lang w:val="pt-PT"/>
              </w:rPr>
              <w:t xml:space="preserve"> do género nas instituições com responsabilidades na </w:t>
            </w:r>
            <w:r w:rsidRPr="00063523">
              <w:rPr>
                <w:rFonts w:ascii="Garamond" w:hAnsi="Garamond" w:cs="Arial"/>
                <w:lang w:val="pt-BR"/>
              </w:rPr>
              <w:t>clarificação e formalização de direitos à terra/propriedade</w:t>
            </w:r>
            <w:r w:rsidRPr="00084515">
              <w:rPr>
                <w:rFonts w:ascii="Garamond" w:hAnsi="Garamond"/>
                <w:iCs/>
                <w:lang w:val="pt-PT"/>
              </w:rPr>
              <w:t xml:space="preserve"> e seguir a implementação </w:t>
            </w:r>
            <w:r w:rsidRPr="00063523">
              <w:rPr>
                <w:rFonts w:ascii="Garamond" w:hAnsi="Garamond" w:cs="Arial"/>
                <w:lang w:val="pt-BR"/>
              </w:rPr>
              <w:t>da matriz de recomendações existente</w:t>
            </w:r>
          </w:p>
        </w:tc>
        <w:tc>
          <w:tcPr>
            <w:tcW w:w="1457" w:type="dxa"/>
            <w:shd w:val="clear" w:color="auto" w:fill="FFFFFF" w:themeFill="background1"/>
            <w:vAlign w:val="center"/>
          </w:tcPr>
          <w:p w14:paraId="33E83804"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INGT</w:t>
            </w:r>
            <w:proofErr w:type="spellEnd"/>
          </w:p>
        </w:tc>
        <w:tc>
          <w:tcPr>
            <w:tcW w:w="2040" w:type="dxa"/>
            <w:shd w:val="clear" w:color="auto" w:fill="FFFFFF" w:themeFill="background1"/>
            <w:vAlign w:val="center"/>
          </w:tcPr>
          <w:p w14:paraId="6EB9BE41"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DGRNI</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Câmaras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Conservatórias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CSMP</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CSMJ</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DNAP</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DGAL</w:t>
            </w:r>
            <w:proofErr w:type="spellEnd"/>
            <w:r>
              <w:rPr>
                <w:rFonts w:ascii="Garamond" w:eastAsia="Times New Roman" w:hAnsi="Garamond" w:cs="Times New Roman"/>
                <w:color w:val="000000"/>
                <w:sz w:val="20"/>
                <w:szCs w:val="20"/>
                <w:lang w:eastAsia="es-ES"/>
              </w:rPr>
              <w:t xml:space="preserve">, MJ, MFIS, </w:t>
            </w:r>
            <w:proofErr w:type="spellStart"/>
            <w:r>
              <w:rPr>
                <w:rFonts w:ascii="Garamond" w:eastAsia="Times New Roman" w:hAnsi="Garamond" w:cs="Times New Roman"/>
                <w:color w:val="000000"/>
                <w:sz w:val="20"/>
                <w:szCs w:val="20"/>
                <w:lang w:eastAsia="es-ES"/>
              </w:rPr>
              <w:t>DGPCP</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NOSi</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66C4A46B"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20E490C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B9348C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5C5C11B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320C3C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B04179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708E0D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AA605F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E3FFCF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17D7A17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4659112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1F3688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1FE8DD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D952A4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E84D61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9151AF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19B7AEC7" w14:textId="40553837"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2 090 000</w:t>
            </w:r>
          </w:p>
        </w:tc>
      </w:tr>
      <w:tr w:rsidR="00E145CC" w:rsidRPr="00D21977" w14:paraId="32D04713" w14:textId="77777777" w:rsidTr="009F122A">
        <w:trPr>
          <w:trHeight w:val="615"/>
        </w:trPr>
        <w:tc>
          <w:tcPr>
            <w:tcW w:w="1905" w:type="dxa"/>
            <w:vMerge/>
            <w:shd w:val="clear" w:color="auto" w:fill="FFFFFF" w:themeFill="background1"/>
          </w:tcPr>
          <w:p w14:paraId="67F42724"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1C8E8651"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 xml:space="preserve">6.4.5 Rever as responsabilidades </w:t>
            </w:r>
            <w:proofErr w:type="spellStart"/>
            <w:r w:rsidRPr="00084515">
              <w:rPr>
                <w:rFonts w:ascii="Garamond" w:hAnsi="Garamond"/>
                <w:lang w:val="pt-PT"/>
              </w:rPr>
              <w:t>pela</w:t>
            </w:r>
            <w:proofErr w:type="spellEnd"/>
            <w:r w:rsidRPr="00084515">
              <w:rPr>
                <w:rFonts w:ascii="Garamond" w:hAnsi="Garamond"/>
                <w:lang w:val="pt-PT"/>
              </w:rPr>
              <w:t xml:space="preserve"> coordenação, implementação, seguimento da </w:t>
            </w:r>
            <w:proofErr w:type="spellStart"/>
            <w:r w:rsidRPr="00084515">
              <w:rPr>
                <w:rFonts w:ascii="Garamond" w:hAnsi="Garamond"/>
                <w:lang w:val="pt-PT"/>
              </w:rPr>
              <w:t>ESGAS</w:t>
            </w:r>
            <w:proofErr w:type="spellEnd"/>
            <w:r w:rsidRPr="00084515">
              <w:rPr>
                <w:rFonts w:ascii="Garamond" w:hAnsi="Garamond"/>
                <w:lang w:val="pt-PT"/>
              </w:rPr>
              <w:t xml:space="preserve"> (2015-2020) e capitalizar nas boas práticas anteriores.</w:t>
            </w:r>
          </w:p>
        </w:tc>
        <w:tc>
          <w:tcPr>
            <w:tcW w:w="1457" w:type="dxa"/>
            <w:shd w:val="clear" w:color="auto" w:fill="FFFFFF" w:themeFill="background1"/>
            <w:vAlign w:val="center"/>
          </w:tcPr>
          <w:p w14:paraId="22C39D08" w14:textId="77777777" w:rsidR="00E145CC" w:rsidRPr="0052578F" w:rsidRDefault="00E145CC" w:rsidP="00E145CC">
            <w:pPr>
              <w:jc w:val="center"/>
              <w:rPr>
                <w:rFonts w:ascii="Garamond" w:eastAsia="Times New Roman" w:hAnsi="Garamond" w:cs="Times New Roman"/>
                <w:sz w:val="20"/>
                <w:szCs w:val="20"/>
                <w:lang w:eastAsia="es-ES"/>
              </w:rPr>
            </w:pPr>
            <w:proofErr w:type="spellStart"/>
            <w:r w:rsidRPr="0052578F">
              <w:rPr>
                <w:rFonts w:ascii="Garamond" w:eastAsia="Times New Roman" w:hAnsi="Garamond" w:cs="Times New Roman"/>
                <w:sz w:val="20"/>
                <w:szCs w:val="20"/>
                <w:lang w:eastAsia="es-ES"/>
              </w:rPr>
              <w:t>ICIEG</w:t>
            </w:r>
            <w:proofErr w:type="spellEnd"/>
            <w:r w:rsidRPr="0052578F">
              <w:rPr>
                <w:rFonts w:ascii="Garamond" w:eastAsia="Times New Roman" w:hAnsi="Garamond" w:cs="Times New Roman"/>
                <w:sz w:val="20"/>
                <w:szCs w:val="20"/>
                <w:lang w:eastAsia="es-ES"/>
              </w:rPr>
              <w:t xml:space="preserve"> /MAA</w:t>
            </w:r>
          </w:p>
        </w:tc>
        <w:tc>
          <w:tcPr>
            <w:tcW w:w="2040" w:type="dxa"/>
            <w:shd w:val="clear" w:color="auto" w:fill="FFFFFF" w:themeFill="background1"/>
            <w:vAlign w:val="center"/>
          </w:tcPr>
          <w:p w14:paraId="456BF9F2" w14:textId="77777777" w:rsidR="00E145CC" w:rsidRPr="00084515" w:rsidRDefault="00E145CC" w:rsidP="00E145CC">
            <w:pPr>
              <w:jc w:val="center"/>
              <w:rPr>
                <w:rFonts w:ascii="Garamond" w:eastAsia="Times New Roman" w:hAnsi="Garamond" w:cs="Times New Roman"/>
                <w:color w:val="000000"/>
                <w:sz w:val="20"/>
                <w:szCs w:val="20"/>
                <w:lang w:val="pt-PT" w:eastAsia="es-ES"/>
              </w:rPr>
            </w:pPr>
            <w:r w:rsidRPr="00084515">
              <w:rPr>
                <w:rFonts w:ascii="Garamond" w:eastAsia="Times New Roman" w:hAnsi="Garamond" w:cs="Times New Roman"/>
                <w:color w:val="000000"/>
                <w:sz w:val="20"/>
                <w:szCs w:val="20"/>
                <w:lang w:val="pt-PT" w:eastAsia="es-ES"/>
              </w:rPr>
              <w:t xml:space="preserve">ANAS, parceiros de implementação do </w:t>
            </w:r>
            <w:proofErr w:type="spellStart"/>
            <w:r w:rsidRPr="00084515">
              <w:rPr>
                <w:rFonts w:ascii="Garamond" w:eastAsia="Times New Roman" w:hAnsi="Garamond" w:cs="Times New Roman"/>
                <w:color w:val="000000"/>
                <w:sz w:val="20"/>
                <w:szCs w:val="20"/>
                <w:lang w:val="pt-PT" w:eastAsia="es-ES"/>
              </w:rPr>
              <w:t>ESGAS</w:t>
            </w:r>
            <w:proofErr w:type="spellEnd"/>
          </w:p>
        </w:tc>
        <w:tc>
          <w:tcPr>
            <w:tcW w:w="187" w:type="dxa"/>
            <w:shd w:val="clear" w:color="auto" w:fill="F2F2F2" w:themeFill="background1" w:themeFillShade="F2"/>
            <w:vAlign w:val="center"/>
          </w:tcPr>
          <w:p w14:paraId="5A60A20A"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48352D67"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3B1BA51B"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E99CABC"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D03648A"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634DE9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54C4C9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B23928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EBA069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19A85E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00F9C3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1EA18F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CCCB42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4279EF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F0989E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BFC0A2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3F1F6772" w14:textId="205A657B"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740 000</w:t>
            </w:r>
          </w:p>
        </w:tc>
      </w:tr>
      <w:tr w:rsidR="00E145CC" w:rsidRPr="00D21977" w14:paraId="2CAA9405" w14:textId="77777777" w:rsidTr="009F122A">
        <w:trPr>
          <w:trHeight w:val="615"/>
        </w:trPr>
        <w:tc>
          <w:tcPr>
            <w:tcW w:w="1905" w:type="dxa"/>
            <w:vMerge/>
            <w:shd w:val="clear" w:color="auto" w:fill="FFFFFF" w:themeFill="background1"/>
          </w:tcPr>
          <w:p w14:paraId="7B436264"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632282E6"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lang w:val="pt-PT"/>
              </w:rPr>
              <w:t>6.4.6. Sistematizar e partilhar as lições aprendidas e experiências na operacionalização de gabinetes sociais e de género nas operadoras de água e saneamento, e acompanhar a sua generalização.</w:t>
            </w:r>
          </w:p>
        </w:tc>
        <w:tc>
          <w:tcPr>
            <w:tcW w:w="1457" w:type="dxa"/>
            <w:shd w:val="clear" w:color="auto" w:fill="FFFFFF" w:themeFill="background1"/>
            <w:vAlign w:val="center"/>
          </w:tcPr>
          <w:p w14:paraId="3E049309" w14:textId="77777777" w:rsidR="00E145CC" w:rsidRPr="0052578F" w:rsidRDefault="00E145CC" w:rsidP="00E145CC">
            <w:pPr>
              <w:jc w:val="center"/>
              <w:rPr>
                <w:rFonts w:ascii="Garamond" w:eastAsia="Times New Roman" w:hAnsi="Garamond" w:cs="Times New Roman"/>
                <w:sz w:val="20"/>
                <w:szCs w:val="20"/>
                <w:lang w:eastAsia="es-ES"/>
              </w:rPr>
            </w:pPr>
            <w:proofErr w:type="spellStart"/>
            <w:r w:rsidRPr="0052578F">
              <w:rPr>
                <w:rFonts w:ascii="Garamond" w:eastAsia="Times New Roman" w:hAnsi="Garamond" w:cs="Times New Roman"/>
                <w:sz w:val="20"/>
                <w:szCs w:val="20"/>
                <w:lang w:eastAsia="es-ES"/>
              </w:rPr>
              <w:t>ICIEG</w:t>
            </w:r>
            <w:proofErr w:type="spellEnd"/>
            <w:r w:rsidRPr="0052578F">
              <w:rPr>
                <w:rFonts w:ascii="Garamond" w:eastAsia="Times New Roman" w:hAnsi="Garamond" w:cs="Times New Roman"/>
                <w:sz w:val="20"/>
                <w:szCs w:val="20"/>
                <w:lang w:eastAsia="es-ES"/>
              </w:rPr>
              <w:t xml:space="preserve"> / ANAS</w:t>
            </w:r>
          </w:p>
        </w:tc>
        <w:tc>
          <w:tcPr>
            <w:tcW w:w="2040" w:type="dxa"/>
            <w:shd w:val="clear" w:color="auto" w:fill="FFFFFF" w:themeFill="background1"/>
            <w:vAlign w:val="center"/>
          </w:tcPr>
          <w:p w14:paraId="5089A62C" w14:textId="77777777" w:rsidR="00E145CC" w:rsidRPr="00084515" w:rsidRDefault="00E145CC" w:rsidP="00E145CC">
            <w:pPr>
              <w:jc w:val="center"/>
              <w:rPr>
                <w:rFonts w:ascii="Garamond" w:eastAsia="Times New Roman" w:hAnsi="Garamond" w:cs="Times New Roman"/>
                <w:color w:val="000000"/>
                <w:sz w:val="20"/>
                <w:szCs w:val="20"/>
                <w:lang w:val="pt-PT" w:eastAsia="es-ES"/>
              </w:rPr>
            </w:pPr>
            <w:r w:rsidRPr="00084515">
              <w:rPr>
                <w:rFonts w:ascii="Garamond" w:eastAsia="Times New Roman" w:hAnsi="Garamond" w:cs="Times New Roman"/>
                <w:color w:val="000000"/>
                <w:sz w:val="20"/>
                <w:szCs w:val="20"/>
                <w:lang w:val="pt-PT" w:eastAsia="es-ES"/>
              </w:rPr>
              <w:t xml:space="preserve">Operadoras de Água e </w:t>
            </w:r>
            <w:proofErr w:type="spellStart"/>
            <w:r w:rsidRPr="00084515">
              <w:rPr>
                <w:rFonts w:ascii="Garamond" w:eastAsia="Times New Roman" w:hAnsi="Garamond" w:cs="Times New Roman"/>
                <w:color w:val="000000"/>
                <w:sz w:val="20"/>
                <w:szCs w:val="20"/>
                <w:lang w:val="pt-PT" w:eastAsia="es-ES"/>
              </w:rPr>
              <w:t>Sanemaneto</w:t>
            </w:r>
            <w:proofErr w:type="spellEnd"/>
            <w:r w:rsidRPr="00084515">
              <w:rPr>
                <w:rFonts w:ascii="Garamond" w:eastAsia="Times New Roman" w:hAnsi="Garamond" w:cs="Times New Roman"/>
                <w:color w:val="000000"/>
                <w:sz w:val="20"/>
                <w:szCs w:val="20"/>
                <w:lang w:val="pt-PT" w:eastAsia="es-ES"/>
              </w:rPr>
              <w:t xml:space="preserve"> </w:t>
            </w:r>
          </w:p>
        </w:tc>
        <w:tc>
          <w:tcPr>
            <w:tcW w:w="187" w:type="dxa"/>
            <w:shd w:val="clear" w:color="auto" w:fill="F2F2F2" w:themeFill="background1" w:themeFillShade="F2"/>
            <w:vAlign w:val="center"/>
          </w:tcPr>
          <w:p w14:paraId="4BB8C106"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09D1D142"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51558ECB"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5A53D5F7"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5D4444DD"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F12ADDA"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AA4365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8C4D57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23ECCE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E470E63"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6FFB15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4A4384D0"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1B4B058B"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820612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D3B6C0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BAC5375"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4D0AA6B7" w14:textId="46F3EECF"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740 000</w:t>
            </w:r>
          </w:p>
        </w:tc>
      </w:tr>
      <w:tr w:rsidR="00E145CC" w:rsidRPr="00D21977" w14:paraId="450CF26F" w14:textId="77777777" w:rsidTr="009F122A">
        <w:trPr>
          <w:trHeight w:val="615"/>
        </w:trPr>
        <w:tc>
          <w:tcPr>
            <w:tcW w:w="1905" w:type="dxa"/>
            <w:vMerge/>
            <w:shd w:val="clear" w:color="auto" w:fill="FFFFFF" w:themeFill="background1"/>
          </w:tcPr>
          <w:p w14:paraId="26FD5FFB"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6157E3B1" w14:textId="77777777" w:rsidR="00E145CC" w:rsidRPr="00084515" w:rsidRDefault="00E145CC" w:rsidP="00E145CC">
            <w:pPr>
              <w:spacing w:after="60"/>
              <w:rPr>
                <w:rFonts w:ascii="Garamond" w:eastAsia="Times New Roman" w:hAnsi="Garamond" w:cs="Times New Roman"/>
                <w:color w:val="000000"/>
                <w:sz w:val="20"/>
                <w:szCs w:val="20"/>
                <w:lang w:val="pt-PT" w:eastAsia="es-ES"/>
              </w:rPr>
            </w:pPr>
            <w:r w:rsidRPr="00084515">
              <w:rPr>
                <w:rFonts w:ascii="Garamond" w:hAnsi="Garamond"/>
                <w:iCs/>
                <w:lang w:val="pt-PT"/>
              </w:rPr>
              <w:t xml:space="preserve">6.4.7. Acompanhar e apoiar tecnicamente a </w:t>
            </w:r>
            <w:proofErr w:type="spellStart"/>
            <w:r w:rsidRPr="00084515">
              <w:rPr>
                <w:rFonts w:ascii="Garamond" w:hAnsi="Garamond"/>
                <w:iCs/>
                <w:lang w:val="pt-PT"/>
              </w:rPr>
              <w:t>TG</w:t>
            </w:r>
            <w:proofErr w:type="spellEnd"/>
            <w:r w:rsidRPr="00084515">
              <w:rPr>
                <w:rFonts w:ascii="Garamond" w:hAnsi="Garamond"/>
                <w:iCs/>
                <w:lang w:val="pt-PT"/>
              </w:rPr>
              <w:t xml:space="preserve"> na implementação, seguimento e avaliação da </w:t>
            </w:r>
            <w:proofErr w:type="spellStart"/>
            <w:r w:rsidRPr="00084515">
              <w:rPr>
                <w:rFonts w:ascii="Garamond" w:hAnsi="Garamond"/>
                <w:lang w:val="pt-PT"/>
              </w:rPr>
              <w:t>ENRRD</w:t>
            </w:r>
            <w:proofErr w:type="spellEnd"/>
            <w:r w:rsidRPr="00084515">
              <w:rPr>
                <w:rFonts w:ascii="Garamond" w:hAnsi="Garamond"/>
                <w:lang w:val="pt-PT"/>
              </w:rPr>
              <w:t xml:space="preserve"> (2017-2030).</w:t>
            </w:r>
          </w:p>
        </w:tc>
        <w:tc>
          <w:tcPr>
            <w:tcW w:w="1457" w:type="dxa"/>
            <w:shd w:val="clear" w:color="auto" w:fill="FFFFFF" w:themeFill="background1"/>
            <w:vAlign w:val="center"/>
          </w:tcPr>
          <w:p w14:paraId="03C6F065"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w:t>
            </w:r>
          </w:p>
          <w:p w14:paraId="0201062C"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SNPC</w:t>
            </w:r>
            <w:proofErr w:type="spellEnd"/>
          </w:p>
        </w:tc>
        <w:tc>
          <w:tcPr>
            <w:tcW w:w="2040" w:type="dxa"/>
            <w:shd w:val="clear" w:color="auto" w:fill="FFFFFF" w:themeFill="background1"/>
            <w:vAlign w:val="center"/>
          </w:tcPr>
          <w:p w14:paraId="7C56714A" w14:textId="77777777" w:rsidR="00E145CC" w:rsidRPr="00EB750A" w:rsidRDefault="00E145CC" w:rsidP="00E145CC">
            <w:pPr>
              <w:jc w:val="center"/>
              <w:rPr>
                <w:rFonts w:ascii="Garamond" w:eastAsia="Times New Roman" w:hAnsi="Garamond" w:cs="Times New Roman"/>
                <w:color w:val="000000"/>
                <w:sz w:val="20"/>
                <w:szCs w:val="20"/>
                <w:lang w:val="pt-PT" w:eastAsia="es-ES"/>
              </w:rPr>
            </w:pPr>
            <w:proofErr w:type="spellStart"/>
            <w:r w:rsidRPr="00EB750A">
              <w:rPr>
                <w:rFonts w:ascii="Garamond" w:eastAsia="Times New Roman" w:hAnsi="Garamond" w:cs="Times New Roman"/>
                <w:color w:val="000000"/>
                <w:sz w:val="20"/>
                <w:szCs w:val="20"/>
                <w:lang w:val="pt-PT" w:eastAsia="es-ES"/>
              </w:rPr>
              <w:t>DNA</w:t>
            </w:r>
            <w:proofErr w:type="spellEnd"/>
            <w:r w:rsidRPr="00EB750A">
              <w:rPr>
                <w:rFonts w:ascii="Garamond" w:eastAsia="Times New Roman" w:hAnsi="Garamond" w:cs="Times New Roman"/>
                <w:color w:val="000000"/>
                <w:sz w:val="20"/>
                <w:szCs w:val="20"/>
                <w:lang w:val="pt-PT" w:eastAsia="es-ES"/>
              </w:rPr>
              <w:t xml:space="preserve">, DNS, Câmaras, entidades envolvidas na implementação da </w:t>
            </w:r>
            <w:proofErr w:type="spellStart"/>
            <w:r w:rsidRPr="00EB750A">
              <w:rPr>
                <w:rFonts w:ascii="Garamond" w:eastAsia="Times New Roman" w:hAnsi="Garamond" w:cs="Times New Roman"/>
                <w:color w:val="000000"/>
                <w:sz w:val="20"/>
                <w:szCs w:val="20"/>
                <w:lang w:val="pt-PT" w:eastAsia="es-ES"/>
              </w:rPr>
              <w:t>ENRRD</w:t>
            </w:r>
            <w:proofErr w:type="spellEnd"/>
          </w:p>
        </w:tc>
        <w:tc>
          <w:tcPr>
            <w:tcW w:w="187" w:type="dxa"/>
            <w:shd w:val="clear" w:color="auto" w:fill="F2F2F2" w:themeFill="background1" w:themeFillShade="F2"/>
            <w:vAlign w:val="center"/>
          </w:tcPr>
          <w:p w14:paraId="1B4523A4"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46750971"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12F81D1A" w14:textId="0ADAB73F" w:rsidR="00E145CC" w:rsidRPr="005808D4"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53813B3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1FCAC0B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04F3A3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A7929B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5434F1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123E02D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000CC7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69B219C6"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093A1A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AADBD5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264590A4"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5CABBD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D95264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114" w:type="dxa"/>
            <w:shd w:val="clear" w:color="auto" w:fill="FFFFFF" w:themeFill="background1"/>
            <w:vAlign w:val="center"/>
          </w:tcPr>
          <w:p w14:paraId="3DE9952F" w14:textId="171D4DD9"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2 050 000</w:t>
            </w:r>
          </w:p>
        </w:tc>
      </w:tr>
      <w:tr w:rsidR="00E145CC" w:rsidRPr="00D21977" w14:paraId="4951883F" w14:textId="77777777" w:rsidTr="009F122A">
        <w:trPr>
          <w:trHeight w:val="615"/>
        </w:trPr>
        <w:tc>
          <w:tcPr>
            <w:tcW w:w="1905" w:type="dxa"/>
            <w:vMerge/>
            <w:shd w:val="clear" w:color="auto" w:fill="FFFFFF" w:themeFill="background1"/>
          </w:tcPr>
          <w:p w14:paraId="1CBD554F"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267E6808" w14:textId="77777777" w:rsidR="00E145CC" w:rsidRPr="00EB750A" w:rsidRDefault="00E145CC" w:rsidP="00E145CC">
            <w:pPr>
              <w:spacing w:after="60"/>
              <w:rPr>
                <w:rFonts w:ascii="Garamond" w:eastAsia="Times New Roman" w:hAnsi="Garamond" w:cs="Times New Roman"/>
                <w:color w:val="000000"/>
                <w:sz w:val="20"/>
                <w:szCs w:val="20"/>
                <w:lang w:val="pt-PT" w:eastAsia="es-ES"/>
              </w:rPr>
            </w:pPr>
            <w:r w:rsidRPr="00EB750A">
              <w:rPr>
                <w:rFonts w:ascii="Garamond" w:hAnsi="Garamond"/>
                <w:iCs/>
                <w:lang w:val="pt-PT"/>
              </w:rPr>
              <w:t xml:space="preserve">6.4.8. </w:t>
            </w:r>
            <w:r w:rsidRPr="00EB750A">
              <w:rPr>
                <w:rFonts w:ascii="Garamond" w:hAnsi="Garamond"/>
                <w:bCs/>
                <w:lang w:val="pt-PT"/>
              </w:rPr>
              <w:t xml:space="preserve">Desenvolver de forma participativa, com todos os </w:t>
            </w:r>
            <w:proofErr w:type="spellStart"/>
            <w:r w:rsidRPr="00EB750A">
              <w:rPr>
                <w:rFonts w:ascii="Garamond" w:hAnsi="Garamond"/>
                <w:bCs/>
                <w:lang w:val="pt-PT"/>
              </w:rPr>
              <w:t>atores</w:t>
            </w:r>
            <w:proofErr w:type="spellEnd"/>
            <w:r w:rsidRPr="00EB750A">
              <w:rPr>
                <w:rFonts w:ascii="Garamond" w:hAnsi="Garamond"/>
                <w:bCs/>
                <w:lang w:val="pt-PT"/>
              </w:rPr>
              <w:t xml:space="preserve"> relevantes, uma Estratégia de Género para a Comunicação Social, e seguir a sua implementação.</w:t>
            </w:r>
          </w:p>
        </w:tc>
        <w:tc>
          <w:tcPr>
            <w:tcW w:w="1457" w:type="dxa"/>
            <w:shd w:val="clear" w:color="auto" w:fill="FFFFFF" w:themeFill="background1"/>
            <w:vAlign w:val="center"/>
          </w:tcPr>
          <w:p w14:paraId="5A69B473"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w:t>
            </w:r>
          </w:p>
          <w:p w14:paraId="243C8CCD"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AJOC</w:t>
            </w:r>
            <w:proofErr w:type="spellEnd"/>
          </w:p>
        </w:tc>
        <w:tc>
          <w:tcPr>
            <w:tcW w:w="2040" w:type="dxa"/>
            <w:shd w:val="clear" w:color="auto" w:fill="FFFFFF" w:themeFill="background1"/>
            <w:vAlign w:val="center"/>
          </w:tcPr>
          <w:p w14:paraId="41F252F7" w14:textId="77777777" w:rsidR="00E145CC" w:rsidRPr="00EB750A" w:rsidRDefault="00E145CC" w:rsidP="00E145CC">
            <w:pPr>
              <w:jc w:val="center"/>
              <w:rPr>
                <w:rFonts w:ascii="Garamond" w:eastAsia="Times New Roman" w:hAnsi="Garamond" w:cs="Times New Roman"/>
                <w:color w:val="000000"/>
                <w:sz w:val="20"/>
                <w:szCs w:val="20"/>
                <w:lang w:val="pt-PT" w:eastAsia="es-ES"/>
              </w:rPr>
            </w:pPr>
            <w:r w:rsidRPr="00EB750A">
              <w:rPr>
                <w:rFonts w:ascii="Garamond" w:eastAsia="Times New Roman" w:hAnsi="Garamond" w:cs="Times New Roman"/>
                <w:color w:val="000000"/>
                <w:sz w:val="20"/>
                <w:szCs w:val="20"/>
                <w:lang w:val="pt-PT" w:eastAsia="es-ES"/>
              </w:rPr>
              <w:t>Órgãos de CS, DGC, ARE</w:t>
            </w:r>
          </w:p>
        </w:tc>
        <w:tc>
          <w:tcPr>
            <w:tcW w:w="187" w:type="dxa"/>
            <w:shd w:val="clear" w:color="auto" w:fill="F2F2F2" w:themeFill="background1" w:themeFillShade="F2"/>
            <w:vAlign w:val="center"/>
          </w:tcPr>
          <w:p w14:paraId="086593F1" w14:textId="77777777" w:rsidR="00E145CC" w:rsidRPr="00EB5E56" w:rsidRDefault="00E145CC" w:rsidP="00E145CC">
            <w:pPr>
              <w:jc w:val="center"/>
              <w:rPr>
                <w:rFonts w:ascii="Garamond" w:eastAsia="Times New Roman" w:hAnsi="Garamond" w:cs="Times New Roman"/>
                <w:b/>
                <w:bCs/>
                <w:color w:val="000000"/>
                <w:sz w:val="12"/>
                <w:szCs w:val="12"/>
                <w:lang w:val="pt-PT" w:eastAsia="es-ES"/>
              </w:rPr>
            </w:pPr>
          </w:p>
        </w:tc>
        <w:tc>
          <w:tcPr>
            <w:tcW w:w="187" w:type="dxa"/>
            <w:shd w:val="clear" w:color="auto" w:fill="F2F2F2" w:themeFill="background1" w:themeFillShade="F2"/>
            <w:vAlign w:val="center"/>
          </w:tcPr>
          <w:p w14:paraId="3BE93F98"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7E398926"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004F7C55"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0461705F"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2920956D"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62113F30"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FFFFF" w:themeFill="background1"/>
            <w:vAlign w:val="center"/>
          </w:tcPr>
          <w:p w14:paraId="4AB1FE20" w14:textId="77777777" w:rsidR="00E145CC" w:rsidRPr="00EB5E56"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296EE027" w14:textId="361A0A96" w:rsidR="00E145CC" w:rsidRPr="005808D4" w:rsidRDefault="00E145CC" w:rsidP="00E145CC">
            <w:pPr>
              <w:jc w:val="center"/>
              <w:rPr>
                <w:rFonts w:ascii="Garamond" w:eastAsia="Times New Roman" w:hAnsi="Garamond" w:cs="Times New Roman"/>
                <w:color w:val="000000"/>
                <w:sz w:val="12"/>
                <w:szCs w:val="12"/>
                <w:lang w:val="pt-PT" w:eastAsia="es-ES"/>
              </w:rPr>
            </w:pPr>
          </w:p>
        </w:tc>
        <w:tc>
          <w:tcPr>
            <w:tcW w:w="187" w:type="dxa"/>
            <w:shd w:val="clear" w:color="auto" w:fill="F2F2F2" w:themeFill="background1" w:themeFillShade="F2"/>
            <w:vAlign w:val="center"/>
          </w:tcPr>
          <w:p w14:paraId="1D99F96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3702D2D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025E7E5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7E206321" w14:textId="606348E6"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B87DF4E"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68E768B" w14:textId="5BF08B3A"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266B014"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387DB33A" w14:textId="5A403EB8"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1 685 000</w:t>
            </w:r>
          </w:p>
        </w:tc>
      </w:tr>
      <w:tr w:rsidR="00E145CC" w:rsidRPr="00D21977" w14:paraId="7B1C4958" w14:textId="77777777" w:rsidTr="009F122A">
        <w:trPr>
          <w:trHeight w:val="615"/>
        </w:trPr>
        <w:tc>
          <w:tcPr>
            <w:tcW w:w="1905" w:type="dxa"/>
            <w:vMerge/>
            <w:shd w:val="clear" w:color="auto" w:fill="FFFFFF" w:themeFill="background1"/>
          </w:tcPr>
          <w:p w14:paraId="57E4B100"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7B673E37" w14:textId="77777777" w:rsidR="00E145CC" w:rsidRPr="00EB750A" w:rsidRDefault="00E145CC" w:rsidP="00E145CC">
            <w:pPr>
              <w:spacing w:after="60"/>
              <w:rPr>
                <w:rFonts w:ascii="Garamond" w:hAnsi="Garamond"/>
                <w:iCs/>
                <w:lang w:val="pt-PT"/>
              </w:rPr>
            </w:pPr>
            <w:r w:rsidRPr="00EB750A">
              <w:rPr>
                <w:rFonts w:ascii="Garamond" w:hAnsi="Garamond"/>
                <w:iCs/>
                <w:lang w:val="pt-PT"/>
              </w:rPr>
              <w:t xml:space="preserve">6.4.9 Reforçar o diálogo político e as capacidades técnicas do Instituto do Turismo para a implementação, </w:t>
            </w:r>
            <w:proofErr w:type="spellStart"/>
            <w:r w:rsidRPr="00EB750A">
              <w:rPr>
                <w:rFonts w:ascii="Garamond" w:hAnsi="Garamond"/>
                <w:iCs/>
                <w:lang w:val="pt-PT"/>
              </w:rPr>
              <w:t>S&amp;A</w:t>
            </w:r>
            <w:proofErr w:type="spellEnd"/>
            <w:r w:rsidRPr="00EB750A">
              <w:rPr>
                <w:rFonts w:ascii="Garamond" w:hAnsi="Garamond"/>
                <w:iCs/>
                <w:lang w:val="pt-PT"/>
              </w:rPr>
              <w:t xml:space="preserve"> do Plano de </w:t>
            </w:r>
            <w:proofErr w:type="spellStart"/>
            <w:r w:rsidRPr="00EB750A">
              <w:rPr>
                <w:rFonts w:ascii="Garamond" w:hAnsi="Garamond"/>
                <w:iCs/>
                <w:lang w:val="pt-PT"/>
              </w:rPr>
              <w:t>Transversalização</w:t>
            </w:r>
            <w:proofErr w:type="spellEnd"/>
            <w:r w:rsidRPr="00EB750A">
              <w:rPr>
                <w:rFonts w:ascii="Garamond" w:hAnsi="Garamond"/>
                <w:iCs/>
                <w:lang w:val="pt-PT"/>
              </w:rPr>
              <w:t xml:space="preserve"> do Género no Turismo</w:t>
            </w:r>
          </w:p>
        </w:tc>
        <w:tc>
          <w:tcPr>
            <w:tcW w:w="1457" w:type="dxa"/>
            <w:shd w:val="clear" w:color="auto" w:fill="FFFFFF" w:themeFill="background1"/>
            <w:vAlign w:val="center"/>
          </w:tcPr>
          <w:p w14:paraId="42CAAF6E" w14:textId="77777777" w:rsidR="00E145CC"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ICIEG</w:t>
            </w:r>
            <w:proofErr w:type="spellEnd"/>
            <w:r>
              <w:rPr>
                <w:rFonts w:ascii="Garamond" w:eastAsia="Times New Roman" w:hAnsi="Garamond" w:cs="Times New Roman"/>
                <w:color w:val="000000"/>
                <w:sz w:val="20"/>
                <w:szCs w:val="20"/>
                <w:lang w:eastAsia="es-ES"/>
              </w:rPr>
              <w:t>/</w:t>
            </w:r>
          </w:p>
          <w:p w14:paraId="74B8D4B7" w14:textId="77777777" w:rsidR="00E145CC" w:rsidRDefault="00E145CC" w:rsidP="00E145C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IT</w:t>
            </w:r>
          </w:p>
        </w:tc>
        <w:tc>
          <w:tcPr>
            <w:tcW w:w="2040" w:type="dxa"/>
            <w:shd w:val="clear" w:color="auto" w:fill="FFFFFF" w:themeFill="background1"/>
            <w:vAlign w:val="center"/>
          </w:tcPr>
          <w:p w14:paraId="71C574CD" w14:textId="77777777" w:rsidR="00E145CC" w:rsidRPr="00D21977" w:rsidRDefault="00E145CC" w:rsidP="00E145CC">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EHTCV</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ANMCV</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Câmaras</w:t>
            </w:r>
            <w:proofErr w:type="spellEnd"/>
          </w:p>
        </w:tc>
        <w:tc>
          <w:tcPr>
            <w:tcW w:w="187" w:type="dxa"/>
            <w:shd w:val="clear" w:color="auto" w:fill="F2F2F2" w:themeFill="background1" w:themeFillShade="F2"/>
            <w:vAlign w:val="center"/>
          </w:tcPr>
          <w:p w14:paraId="3F1ED449"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1CC2B915"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54315D2"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29A9062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545E29E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B79BEE2"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89CC0A3"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0971391"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ED6802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5FF809C"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35F5A0B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B2431C0"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26956A5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D1D726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7DBAE1B6"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0571EC78"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7E897A0D" w14:textId="6DB2FE38"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1 510 000</w:t>
            </w:r>
          </w:p>
        </w:tc>
      </w:tr>
      <w:tr w:rsidR="00E145CC" w:rsidRPr="00D21977" w14:paraId="2EC8698F" w14:textId="77777777" w:rsidTr="009F122A">
        <w:trPr>
          <w:trHeight w:val="615"/>
        </w:trPr>
        <w:tc>
          <w:tcPr>
            <w:tcW w:w="1905" w:type="dxa"/>
            <w:vMerge/>
            <w:shd w:val="clear" w:color="auto" w:fill="FFFFFF" w:themeFill="background1"/>
          </w:tcPr>
          <w:p w14:paraId="0736A24B" w14:textId="77777777" w:rsidR="00E145CC" w:rsidRPr="00D21977" w:rsidRDefault="00E145CC" w:rsidP="00E145CC">
            <w:pPr>
              <w:spacing w:after="240"/>
              <w:rPr>
                <w:rFonts w:ascii="Garamond" w:hAnsi="Garamond"/>
                <w:sz w:val="20"/>
                <w:szCs w:val="20"/>
              </w:rPr>
            </w:pPr>
          </w:p>
        </w:tc>
        <w:tc>
          <w:tcPr>
            <w:tcW w:w="5159" w:type="dxa"/>
            <w:shd w:val="clear" w:color="auto" w:fill="FFFFFF" w:themeFill="background1"/>
          </w:tcPr>
          <w:p w14:paraId="55FCCB52" w14:textId="77777777" w:rsidR="00E145CC" w:rsidRPr="00EB750A" w:rsidRDefault="00E145CC" w:rsidP="00E145CC">
            <w:pPr>
              <w:spacing w:after="60"/>
              <w:rPr>
                <w:rFonts w:ascii="Garamond" w:eastAsia="Times New Roman" w:hAnsi="Garamond" w:cs="Times New Roman"/>
                <w:color w:val="000000"/>
                <w:sz w:val="20"/>
                <w:szCs w:val="20"/>
                <w:lang w:val="pt-PT" w:eastAsia="es-ES"/>
              </w:rPr>
            </w:pPr>
            <w:r w:rsidRPr="00EB750A">
              <w:rPr>
                <w:rFonts w:ascii="Garamond" w:hAnsi="Garamond"/>
                <w:iCs/>
                <w:lang w:val="pt-PT"/>
              </w:rPr>
              <w:t xml:space="preserve">6.4.10. </w:t>
            </w:r>
            <w:r w:rsidRPr="00EB750A">
              <w:rPr>
                <w:rFonts w:ascii="Garamond" w:hAnsi="Garamond"/>
                <w:lang w:val="pt-PT"/>
              </w:rPr>
              <w:t xml:space="preserve">Apoiar a realização de uma auditoria participativa de género do </w:t>
            </w:r>
            <w:proofErr w:type="spellStart"/>
            <w:r w:rsidRPr="00EB750A">
              <w:rPr>
                <w:rFonts w:ascii="Garamond" w:hAnsi="Garamond"/>
                <w:lang w:val="pt-PT"/>
              </w:rPr>
              <w:t>ICCA</w:t>
            </w:r>
            <w:proofErr w:type="spellEnd"/>
            <w:r w:rsidRPr="00EB750A">
              <w:rPr>
                <w:rFonts w:ascii="Garamond" w:hAnsi="Garamond"/>
                <w:lang w:val="pt-PT"/>
              </w:rPr>
              <w:t xml:space="preserve"> e a implementação das respectivas recomendações.</w:t>
            </w:r>
          </w:p>
        </w:tc>
        <w:tc>
          <w:tcPr>
            <w:tcW w:w="1457" w:type="dxa"/>
            <w:shd w:val="clear" w:color="auto" w:fill="FFFFFF" w:themeFill="background1"/>
            <w:vAlign w:val="center"/>
          </w:tcPr>
          <w:p w14:paraId="5E10EBD8" w14:textId="77777777" w:rsidR="00E145CC" w:rsidRPr="00D21977" w:rsidRDefault="00E145CC" w:rsidP="00E145C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ICCA</w:t>
            </w:r>
          </w:p>
        </w:tc>
        <w:tc>
          <w:tcPr>
            <w:tcW w:w="2040" w:type="dxa"/>
            <w:shd w:val="clear" w:color="auto" w:fill="FFFFFF" w:themeFill="background1"/>
            <w:vAlign w:val="center"/>
          </w:tcPr>
          <w:p w14:paraId="4A349C41" w14:textId="77777777" w:rsidR="00E145CC" w:rsidRPr="00D21977" w:rsidRDefault="00E145CC" w:rsidP="00E145CC">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MFIS, </w:t>
            </w:r>
            <w:proofErr w:type="spellStart"/>
            <w:r>
              <w:rPr>
                <w:rFonts w:ascii="Garamond" w:eastAsia="Times New Roman" w:hAnsi="Garamond" w:cs="Times New Roman"/>
                <w:color w:val="000000"/>
                <w:sz w:val="20"/>
                <w:szCs w:val="20"/>
                <w:lang w:eastAsia="es-ES"/>
              </w:rPr>
              <w:t>ICIEG</w:t>
            </w:r>
            <w:proofErr w:type="spellEnd"/>
          </w:p>
        </w:tc>
        <w:tc>
          <w:tcPr>
            <w:tcW w:w="187" w:type="dxa"/>
            <w:shd w:val="clear" w:color="auto" w:fill="F2F2F2" w:themeFill="background1" w:themeFillShade="F2"/>
            <w:vAlign w:val="center"/>
          </w:tcPr>
          <w:p w14:paraId="5F5B3AD5"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2F2F2" w:themeFill="background1" w:themeFillShade="F2"/>
            <w:vAlign w:val="center"/>
          </w:tcPr>
          <w:p w14:paraId="49ECF9AF"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3339587"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0CFC258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40394CF7" w14:textId="77777777" w:rsidR="00E145CC" w:rsidRPr="00EB5E56" w:rsidRDefault="00E145CC" w:rsidP="00E145CC">
            <w:pPr>
              <w:jc w:val="center"/>
              <w:rPr>
                <w:rFonts w:ascii="Garamond" w:eastAsia="Times New Roman" w:hAnsi="Garamond" w:cs="Times New Roman"/>
                <w:b/>
                <w:bCs/>
                <w:color w:val="000000"/>
                <w:sz w:val="12"/>
                <w:szCs w:val="12"/>
                <w:lang w:eastAsia="es-ES"/>
              </w:rPr>
            </w:pPr>
          </w:p>
        </w:tc>
        <w:tc>
          <w:tcPr>
            <w:tcW w:w="187" w:type="dxa"/>
            <w:shd w:val="clear" w:color="auto" w:fill="FFFFFF" w:themeFill="background1"/>
            <w:vAlign w:val="center"/>
          </w:tcPr>
          <w:p w14:paraId="714A8927" w14:textId="77777777" w:rsidR="00E145CC" w:rsidRPr="00EB5E56" w:rsidRDefault="00E145CC" w:rsidP="00E145CC">
            <w:pPr>
              <w:jc w:val="center"/>
              <w:rPr>
                <w:rFonts w:ascii="Garamond" w:eastAsia="Times New Roman" w:hAnsi="Garamond" w:cs="Times New Roman"/>
                <w:b/>
                <w:bCs/>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537C8CCF" w14:textId="77777777"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C32D3E9"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4F8955E"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7F871D92" w14:textId="5108531F"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2F2F2" w:themeFill="background1" w:themeFillShade="F2"/>
            <w:vAlign w:val="center"/>
          </w:tcPr>
          <w:p w14:paraId="7D8675ED"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2F2F2" w:themeFill="background1" w:themeFillShade="F2"/>
            <w:vAlign w:val="center"/>
          </w:tcPr>
          <w:p w14:paraId="2A670A19" w14:textId="2CB7C522"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4DFB2471"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36B1E834" w14:textId="31A96542"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87" w:type="dxa"/>
            <w:shd w:val="clear" w:color="auto" w:fill="FFFFFF" w:themeFill="background1"/>
            <w:vAlign w:val="center"/>
          </w:tcPr>
          <w:p w14:paraId="6225F4F8" w14:textId="77777777" w:rsidR="00E145CC" w:rsidRPr="00EB5E56" w:rsidRDefault="00E145CC" w:rsidP="00E145CC">
            <w:pPr>
              <w:jc w:val="center"/>
              <w:rPr>
                <w:rFonts w:ascii="Garamond" w:eastAsia="Times New Roman" w:hAnsi="Garamond" w:cs="Times New Roman"/>
                <w:color w:val="000000"/>
                <w:sz w:val="12"/>
                <w:szCs w:val="12"/>
                <w:lang w:eastAsia="es-ES"/>
              </w:rPr>
            </w:pPr>
          </w:p>
        </w:tc>
        <w:tc>
          <w:tcPr>
            <w:tcW w:w="187" w:type="dxa"/>
            <w:shd w:val="clear" w:color="auto" w:fill="FFFFFF" w:themeFill="background1"/>
            <w:vAlign w:val="center"/>
          </w:tcPr>
          <w:p w14:paraId="6533C561" w14:textId="7DDB73F8" w:rsidR="00E145CC" w:rsidRPr="00EB5E56" w:rsidRDefault="00E145CC" w:rsidP="00E145CC">
            <w:pPr>
              <w:jc w:val="center"/>
              <w:rPr>
                <w:rFonts w:ascii="Garamond" w:eastAsia="Times New Roman" w:hAnsi="Garamond" w:cs="Times New Roman"/>
                <w:color w:val="000000"/>
                <w:sz w:val="12"/>
                <w:szCs w:val="12"/>
                <w:lang w:eastAsia="es-ES"/>
              </w:rPr>
            </w:pPr>
            <w:r w:rsidRPr="00EB5E56">
              <w:rPr>
                <w:rFonts w:ascii="Garamond" w:eastAsia="Times New Roman" w:hAnsi="Garamond" w:cs="Times New Roman"/>
                <w:b/>
                <w:bCs/>
                <w:color w:val="000000"/>
                <w:sz w:val="12"/>
                <w:szCs w:val="12"/>
                <w:lang w:eastAsia="es-ES"/>
              </w:rPr>
              <w:t>X</w:t>
            </w:r>
          </w:p>
        </w:tc>
        <w:tc>
          <w:tcPr>
            <w:tcW w:w="1114" w:type="dxa"/>
            <w:shd w:val="clear" w:color="auto" w:fill="FFFFFF" w:themeFill="background1"/>
            <w:vAlign w:val="center"/>
          </w:tcPr>
          <w:p w14:paraId="0E27FAAD" w14:textId="06CFA155" w:rsidR="00E145CC" w:rsidRPr="00D21977" w:rsidRDefault="00E145CC" w:rsidP="00E145CC">
            <w:pPr>
              <w:jc w:val="center"/>
              <w:rPr>
                <w:rFonts w:ascii="Garamond" w:eastAsia="Times New Roman" w:hAnsi="Garamond" w:cs="Times New Roman"/>
                <w:color w:val="000000"/>
                <w:sz w:val="20"/>
                <w:szCs w:val="20"/>
                <w:lang w:eastAsia="es-ES"/>
              </w:rPr>
            </w:pPr>
            <w:r w:rsidRPr="00E145CC">
              <w:rPr>
                <w:rFonts w:ascii="Garamond" w:eastAsia="Times New Roman" w:hAnsi="Garamond" w:cs="Times New Roman"/>
                <w:color w:val="000000"/>
                <w:sz w:val="20"/>
                <w:szCs w:val="20"/>
                <w:lang w:eastAsia="es-ES"/>
              </w:rPr>
              <w:t>1 510 000</w:t>
            </w:r>
          </w:p>
        </w:tc>
      </w:tr>
    </w:tbl>
    <w:p w14:paraId="59865AF4" w14:textId="77777777" w:rsidR="00432609" w:rsidRPr="00B923BB" w:rsidRDefault="00432609" w:rsidP="00432609">
      <w:pPr>
        <w:rPr>
          <w:rFonts w:ascii="Garamond" w:hAnsi="Garamond"/>
          <w:b/>
          <w:sz w:val="20"/>
          <w:szCs w:val="20"/>
        </w:rPr>
      </w:pPr>
    </w:p>
    <w:p w14:paraId="0AE53A3C" w14:textId="16F7B989" w:rsidR="0099714C" w:rsidRDefault="0099714C">
      <w:pPr>
        <w:rPr>
          <w:rFonts w:ascii="Garamond" w:hAnsi="Garamond" w:cs="Times New Roman"/>
          <w:b/>
          <w:sz w:val="28"/>
          <w:szCs w:val="28"/>
          <w:lang w:val="pt-PT"/>
        </w:rPr>
      </w:pPr>
    </w:p>
    <w:p w14:paraId="6C8FFC24" w14:textId="77777777" w:rsidR="0099714C" w:rsidRDefault="0099714C">
      <w:pPr>
        <w:rPr>
          <w:rFonts w:ascii="Garamond" w:hAnsi="Garamond" w:cs="Times New Roman"/>
          <w:b/>
          <w:sz w:val="28"/>
          <w:szCs w:val="28"/>
          <w:lang w:val="pt-PT"/>
        </w:rPr>
        <w:sectPr w:rsidR="0099714C" w:rsidSect="0099714C">
          <w:pgSz w:w="16840" w:h="11900" w:orient="landscape"/>
          <w:pgMar w:top="1440" w:right="1440" w:bottom="1440" w:left="1440" w:header="709" w:footer="709" w:gutter="0"/>
          <w:cols w:space="708"/>
          <w:docGrid w:linePitch="360"/>
        </w:sectPr>
      </w:pPr>
    </w:p>
    <w:p w14:paraId="73859380" w14:textId="15C7D3C9" w:rsidR="00A73B5E" w:rsidRDefault="00A73B5E" w:rsidP="000F0278">
      <w:pPr>
        <w:pStyle w:val="PargrafodaLista"/>
        <w:spacing w:after="240"/>
        <w:ind w:left="0"/>
        <w:jc w:val="both"/>
        <w:outlineLvl w:val="1"/>
        <w:rPr>
          <w:rFonts w:ascii="Garamond" w:hAnsi="Garamond" w:cs="Times New Roman"/>
          <w:b/>
          <w:sz w:val="32"/>
          <w:szCs w:val="32"/>
          <w:lang w:val="pt-PT"/>
        </w:rPr>
      </w:pPr>
      <w:bookmarkStart w:id="113" w:name="_Toc32858137"/>
      <w:r>
        <w:rPr>
          <w:rFonts w:ascii="Garamond" w:hAnsi="Garamond" w:cs="Times New Roman"/>
          <w:b/>
          <w:sz w:val="32"/>
          <w:szCs w:val="32"/>
          <w:lang w:val="pt-PT"/>
        </w:rPr>
        <w:t>Seguimento</w:t>
      </w:r>
      <w:r w:rsidR="004C2520">
        <w:rPr>
          <w:rFonts w:ascii="Garamond" w:hAnsi="Garamond" w:cs="Times New Roman"/>
          <w:b/>
          <w:sz w:val="32"/>
          <w:szCs w:val="32"/>
          <w:lang w:val="pt-PT"/>
        </w:rPr>
        <w:t xml:space="preserve">, </w:t>
      </w:r>
      <w:r>
        <w:rPr>
          <w:rFonts w:ascii="Garamond" w:hAnsi="Garamond" w:cs="Times New Roman"/>
          <w:b/>
          <w:sz w:val="32"/>
          <w:szCs w:val="32"/>
          <w:lang w:val="pt-PT"/>
        </w:rPr>
        <w:t xml:space="preserve">avaliação </w:t>
      </w:r>
      <w:r w:rsidR="004C2520">
        <w:rPr>
          <w:rFonts w:ascii="Garamond" w:hAnsi="Garamond" w:cs="Times New Roman"/>
          <w:b/>
          <w:sz w:val="32"/>
          <w:szCs w:val="32"/>
          <w:lang w:val="pt-PT"/>
        </w:rPr>
        <w:t>e reportagem</w:t>
      </w:r>
      <w:bookmarkEnd w:id="113"/>
    </w:p>
    <w:p w14:paraId="7FAE77C0" w14:textId="1F675DD5" w:rsidR="009A0C22" w:rsidRPr="00D87B83" w:rsidRDefault="009A0C22" w:rsidP="00D87B83">
      <w:pPr>
        <w:spacing w:after="160"/>
        <w:jc w:val="both"/>
        <w:rPr>
          <w:rFonts w:ascii="Garamond" w:hAnsi="Garamond"/>
          <w:lang w:val="pt-PT"/>
        </w:rPr>
      </w:pPr>
      <w:r w:rsidRPr="00D87B83">
        <w:rPr>
          <w:rFonts w:ascii="Garamond" w:hAnsi="Garamond"/>
          <w:lang w:val="pt-PT"/>
        </w:rPr>
        <w:t xml:space="preserve">O sistema de </w:t>
      </w:r>
      <w:proofErr w:type="spellStart"/>
      <w:r w:rsidR="001535DE">
        <w:rPr>
          <w:rFonts w:ascii="Garamond" w:hAnsi="Garamond"/>
          <w:lang w:val="pt-PT"/>
        </w:rPr>
        <w:t>S&amp;A</w:t>
      </w:r>
      <w:proofErr w:type="spellEnd"/>
      <w:r w:rsidR="001535DE">
        <w:rPr>
          <w:rFonts w:ascii="Garamond" w:hAnsi="Garamond"/>
          <w:lang w:val="pt-PT"/>
        </w:rPr>
        <w:t xml:space="preserve"> do </w:t>
      </w:r>
      <w:proofErr w:type="spellStart"/>
      <w:r w:rsidR="001535DE">
        <w:rPr>
          <w:rFonts w:ascii="Garamond" w:hAnsi="Garamond"/>
          <w:lang w:val="pt-PT"/>
        </w:rPr>
        <w:t>PNIG</w:t>
      </w:r>
      <w:proofErr w:type="spellEnd"/>
      <w:r w:rsidR="001535DE">
        <w:rPr>
          <w:rFonts w:ascii="Garamond" w:hAnsi="Garamond"/>
          <w:lang w:val="pt-PT"/>
        </w:rPr>
        <w:t xml:space="preserve"> </w:t>
      </w:r>
      <w:r w:rsidRPr="00D87B83">
        <w:rPr>
          <w:rFonts w:ascii="Garamond" w:hAnsi="Garamond"/>
          <w:lang w:val="pt-PT"/>
        </w:rPr>
        <w:t xml:space="preserve">visa acompanhar o processo de implementação do </w:t>
      </w:r>
      <w:r w:rsidR="001535DE">
        <w:rPr>
          <w:rFonts w:ascii="Garamond" w:hAnsi="Garamond"/>
          <w:lang w:val="pt-PT"/>
        </w:rPr>
        <w:t xml:space="preserve">Plano </w:t>
      </w:r>
      <w:r w:rsidRPr="00D87B83">
        <w:rPr>
          <w:rFonts w:ascii="Garamond" w:hAnsi="Garamond"/>
          <w:lang w:val="pt-PT"/>
        </w:rPr>
        <w:t>ao longo d</w:t>
      </w:r>
      <w:r w:rsidR="00D87B83">
        <w:rPr>
          <w:rFonts w:ascii="Garamond" w:hAnsi="Garamond"/>
          <w:lang w:val="pt-PT"/>
        </w:rPr>
        <w:t>e</w:t>
      </w:r>
      <w:r w:rsidRPr="00D87B83">
        <w:rPr>
          <w:rFonts w:ascii="Garamond" w:hAnsi="Garamond"/>
          <w:lang w:val="pt-PT"/>
        </w:rPr>
        <w:t xml:space="preserve"> 4 anos, permitindo controlar o processo e verificar se os resultados pretendidos estão sendo alcançados</w:t>
      </w:r>
      <w:r w:rsidR="001535DE">
        <w:rPr>
          <w:rFonts w:ascii="Garamond" w:hAnsi="Garamond"/>
          <w:lang w:val="pt-PT"/>
        </w:rPr>
        <w:t>, paulatinamente e, no final da vigência do Plano.</w:t>
      </w:r>
      <w:r w:rsidRPr="00D87B83">
        <w:rPr>
          <w:rFonts w:ascii="Garamond" w:hAnsi="Garamond"/>
          <w:lang w:val="pt-PT"/>
        </w:rPr>
        <w:t xml:space="preserve"> </w:t>
      </w:r>
      <w:r w:rsidR="001535DE">
        <w:rPr>
          <w:rFonts w:ascii="Garamond" w:hAnsi="Garamond"/>
          <w:lang w:val="pt-PT"/>
        </w:rPr>
        <w:t xml:space="preserve">O sistema de </w:t>
      </w:r>
      <w:proofErr w:type="spellStart"/>
      <w:r w:rsidR="001535DE">
        <w:rPr>
          <w:rFonts w:ascii="Garamond" w:hAnsi="Garamond"/>
          <w:lang w:val="pt-PT"/>
        </w:rPr>
        <w:t>S&amp;A</w:t>
      </w:r>
      <w:proofErr w:type="spellEnd"/>
      <w:r w:rsidR="001535DE">
        <w:rPr>
          <w:rFonts w:ascii="Garamond" w:hAnsi="Garamond"/>
          <w:lang w:val="pt-PT"/>
        </w:rPr>
        <w:t xml:space="preserve"> p</w:t>
      </w:r>
      <w:r w:rsidRPr="00D87B83">
        <w:rPr>
          <w:rFonts w:ascii="Garamond" w:hAnsi="Garamond"/>
          <w:lang w:val="pt-PT"/>
        </w:rPr>
        <w:t>revê:</w:t>
      </w:r>
    </w:p>
    <w:p w14:paraId="6334EF58" w14:textId="4721D5BB" w:rsidR="009A0C22" w:rsidRPr="00D87B83" w:rsidRDefault="009A0C22" w:rsidP="001535DE">
      <w:pPr>
        <w:pStyle w:val="PargrafodaLista"/>
        <w:numPr>
          <w:ilvl w:val="0"/>
          <w:numId w:val="58"/>
        </w:numPr>
        <w:spacing w:line="259" w:lineRule="auto"/>
        <w:ind w:left="357" w:hanging="357"/>
        <w:rPr>
          <w:rFonts w:ascii="Garamond" w:hAnsi="Garamond"/>
          <w:u w:val="single"/>
        </w:rPr>
      </w:pPr>
      <w:proofErr w:type="spellStart"/>
      <w:r w:rsidRPr="00D87B83">
        <w:rPr>
          <w:rFonts w:ascii="Garamond" w:hAnsi="Garamond"/>
          <w:u w:val="single"/>
        </w:rPr>
        <w:t>Dois</w:t>
      </w:r>
      <w:proofErr w:type="spellEnd"/>
      <w:r w:rsidRPr="00D87B83">
        <w:rPr>
          <w:rFonts w:ascii="Garamond" w:hAnsi="Garamond"/>
          <w:u w:val="single"/>
        </w:rPr>
        <w:t xml:space="preserve"> </w:t>
      </w:r>
      <w:proofErr w:type="spellStart"/>
      <w:r w:rsidRPr="00D87B83">
        <w:rPr>
          <w:rFonts w:ascii="Garamond" w:hAnsi="Garamond"/>
          <w:u w:val="single"/>
        </w:rPr>
        <w:t>níveis</w:t>
      </w:r>
      <w:proofErr w:type="spellEnd"/>
      <w:r w:rsidRPr="00D87B83">
        <w:rPr>
          <w:rFonts w:ascii="Garamond" w:hAnsi="Garamond"/>
          <w:u w:val="single"/>
        </w:rPr>
        <w:t xml:space="preserve"> de </w:t>
      </w:r>
      <w:proofErr w:type="spellStart"/>
      <w:r w:rsidRPr="00D87B83">
        <w:rPr>
          <w:rFonts w:ascii="Garamond" w:hAnsi="Garamond"/>
          <w:u w:val="single"/>
        </w:rPr>
        <w:t>indicadores</w:t>
      </w:r>
      <w:proofErr w:type="spellEnd"/>
      <w:r w:rsidRPr="00D87B83">
        <w:rPr>
          <w:rFonts w:ascii="Garamond" w:hAnsi="Garamond"/>
          <w:u w:val="single"/>
        </w:rPr>
        <w:t xml:space="preserve">: </w:t>
      </w:r>
    </w:p>
    <w:p w14:paraId="00CEE0B5" w14:textId="384ED5AE" w:rsidR="009A0C22" w:rsidRPr="00D87B83" w:rsidRDefault="009A0C22" w:rsidP="00D87B83">
      <w:pPr>
        <w:spacing w:after="120"/>
        <w:jc w:val="both"/>
        <w:rPr>
          <w:rFonts w:ascii="Garamond" w:hAnsi="Garamond"/>
          <w:lang w:val="pt-PT"/>
        </w:rPr>
      </w:pPr>
      <w:r w:rsidRPr="00D87B83">
        <w:rPr>
          <w:rFonts w:ascii="Garamond" w:hAnsi="Garamond"/>
          <w:b/>
          <w:bCs/>
          <w:i/>
          <w:iCs/>
          <w:lang w:val="pt-PT"/>
        </w:rPr>
        <w:t>Indicadores de Impacto</w:t>
      </w:r>
      <w:r w:rsidRPr="00D87B83">
        <w:rPr>
          <w:rFonts w:ascii="Garamond" w:hAnsi="Garamond"/>
          <w:lang w:val="pt-PT"/>
        </w:rPr>
        <w:t xml:space="preserve">. Vinculados a cada Eixo do </w:t>
      </w:r>
      <w:proofErr w:type="spellStart"/>
      <w:r w:rsidRPr="00D87B83">
        <w:rPr>
          <w:rFonts w:ascii="Garamond" w:hAnsi="Garamond"/>
          <w:lang w:val="pt-PT"/>
        </w:rPr>
        <w:t>PNIG</w:t>
      </w:r>
      <w:proofErr w:type="spellEnd"/>
      <w:r w:rsidRPr="00D87B83">
        <w:rPr>
          <w:rFonts w:ascii="Garamond" w:hAnsi="Garamond"/>
          <w:lang w:val="pt-PT"/>
        </w:rPr>
        <w:t xml:space="preserve"> e respectivos </w:t>
      </w:r>
      <w:proofErr w:type="spellStart"/>
      <w:r w:rsidRPr="00D87B83">
        <w:rPr>
          <w:rFonts w:ascii="Garamond" w:hAnsi="Garamond"/>
          <w:lang w:val="pt-PT"/>
        </w:rPr>
        <w:t>objetivos</w:t>
      </w:r>
      <w:proofErr w:type="spellEnd"/>
      <w:r w:rsidRPr="00D87B83">
        <w:rPr>
          <w:rFonts w:ascii="Garamond" w:hAnsi="Garamond"/>
          <w:lang w:val="pt-PT"/>
        </w:rPr>
        <w:t xml:space="preserve"> estratégicos</w:t>
      </w:r>
      <w:r w:rsidR="00D87B83">
        <w:rPr>
          <w:rFonts w:ascii="Garamond" w:hAnsi="Garamond"/>
          <w:lang w:val="pt-PT"/>
        </w:rPr>
        <w:t>. D</w:t>
      </w:r>
      <w:r w:rsidRPr="00D87B83">
        <w:rPr>
          <w:rFonts w:ascii="Garamond" w:hAnsi="Garamond"/>
          <w:lang w:val="pt-PT"/>
        </w:rPr>
        <w:t>ão conta dos avanços na situação da igualdade de género no país (ver Matriz que se segue).</w:t>
      </w:r>
    </w:p>
    <w:p w14:paraId="33679064" w14:textId="3C85901E" w:rsidR="00D87B83" w:rsidRDefault="009A0C22" w:rsidP="00D87B83">
      <w:pPr>
        <w:spacing w:after="160"/>
        <w:jc w:val="both"/>
        <w:rPr>
          <w:rFonts w:ascii="Garamond" w:hAnsi="Garamond"/>
          <w:lang w:val="pt-PT"/>
        </w:rPr>
      </w:pPr>
      <w:r w:rsidRPr="00D87B83">
        <w:rPr>
          <w:rFonts w:ascii="Garamond" w:hAnsi="Garamond"/>
          <w:b/>
          <w:bCs/>
          <w:i/>
          <w:iCs/>
          <w:lang w:val="pt-PT"/>
        </w:rPr>
        <w:t>Indicadores de Efeito</w:t>
      </w:r>
      <w:r w:rsidRPr="00D87B83">
        <w:rPr>
          <w:rFonts w:ascii="Garamond" w:hAnsi="Garamond"/>
          <w:lang w:val="pt-PT"/>
        </w:rPr>
        <w:t xml:space="preserve">. Vinculados </w:t>
      </w:r>
      <w:proofErr w:type="spellStart"/>
      <w:r w:rsidRPr="00D87B83">
        <w:rPr>
          <w:rFonts w:ascii="Garamond" w:hAnsi="Garamond"/>
          <w:lang w:val="pt-PT"/>
        </w:rPr>
        <w:t>diretamente</w:t>
      </w:r>
      <w:proofErr w:type="spellEnd"/>
      <w:r w:rsidRPr="00D87B83">
        <w:rPr>
          <w:rFonts w:ascii="Garamond" w:hAnsi="Garamond"/>
          <w:lang w:val="pt-PT"/>
        </w:rPr>
        <w:t xml:space="preserve"> aos resultados previstos para cada eixo do </w:t>
      </w:r>
      <w:proofErr w:type="spellStart"/>
      <w:r w:rsidRPr="00D87B83">
        <w:rPr>
          <w:rFonts w:ascii="Garamond" w:hAnsi="Garamond"/>
          <w:lang w:val="pt-PT"/>
        </w:rPr>
        <w:t>PNIG</w:t>
      </w:r>
      <w:proofErr w:type="spellEnd"/>
      <w:r w:rsidRPr="00D87B83">
        <w:rPr>
          <w:rFonts w:ascii="Garamond" w:hAnsi="Garamond"/>
          <w:lang w:val="pt-PT"/>
        </w:rPr>
        <w:t>, tendo em conta as medidas de acção a implementar (ver Matriz que se segue).</w:t>
      </w:r>
    </w:p>
    <w:p w14:paraId="65E1FC45" w14:textId="77777777" w:rsidR="001535DE" w:rsidRDefault="001535DE" w:rsidP="002A62A2">
      <w:pPr>
        <w:pStyle w:val="PargrafodaLista"/>
        <w:numPr>
          <w:ilvl w:val="0"/>
          <w:numId w:val="59"/>
        </w:numPr>
        <w:spacing w:after="160" w:line="259" w:lineRule="auto"/>
        <w:jc w:val="both"/>
        <w:rPr>
          <w:rFonts w:ascii="Garamond" w:hAnsi="Garamond"/>
          <w:lang w:val="pt-PT"/>
        </w:rPr>
      </w:pPr>
      <w:r w:rsidRPr="00D87B83">
        <w:rPr>
          <w:rFonts w:ascii="Garamond" w:hAnsi="Garamond"/>
          <w:lang w:val="pt-PT"/>
        </w:rPr>
        <w:t>Os indicadores foram escolhidos tendo em conta a real possibilidade de serem informados</w:t>
      </w:r>
      <w:r>
        <w:rPr>
          <w:rFonts w:ascii="Garamond" w:hAnsi="Garamond"/>
          <w:lang w:val="pt-PT"/>
        </w:rPr>
        <w:t>.</w:t>
      </w:r>
      <w:r>
        <w:rPr>
          <w:rStyle w:val="Refdenotaderodap"/>
          <w:rFonts w:ascii="Garamond" w:hAnsi="Garamond"/>
          <w:lang w:val="pt-PT"/>
        </w:rPr>
        <w:footnoteReference w:id="131"/>
      </w:r>
    </w:p>
    <w:p w14:paraId="6AF6A4C4" w14:textId="245A14FC" w:rsidR="001535DE" w:rsidRDefault="001535DE" w:rsidP="002A62A2">
      <w:pPr>
        <w:pStyle w:val="PargrafodaLista"/>
        <w:numPr>
          <w:ilvl w:val="0"/>
          <w:numId w:val="59"/>
        </w:numPr>
        <w:spacing w:line="259" w:lineRule="auto"/>
        <w:ind w:left="357" w:hanging="357"/>
        <w:contextualSpacing w:val="0"/>
        <w:jc w:val="both"/>
        <w:rPr>
          <w:rFonts w:ascii="Garamond" w:hAnsi="Garamond"/>
          <w:lang w:val="pt-PT"/>
        </w:rPr>
      </w:pPr>
      <w:r w:rsidRPr="001535DE">
        <w:rPr>
          <w:rFonts w:ascii="Garamond" w:hAnsi="Garamond"/>
          <w:lang w:val="pt-PT"/>
        </w:rPr>
        <w:t xml:space="preserve">Algumas linhas de base são de zero (ex. 0% de implementação), não querendo dizer que nada foi feito anteriormente. Contudo, especialmente tratando-se de propostas de novas abordagens, o seguimento diz respeito ao implementado no âmbito do presente </w:t>
      </w:r>
      <w:proofErr w:type="spellStart"/>
      <w:r w:rsidRPr="001535DE">
        <w:rPr>
          <w:rFonts w:ascii="Garamond" w:hAnsi="Garamond"/>
          <w:lang w:val="pt-PT"/>
        </w:rPr>
        <w:t>PNIG</w:t>
      </w:r>
      <w:proofErr w:type="spellEnd"/>
      <w:r w:rsidRPr="001535DE">
        <w:rPr>
          <w:rFonts w:ascii="Garamond" w:hAnsi="Garamond"/>
          <w:lang w:val="pt-PT"/>
        </w:rPr>
        <w:t>.</w:t>
      </w:r>
    </w:p>
    <w:p w14:paraId="2EE3DACB" w14:textId="2CD10D4E" w:rsidR="001535DE" w:rsidRPr="001535DE" w:rsidRDefault="001535DE" w:rsidP="002A62A2">
      <w:pPr>
        <w:pStyle w:val="PargrafodaLista"/>
        <w:numPr>
          <w:ilvl w:val="0"/>
          <w:numId w:val="59"/>
        </w:numPr>
        <w:spacing w:after="160" w:line="259" w:lineRule="auto"/>
        <w:ind w:left="357" w:hanging="357"/>
        <w:contextualSpacing w:val="0"/>
        <w:jc w:val="both"/>
        <w:rPr>
          <w:rFonts w:ascii="Garamond" w:hAnsi="Garamond"/>
          <w:lang w:val="pt-PT"/>
        </w:rPr>
      </w:pPr>
      <w:r w:rsidRPr="001535DE">
        <w:rPr>
          <w:rFonts w:ascii="Garamond" w:hAnsi="Garamond"/>
          <w:lang w:val="pt-PT"/>
        </w:rPr>
        <w:t xml:space="preserve">O </w:t>
      </w:r>
      <w:proofErr w:type="spellStart"/>
      <w:r w:rsidRPr="001535DE">
        <w:rPr>
          <w:rFonts w:ascii="Garamond" w:hAnsi="Garamond"/>
          <w:lang w:val="pt-PT"/>
        </w:rPr>
        <w:t>ICIEG</w:t>
      </w:r>
      <w:proofErr w:type="spellEnd"/>
      <w:r w:rsidRPr="001535DE">
        <w:rPr>
          <w:rFonts w:ascii="Garamond" w:hAnsi="Garamond"/>
          <w:lang w:val="pt-PT"/>
        </w:rPr>
        <w:t xml:space="preserve"> é responsável </w:t>
      </w:r>
      <w:proofErr w:type="spellStart"/>
      <w:r w:rsidRPr="001535DE">
        <w:rPr>
          <w:rFonts w:ascii="Garamond" w:hAnsi="Garamond"/>
          <w:lang w:val="pt-PT"/>
        </w:rPr>
        <w:t>pela</w:t>
      </w:r>
      <w:proofErr w:type="spellEnd"/>
      <w:r w:rsidRPr="001535DE">
        <w:rPr>
          <w:rFonts w:ascii="Garamond" w:hAnsi="Garamond"/>
          <w:lang w:val="pt-PT"/>
        </w:rPr>
        <w:t xml:space="preserve"> recolha das linhas de base assinaladas como </w:t>
      </w:r>
      <w:r w:rsidRPr="001535DE">
        <w:rPr>
          <w:rFonts w:ascii="Garamond" w:hAnsi="Garamond"/>
          <w:i/>
          <w:iCs/>
          <w:lang w:val="pt-PT"/>
        </w:rPr>
        <w:t>Não Disponíveis</w:t>
      </w:r>
      <w:r w:rsidRPr="001535DE">
        <w:rPr>
          <w:rFonts w:ascii="Garamond" w:hAnsi="Garamond"/>
          <w:lang w:val="pt-PT"/>
        </w:rPr>
        <w:t xml:space="preserve"> (ND) nas Matrizes de </w:t>
      </w:r>
      <w:proofErr w:type="spellStart"/>
      <w:r w:rsidRPr="001535DE">
        <w:rPr>
          <w:rFonts w:ascii="Garamond" w:hAnsi="Garamond"/>
          <w:lang w:val="pt-PT"/>
        </w:rPr>
        <w:t>S&amp;A</w:t>
      </w:r>
      <w:proofErr w:type="spellEnd"/>
      <w:r w:rsidRPr="001535DE">
        <w:rPr>
          <w:rFonts w:ascii="Garamond" w:hAnsi="Garamond"/>
          <w:lang w:val="pt-PT"/>
        </w:rPr>
        <w:t xml:space="preserve">, em articulação com os PF e parceiros sectoriais responsáveis </w:t>
      </w:r>
      <w:proofErr w:type="spellStart"/>
      <w:r w:rsidRPr="001535DE">
        <w:rPr>
          <w:rFonts w:ascii="Garamond" w:hAnsi="Garamond"/>
          <w:lang w:val="pt-PT"/>
        </w:rPr>
        <w:t>pela</w:t>
      </w:r>
      <w:proofErr w:type="spellEnd"/>
      <w:r w:rsidRPr="001535DE">
        <w:rPr>
          <w:rFonts w:ascii="Garamond" w:hAnsi="Garamond"/>
          <w:lang w:val="pt-PT"/>
        </w:rPr>
        <w:t xml:space="preserve"> produção dos dados em questão, </w:t>
      </w:r>
      <w:r>
        <w:rPr>
          <w:rFonts w:ascii="Garamond" w:hAnsi="Garamond"/>
          <w:lang w:val="pt-PT"/>
        </w:rPr>
        <w:t xml:space="preserve">clarificando </w:t>
      </w:r>
      <w:r w:rsidRPr="001535DE">
        <w:rPr>
          <w:rFonts w:ascii="Garamond" w:hAnsi="Garamond"/>
          <w:lang w:val="pt-PT"/>
        </w:rPr>
        <w:t>indicadores, modos de cálculo e periodicidade.  </w:t>
      </w:r>
    </w:p>
    <w:p w14:paraId="610340B7" w14:textId="77777777" w:rsidR="009A0C22" w:rsidRPr="00D87B83" w:rsidRDefault="009A0C22" w:rsidP="001535DE">
      <w:pPr>
        <w:pStyle w:val="PargrafodaLista"/>
        <w:numPr>
          <w:ilvl w:val="0"/>
          <w:numId w:val="58"/>
        </w:numPr>
        <w:spacing w:line="259" w:lineRule="auto"/>
        <w:ind w:left="357" w:hanging="357"/>
        <w:rPr>
          <w:rFonts w:ascii="Garamond" w:hAnsi="Garamond"/>
          <w:lang w:val="pt-PT"/>
        </w:rPr>
      </w:pPr>
      <w:r w:rsidRPr="00D87B83">
        <w:rPr>
          <w:rFonts w:ascii="Garamond" w:hAnsi="Garamond"/>
          <w:u w:val="single"/>
          <w:lang w:val="pt-PT"/>
        </w:rPr>
        <w:t xml:space="preserve">Seguimento e reportagem </w:t>
      </w:r>
      <w:proofErr w:type="spellStart"/>
      <w:r w:rsidRPr="00D87B83">
        <w:rPr>
          <w:rFonts w:ascii="Garamond" w:hAnsi="Garamond"/>
          <w:u w:val="single"/>
          <w:lang w:val="pt-PT"/>
        </w:rPr>
        <w:t>pela</w:t>
      </w:r>
      <w:proofErr w:type="spellEnd"/>
      <w:r w:rsidRPr="00D87B83">
        <w:rPr>
          <w:rFonts w:ascii="Garamond" w:hAnsi="Garamond"/>
          <w:u w:val="single"/>
          <w:lang w:val="pt-PT"/>
        </w:rPr>
        <w:t xml:space="preserve"> Comissão de Género</w:t>
      </w:r>
      <w:r w:rsidRPr="00D87B83">
        <w:rPr>
          <w:rFonts w:ascii="Garamond" w:hAnsi="Garamond"/>
          <w:lang w:val="pt-PT"/>
        </w:rPr>
        <w:t>:</w:t>
      </w:r>
    </w:p>
    <w:p w14:paraId="59E265F7" w14:textId="40CFC6F8" w:rsidR="00E86E31" w:rsidRPr="00D87B83" w:rsidRDefault="009A0C22" w:rsidP="002A62A2">
      <w:pPr>
        <w:pStyle w:val="PargrafodaLista"/>
        <w:numPr>
          <w:ilvl w:val="0"/>
          <w:numId w:val="60"/>
        </w:numPr>
        <w:spacing w:after="240"/>
        <w:jc w:val="both"/>
        <w:rPr>
          <w:rFonts w:ascii="Garamond" w:hAnsi="Garamond"/>
          <w:lang w:val="pt-PT"/>
        </w:rPr>
      </w:pPr>
      <w:r w:rsidRPr="00D87B83">
        <w:rPr>
          <w:rFonts w:ascii="Garamond" w:hAnsi="Garamond"/>
          <w:lang w:val="pt-PT"/>
        </w:rPr>
        <w:t>Os membros da Comissão de Género (</w:t>
      </w:r>
      <w:r w:rsidR="00D87B83">
        <w:rPr>
          <w:rFonts w:ascii="Garamond" w:hAnsi="Garamond"/>
          <w:lang w:val="pt-PT"/>
        </w:rPr>
        <w:t>GC</w:t>
      </w:r>
      <w:r w:rsidRPr="00D87B83">
        <w:rPr>
          <w:rFonts w:ascii="Garamond" w:hAnsi="Garamond"/>
          <w:lang w:val="pt-PT"/>
        </w:rPr>
        <w:t xml:space="preserve">), têm entre outras </w:t>
      </w:r>
      <w:r w:rsidR="00466FA1">
        <w:rPr>
          <w:rFonts w:ascii="Garamond" w:hAnsi="Garamond"/>
          <w:lang w:val="pt-PT"/>
        </w:rPr>
        <w:t>tarefas</w:t>
      </w:r>
      <w:r w:rsidR="00D87B83">
        <w:rPr>
          <w:rFonts w:ascii="Garamond" w:hAnsi="Garamond"/>
          <w:lang w:val="pt-PT"/>
        </w:rPr>
        <w:t>,</w:t>
      </w:r>
      <w:r w:rsidRPr="00D87B83">
        <w:rPr>
          <w:rFonts w:ascii="Garamond" w:hAnsi="Garamond"/>
          <w:lang w:val="pt-PT"/>
        </w:rPr>
        <w:t xml:space="preserve"> assegurar a operacionalização e seguimento das medidas d</w:t>
      </w:r>
      <w:r w:rsidR="00D87B83">
        <w:rPr>
          <w:rFonts w:ascii="Garamond" w:hAnsi="Garamond"/>
          <w:lang w:val="pt-PT"/>
        </w:rPr>
        <w:t>a</w:t>
      </w:r>
      <w:r w:rsidRPr="00D87B83">
        <w:rPr>
          <w:rFonts w:ascii="Garamond" w:hAnsi="Garamond"/>
          <w:lang w:val="pt-PT"/>
        </w:rPr>
        <w:t xml:space="preserve"> responsabilidade d</w:t>
      </w:r>
      <w:r w:rsidR="00D87B83">
        <w:rPr>
          <w:rFonts w:ascii="Garamond" w:hAnsi="Garamond"/>
          <w:lang w:val="pt-PT"/>
        </w:rPr>
        <w:t xml:space="preserve">os seus </w:t>
      </w:r>
      <w:proofErr w:type="spellStart"/>
      <w:r w:rsidRPr="00D87B83">
        <w:rPr>
          <w:rFonts w:ascii="Garamond" w:hAnsi="Garamond"/>
          <w:lang w:val="pt-PT"/>
        </w:rPr>
        <w:t>setor</w:t>
      </w:r>
      <w:r w:rsidR="00D87B83">
        <w:rPr>
          <w:rFonts w:ascii="Garamond" w:hAnsi="Garamond"/>
          <w:lang w:val="pt-PT"/>
        </w:rPr>
        <w:t>es</w:t>
      </w:r>
      <w:proofErr w:type="spellEnd"/>
      <w:r w:rsidRPr="00D87B83">
        <w:rPr>
          <w:rFonts w:ascii="Garamond" w:hAnsi="Garamond"/>
          <w:lang w:val="pt-PT"/>
        </w:rPr>
        <w:t>/entidade</w:t>
      </w:r>
      <w:r w:rsidR="00D87B83">
        <w:rPr>
          <w:rFonts w:ascii="Garamond" w:hAnsi="Garamond"/>
          <w:lang w:val="pt-PT"/>
        </w:rPr>
        <w:t>s</w:t>
      </w:r>
      <w:r w:rsidRPr="00D87B83">
        <w:rPr>
          <w:rFonts w:ascii="Garamond" w:hAnsi="Garamond"/>
          <w:lang w:val="pt-PT"/>
        </w:rPr>
        <w:t xml:space="preserve">. </w:t>
      </w:r>
    </w:p>
    <w:p w14:paraId="7D992893" w14:textId="5BED02ED" w:rsidR="00E86E31" w:rsidRPr="00D87B83" w:rsidRDefault="009A0C22" w:rsidP="002A62A2">
      <w:pPr>
        <w:pStyle w:val="PargrafodaLista"/>
        <w:numPr>
          <w:ilvl w:val="0"/>
          <w:numId w:val="60"/>
        </w:numPr>
        <w:spacing w:after="240"/>
        <w:jc w:val="both"/>
        <w:rPr>
          <w:rFonts w:ascii="Garamond" w:hAnsi="Garamond"/>
          <w:lang w:val="pt-PT"/>
        </w:rPr>
      </w:pPr>
      <w:r w:rsidRPr="00D87B83">
        <w:rPr>
          <w:rFonts w:ascii="Garamond" w:hAnsi="Garamond"/>
          <w:lang w:val="pt-PT"/>
        </w:rPr>
        <w:t>As reuniões da C</w:t>
      </w:r>
      <w:r w:rsidR="00D87B83">
        <w:rPr>
          <w:rFonts w:ascii="Garamond" w:hAnsi="Garamond"/>
          <w:lang w:val="pt-PT"/>
        </w:rPr>
        <w:t>G</w:t>
      </w:r>
      <w:r w:rsidRPr="00D87B83">
        <w:rPr>
          <w:rFonts w:ascii="Garamond" w:hAnsi="Garamond"/>
          <w:lang w:val="pt-PT"/>
        </w:rPr>
        <w:t xml:space="preserve"> têm periodicidade trimestral</w:t>
      </w:r>
      <w:r w:rsidR="00D87B83">
        <w:rPr>
          <w:rFonts w:ascii="Garamond" w:hAnsi="Garamond"/>
          <w:lang w:val="pt-PT"/>
        </w:rPr>
        <w:t xml:space="preserve"> e podem </w:t>
      </w:r>
      <w:r w:rsidRPr="00D87B83">
        <w:rPr>
          <w:rFonts w:ascii="Garamond" w:hAnsi="Garamond"/>
          <w:lang w:val="pt-PT"/>
        </w:rPr>
        <w:t>ser convocada</w:t>
      </w:r>
      <w:r w:rsidR="00D87B83">
        <w:rPr>
          <w:rFonts w:ascii="Garamond" w:hAnsi="Garamond"/>
          <w:lang w:val="pt-PT"/>
        </w:rPr>
        <w:t>s</w:t>
      </w:r>
      <w:r w:rsidRPr="00D87B83">
        <w:rPr>
          <w:rFonts w:ascii="Garamond" w:hAnsi="Garamond"/>
          <w:lang w:val="pt-PT"/>
        </w:rPr>
        <w:t xml:space="preserve"> extraordinariamente. </w:t>
      </w:r>
      <w:r w:rsidR="00D87B83">
        <w:rPr>
          <w:rFonts w:ascii="Garamond" w:hAnsi="Garamond"/>
          <w:lang w:val="pt-PT"/>
        </w:rPr>
        <w:t xml:space="preserve">As </w:t>
      </w:r>
      <w:r w:rsidRPr="00D87B83">
        <w:rPr>
          <w:rFonts w:ascii="Garamond" w:hAnsi="Garamond"/>
          <w:lang w:val="pt-PT"/>
        </w:rPr>
        <w:t>reuniões devem permitir recolher informações sobre</w:t>
      </w:r>
      <w:r w:rsidR="007548F8">
        <w:rPr>
          <w:rFonts w:ascii="Garamond" w:hAnsi="Garamond"/>
          <w:lang w:val="pt-PT"/>
        </w:rPr>
        <w:t xml:space="preserve"> a implementação </w:t>
      </w:r>
      <w:r w:rsidRPr="00D87B83">
        <w:rPr>
          <w:rFonts w:ascii="Garamond" w:hAnsi="Garamond"/>
          <w:lang w:val="pt-PT"/>
        </w:rPr>
        <w:t xml:space="preserve">das medidas de </w:t>
      </w:r>
      <w:r w:rsidR="007548F8">
        <w:rPr>
          <w:rFonts w:ascii="Garamond" w:hAnsi="Garamond"/>
          <w:lang w:val="pt-PT"/>
        </w:rPr>
        <w:t xml:space="preserve">acção, </w:t>
      </w:r>
      <w:r w:rsidRPr="00D87B83">
        <w:rPr>
          <w:rFonts w:ascii="Garamond" w:hAnsi="Garamond"/>
          <w:lang w:val="pt-PT"/>
        </w:rPr>
        <w:t>avanços nos indicadores de efeito, analisar as dificuldades</w:t>
      </w:r>
      <w:r w:rsidR="007548F8">
        <w:rPr>
          <w:rFonts w:ascii="Garamond" w:hAnsi="Garamond"/>
          <w:lang w:val="pt-PT"/>
        </w:rPr>
        <w:t>/desafios</w:t>
      </w:r>
      <w:r w:rsidRPr="00D87B83">
        <w:rPr>
          <w:rFonts w:ascii="Garamond" w:hAnsi="Garamond"/>
          <w:lang w:val="pt-PT"/>
        </w:rPr>
        <w:t xml:space="preserve"> surgid</w:t>
      </w:r>
      <w:r w:rsidR="007548F8">
        <w:rPr>
          <w:rFonts w:ascii="Garamond" w:hAnsi="Garamond"/>
          <w:lang w:val="pt-PT"/>
        </w:rPr>
        <w:t>o</w:t>
      </w:r>
      <w:r w:rsidRPr="00D87B83">
        <w:rPr>
          <w:rFonts w:ascii="Garamond" w:hAnsi="Garamond"/>
          <w:lang w:val="pt-PT"/>
        </w:rPr>
        <w:t>s</w:t>
      </w:r>
      <w:r w:rsidR="007548F8">
        <w:rPr>
          <w:rFonts w:ascii="Garamond" w:hAnsi="Garamond"/>
          <w:lang w:val="pt-PT"/>
        </w:rPr>
        <w:t xml:space="preserve"> </w:t>
      </w:r>
      <w:r w:rsidRPr="00D87B83">
        <w:rPr>
          <w:rFonts w:ascii="Garamond" w:hAnsi="Garamond"/>
          <w:lang w:val="pt-PT"/>
        </w:rPr>
        <w:t>e reprogramar ou redimension</w:t>
      </w:r>
      <w:r w:rsidR="00D87B83">
        <w:rPr>
          <w:rFonts w:ascii="Garamond" w:hAnsi="Garamond"/>
          <w:lang w:val="pt-PT"/>
        </w:rPr>
        <w:t>ar medidas</w:t>
      </w:r>
      <w:r w:rsidRPr="00D87B83">
        <w:rPr>
          <w:rFonts w:ascii="Garamond" w:hAnsi="Garamond"/>
          <w:lang w:val="pt-PT"/>
        </w:rPr>
        <w:t>, com vista a alcançar os resultados</w:t>
      </w:r>
      <w:r w:rsidR="007548F8">
        <w:rPr>
          <w:rFonts w:ascii="Garamond" w:hAnsi="Garamond"/>
          <w:lang w:val="pt-PT"/>
        </w:rPr>
        <w:t xml:space="preserve"> previstos</w:t>
      </w:r>
      <w:r w:rsidRPr="00D87B83">
        <w:rPr>
          <w:rFonts w:ascii="Garamond" w:hAnsi="Garamond"/>
          <w:lang w:val="pt-PT"/>
        </w:rPr>
        <w:t>.</w:t>
      </w:r>
      <w:bookmarkStart w:id="114" w:name="_Hlk696612"/>
    </w:p>
    <w:p w14:paraId="0DB865E0" w14:textId="77C68E8E" w:rsidR="00E86E31" w:rsidRPr="00D87B83" w:rsidRDefault="009A0C22" w:rsidP="002A62A2">
      <w:pPr>
        <w:pStyle w:val="PargrafodaLista"/>
        <w:numPr>
          <w:ilvl w:val="0"/>
          <w:numId w:val="60"/>
        </w:numPr>
        <w:spacing w:after="240"/>
        <w:jc w:val="both"/>
        <w:rPr>
          <w:rFonts w:ascii="Garamond" w:hAnsi="Garamond"/>
          <w:lang w:val="pt-PT"/>
        </w:rPr>
      </w:pPr>
      <w:r w:rsidRPr="00D87B83">
        <w:rPr>
          <w:rFonts w:ascii="Garamond" w:hAnsi="Garamond"/>
          <w:lang w:val="pt-PT"/>
        </w:rPr>
        <w:t>A C</w:t>
      </w:r>
      <w:r w:rsidR="00D87B83">
        <w:rPr>
          <w:rFonts w:ascii="Garamond" w:hAnsi="Garamond"/>
          <w:lang w:val="pt-PT"/>
        </w:rPr>
        <w:t>G</w:t>
      </w:r>
      <w:r w:rsidRPr="00D87B83">
        <w:rPr>
          <w:rFonts w:ascii="Garamond" w:hAnsi="Garamond"/>
          <w:lang w:val="pt-PT"/>
        </w:rPr>
        <w:t xml:space="preserve"> apresenta anualmente um relatório sobre a situação/estágio da </w:t>
      </w:r>
      <w:proofErr w:type="spellStart"/>
      <w:r w:rsidRPr="00D87B83">
        <w:rPr>
          <w:rFonts w:ascii="Garamond" w:hAnsi="Garamond"/>
          <w:lang w:val="pt-PT"/>
        </w:rPr>
        <w:t>transversalização</w:t>
      </w:r>
      <w:proofErr w:type="spellEnd"/>
      <w:r w:rsidRPr="00D87B83">
        <w:rPr>
          <w:rFonts w:ascii="Garamond" w:hAnsi="Garamond"/>
          <w:lang w:val="pt-PT"/>
        </w:rPr>
        <w:t xml:space="preserve"> de género, conforme modelo a pré-definir</w:t>
      </w:r>
      <w:bookmarkEnd w:id="114"/>
      <w:r w:rsidRPr="00D87B83">
        <w:rPr>
          <w:rFonts w:ascii="Garamond" w:hAnsi="Garamond"/>
          <w:lang w:val="pt-PT"/>
        </w:rPr>
        <w:t xml:space="preserve">. Estas informações são </w:t>
      </w:r>
      <w:r w:rsidR="00D87B83">
        <w:rPr>
          <w:rFonts w:ascii="Garamond" w:hAnsi="Garamond"/>
          <w:lang w:val="pt-PT"/>
        </w:rPr>
        <w:t xml:space="preserve">cruciais </w:t>
      </w:r>
      <w:r w:rsidRPr="00D87B83">
        <w:rPr>
          <w:rFonts w:ascii="Garamond" w:hAnsi="Garamond"/>
          <w:lang w:val="pt-PT"/>
        </w:rPr>
        <w:t xml:space="preserve">para a elaboração do relatório anual </w:t>
      </w:r>
      <w:r w:rsidR="00D87B83">
        <w:rPr>
          <w:rFonts w:ascii="Garamond" w:hAnsi="Garamond"/>
          <w:lang w:val="pt-PT"/>
        </w:rPr>
        <w:t>de</w:t>
      </w:r>
      <w:r w:rsidRPr="00D87B83">
        <w:rPr>
          <w:rFonts w:ascii="Garamond" w:hAnsi="Garamond"/>
          <w:lang w:val="pt-PT"/>
        </w:rPr>
        <w:t xml:space="preserve"> implementação do </w:t>
      </w:r>
      <w:proofErr w:type="spellStart"/>
      <w:r w:rsidRPr="00D87B83">
        <w:rPr>
          <w:rFonts w:ascii="Garamond" w:hAnsi="Garamond"/>
          <w:lang w:val="pt-PT"/>
        </w:rPr>
        <w:t>PNIG</w:t>
      </w:r>
      <w:proofErr w:type="spellEnd"/>
      <w:r w:rsidRPr="00D87B83">
        <w:rPr>
          <w:rFonts w:ascii="Garamond" w:hAnsi="Garamond"/>
          <w:lang w:val="pt-PT"/>
        </w:rPr>
        <w:t xml:space="preserve">, </w:t>
      </w:r>
      <w:r w:rsidR="00D87B83">
        <w:rPr>
          <w:rFonts w:ascii="Garamond" w:hAnsi="Garamond"/>
          <w:lang w:val="pt-PT"/>
        </w:rPr>
        <w:t xml:space="preserve">que o </w:t>
      </w:r>
      <w:proofErr w:type="spellStart"/>
      <w:r w:rsidRPr="00D87B83">
        <w:rPr>
          <w:rFonts w:ascii="Garamond" w:hAnsi="Garamond"/>
          <w:lang w:val="pt-PT"/>
        </w:rPr>
        <w:t>ICIEG</w:t>
      </w:r>
      <w:proofErr w:type="spellEnd"/>
      <w:r w:rsidR="00D87B83">
        <w:rPr>
          <w:rFonts w:ascii="Garamond" w:hAnsi="Garamond"/>
          <w:lang w:val="pt-PT"/>
        </w:rPr>
        <w:t xml:space="preserve"> consolida e </w:t>
      </w:r>
      <w:r w:rsidRPr="00D87B83">
        <w:rPr>
          <w:rFonts w:ascii="Garamond" w:hAnsi="Garamond"/>
          <w:lang w:val="pt-PT"/>
        </w:rPr>
        <w:t>submete à tutela (</w:t>
      </w:r>
      <w:proofErr w:type="spellStart"/>
      <w:r w:rsidRPr="00D87B83">
        <w:rPr>
          <w:rFonts w:ascii="Garamond" w:hAnsi="Garamond"/>
          <w:lang w:val="pt-PT"/>
        </w:rPr>
        <w:t>MFIS</w:t>
      </w:r>
      <w:proofErr w:type="spellEnd"/>
      <w:r w:rsidRPr="00D87B83">
        <w:rPr>
          <w:rFonts w:ascii="Garamond" w:hAnsi="Garamond"/>
          <w:lang w:val="pt-PT"/>
        </w:rPr>
        <w:t>).</w:t>
      </w:r>
    </w:p>
    <w:p w14:paraId="024FB2AD" w14:textId="02241104" w:rsidR="009A0C22" w:rsidRPr="00D87B83" w:rsidRDefault="009A0C22" w:rsidP="002A62A2">
      <w:pPr>
        <w:pStyle w:val="PargrafodaLista"/>
        <w:numPr>
          <w:ilvl w:val="0"/>
          <w:numId w:val="60"/>
        </w:numPr>
        <w:spacing w:after="160"/>
        <w:ind w:left="357" w:hanging="357"/>
        <w:contextualSpacing w:val="0"/>
        <w:jc w:val="both"/>
        <w:rPr>
          <w:rFonts w:ascii="Garamond" w:hAnsi="Garamond"/>
          <w:lang w:val="pt-PT"/>
        </w:rPr>
      </w:pPr>
      <w:r w:rsidRPr="00D87B83">
        <w:rPr>
          <w:rFonts w:ascii="Garamond" w:hAnsi="Garamond"/>
          <w:lang w:val="pt-PT"/>
        </w:rPr>
        <w:t>A C</w:t>
      </w:r>
      <w:r w:rsidR="00D87B83">
        <w:rPr>
          <w:rFonts w:ascii="Garamond" w:hAnsi="Garamond"/>
          <w:lang w:val="pt-PT"/>
        </w:rPr>
        <w:t>G</w:t>
      </w:r>
      <w:r w:rsidRPr="00D87B83">
        <w:rPr>
          <w:rFonts w:ascii="Garamond" w:hAnsi="Garamond"/>
          <w:lang w:val="pt-PT"/>
        </w:rPr>
        <w:t xml:space="preserve"> poderá se organizar em grupos temáticos e, conforme previsto no Eixo 6, irá desenvolver processos e instrumentos de trabalho para o seguimento da</w:t>
      </w:r>
      <w:r w:rsidR="00D87B83">
        <w:rPr>
          <w:rFonts w:ascii="Garamond" w:hAnsi="Garamond"/>
          <w:lang w:val="pt-PT"/>
        </w:rPr>
        <w:t>s</w:t>
      </w:r>
      <w:r w:rsidRPr="00D87B83">
        <w:rPr>
          <w:rFonts w:ascii="Garamond" w:hAnsi="Garamond"/>
          <w:lang w:val="pt-PT"/>
        </w:rPr>
        <w:t xml:space="preserve"> política</w:t>
      </w:r>
      <w:r w:rsidR="00D87B83">
        <w:rPr>
          <w:rFonts w:ascii="Garamond" w:hAnsi="Garamond"/>
          <w:lang w:val="pt-PT"/>
        </w:rPr>
        <w:t>s</w:t>
      </w:r>
      <w:r w:rsidRPr="00D87B83">
        <w:rPr>
          <w:rFonts w:ascii="Garamond" w:hAnsi="Garamond"/>
          <w:lang w:val="pt-PT"/>
        </w:rPr>
        <w:t xml:space="preserve"> de género</w:t>
      </w:r>
      <w:r w:rsidR="00D87B83">
        <w:rPr>
          <w:rFonts w:ascii="Garamond" w:hAnsi="Garamond"/>
          <w:lang w:val="pt-PT"/>
        </w:rPr>
        <w:t>.</w:t>
      </w:r>
    </w:p>
    <w:p w14:paraId="4686466D" w14:textId="77777777" w:rsidR="009A0C22" w:rsidRPr="00D87B83" w:rsidRDefault="009A0C22" w:rsidP="001535DE">
      <w:pPr>
        <w:pStyle w:val="PargrafodaLista"/>
        <w:numPr>
          <w:ilvl w:val="0"/>
          <w:numId w:val="58"/>
        </w:numPr>
        <w:spacing w:line="259" w:lineRule="auto"/>
        <w:ind w:left="357" w:hanging="357"/>
        <w:rPr>
          <w:rFonts w:ascii="Garamond" w:hAnsi="Garamond"/>
          <w:u w:val="single"/>
        </w:rPr>
      </w:pPr>
      <w:proofErr w:type="spellStart"/>
      <w:r w:rsidRPr="00D87B83">
        <w:rPr>
          <w:rFonts w:ascii="Garamond" w:hAnsi="Garamond"/>
          <w:u w:val="single"/>
        </w:rPr>
        <w:t>Avaliação</w:t>
      </w:r>
      <w:proofErr w:type="spellEnd"/>
      <w:r w:rsidRPr="00D87B83">
        <w:rPr>
          <w:rFonts w:ascii="Garamond" w:hAnsi="Garamond"/>
          <w:u w:val="single"/>
        </w:rPr>
        <w:t xml:space="preserve"> final</w:t>
      </w:r>
      <w:r w:rsidRPr="00D87B83">
        <w:rPr>
          <w:rFonts w:ascii="Garamond" w:hAnsi="Garamond"/>
        </w:rPr>
        <w:t>:</w:t>
      </w:r>
    </w:p>
    <w:p w14:paraId="2848AA8E" w14:textId="6567B443" w:rsidR="009A0C22" w:rsidRPr="00D87B83" w:rsidRDefault="009A0C22" w:rsidP="002A62A2">
      <w:pPr>
        <w:pStyle w:val="PargrafodaLista"/>
        <w:numPr>
          <w:ilvl w:val="0"/>
          <w:numId w:val="61"/>
        </w:numPr>
        <w:jc w:val="both"/>
        <w:rPr>
          <w:rFonts w:ascii="Garamond" w:hAnsi="Garamond"/>
          <w:lang w:val="pt-PT"/>
        </w:rPr>
      </w:pPr>
      <w:r w:rsidRPr="00D87B83">
        <w:rPr>
          <w:rFonts w:ascii="Garamond" w:hAnsi="Garamond"/>
          <w:lang w:val="pt-PT"/>
        </w:rPr>
        <w:t xml:space="preserve">A avaliação final do </w:t>
      </w:r>
      <w:proofErr w:type="spellStart"/>
      <w:r w:rsidRPr="00D87B83">
        <w:rPr>
          <w:rFonts w:ascii="Garamond" w:hAnsi="Garamond"/>
          <w:lang w:val="pt-PT"/>
        </w:rPr>
        <w:t>PNIG</w:t>
      </w:r>
      <w:proofErr w:type="spellEnd"/>
      <w:r w:rsidRPr="00D87B83">
        <w:rPr>
          <w:rFonts w:ascii="Garamond" w:hAnsi="Garamond"/>
          <w:lang w:val="pt-PT"/>
        </w:rPr>
        <w:t xml:space="preserve"> deverá ser externa e contar com todos os relatórios existentes (anuais e de implementação de programas, projectos e medidas de </w:t>
      </w:r>
      <w:proofErr w:type="spellStart"/>
      <w:r w:rsidRPr="00D87B83">
        <w:rPr>
          <w:rFonts w:ascii="Garamond" w:hAnsi="Garamond"/>
          <w:lang w:val="pt-PT"/>
        </w:rPr>
        <w:t>ação</w:t>
      </w:r>
      <w:proofErr w:type="spellEnd"/>
      <w:r w:rsidRPr="00D87B83">
        <w:rPr>
          <w:rFonts w:ascii="Garamond" w:hAnsi="Garamond"/>
          <w:lang w:val="pt-PT"/>
        </w:rPr>
        <w:t>)</w:t>
      </w:r>
      <w:r w:rsidR="00D87B83">
        <w:rPr>
          <w:rFonts w:ascii="Garamond" w:hAnsi="Garamond"/>
          <w:lang w:val="pt-PT"/>
        </w:rPr>
        <w:t>,</w:t>
      </w:r>
      <w:r w:rsidRPr="00D87B83">
        <w:rPr>
          <w:rFonts w:ascii="Garamond" w:hAnsi="Garamond"/>
          <w:lang w:val="pt-PT"/>
        </w:rPr>
        <w:t xml:space="preserve"> e um inquérito quantitativo e qualitativo junto aos parceiros envolvidos na </w:t>
      </w:r>
      <w:r w:rsidR="00D87B83">
        <w:rPr>
          <w:rFonts w:ascii="Garamond" w:hAnsi="Garamond"/>
          <w:lang w:val="pt-PT"/>
        </w:rPr>
        <w:t xml:space="preserve">sua </w:t>
      </w:r>
      <w:r w:rsidRPr="00D87B83">
        <w:rPr>
          <w:rFonts w:ascii="Garamond" w:hAnsi="Garamond"/>
          <w:lang w:val="pt-PT"/>
        </w:rPr>
        <w:t>implementação. A avaliação final será apresentada no Conselho de Ministros e deverá ser disponibilizada aos sectores públicos, às organizações da sociedade civil e aos meios de comunicação social.</w:t>
      </w:r>
    </w:p>
    <w:p w14:paraId="06C3C3BC" w14:textId="77777777" w:rsidR="009A0C22" w:rsidRPr="00D87B83" w:rsidRDefault="009A0C22" w:rsidP="002A62A2">
      <w:pPr>
        <w:pStyle w:val="PargrafodaLista"/>
        <w:numPr>
          <w:ilvl w:val="0"/>
          <w:numId w:val="61"/>
        </w:numPr>
        <w:spacing w:after="160"/>
        <w:ind w:left="357" w:hanging="357"/>
        <w:contextualSpacing w:val="0"/>
        <w:jc w:val="both"/>
        <w:rPr>
          <w:rFonts w:ascii="Garamond" w:hAnsi="Garamond"/>
          <w:lang w:val="pt-PT"/>
        </w:rPr>
      </w:pPr>
      <w:r w:rsidRPr="00D87B83">
        <w:rPr>
          <w:rFonts w:ascii="Garamond" w:hAnsi="Garamond"/>
          <w:lang w:val="pt-PT"/>
        </w:rPr>
        <w:t xml:space="preserve">O processo de avaliação final e de elaboração do Xº relatório periódico </w:t>
      </w:r>
      <w:proofErr w:type="spellStart"/>
      <w:r w:rsidRPr="00D87B83">
        <w:rPr>
          <w:rFonts w:ascii="Garamond" w:hAnsi="Garamond"/>
          <w:lang w:val="pt-PT"/>
        </w:rPr>
        <w:t>CEDAW</w:t>
      </w:r>
      <w:proofErr w:type="spellEnd"/>
      <w:r w:rsidRPr="00D87B83">
        <w:rPr>
          <w:rFonts w:ascii="Garamond" w:hAnsi="Garamond"/>
          <w:lang w:val="pt-PT"/>
        </w:rPr>
        <w:t xml:space="preserve"> deverão ser alinhados da forma que se considerar mais produtiva.  </w:t>
      </w:r>
    </w:p>
    <w:p w14:paraId="6CA1C666" w14:textId="00387A7A" w:rsidR="00F60553" w:rsidRDefault="00466FA1" w:rsidP="001535DE">
      <w:pPr>
        <w:spacing w:after="160" w:line="259" w:lineRule="auto"/>
        <w:jc w:val="both"/>
        <w:rPr>
          <w:rFonts w:ascii="Garamond" w:hAnsi="Garamond"/>
          <w:lang w:val="pt-PT"/>
        </w:rPr>
      </w:pPr>
      <w:r>
        <w:rPr>
          <w:rFonts w:ascii="Garamond" w:hAnsi="Garamond"/>
          <w:lang w:val="pt-PT"/>
        </w:rPr>
        <w:t xml:space="preserve">Durante a elaboração do </w:t>
      </w:r>
      <w:proofErr w:type="spellStart"/>
      <w:r>
        <w:rPr>
          <w:rFonts w:ascii="Garamond" w:hAnsi="Garamond"/>
          <w:lang w:val="pt-PT"/>
        </w:rPr>
        <w:t>PNIG</w:t>
      </w:r>
      <w:proofErr w:type="spellEnd"/>
      <w:r>
        <w:rPr>
          <w:rFonts w:ascii="Garamond" w:hAnsi="Garamond"/>
          <w:lang w:val="pt-PT"/>
        </w:rPr>
        <w:t>, o</w:t>
      </w:r>
      <w:r w:rsidR="001535DE" w:rsidRPr="001535DE">
        <w:rPr>
          <w:rFonts w:ascii="Garamond" w:hAnsi="Garamond"/>
          <w:lang w:val="pt-PT"/>
        </w:rPr>
        <w:t xml:space="preserve"> exercício FOFA realizado </w:t>
      </w:r>
      <w:r>
        <w:rPr>
          <w:rFonts w:ascii="Garamond" w:hAnsi="Garamond"/>
          <w:lang w:val="pt-PT"/>
        </w:rPr>
        <w:t xml:space="preserve">com o </w:t>
      </w:r>
      <w:proofErr w:type="spellStart"/>
      <w:r>
        <w:rPr>
          <w:rFonts w:ascii="Garamond" w:hAnsi="Garamond"/>
          <w:lang w:val="pt-PT"/>
        </w:rPr>
        <w:t>ICIEG</w:t>
      </w:r>
      <w:proofErr w:type="spellEnd"/>
      <w:r>
        <w:rPr>
          <w:rFonts w:ascii="Garamond" w:hAnsi="Garamond"/>
          <w:lang w:val="pt-PT"/>
        </w:rPr>
        <w:t xml:space="preserve"> </w:t>
      </w:r>
      <w:r w:rsidR="001535DE" w:rsidRPr="001535DE">
        <w:rPr>
          <w:rFonts w:ascii="Garamond" w:hAnsi="Garamond"/>
          <w:lang w:val="pt-PT"/>
        </w:rPr>
        <w:t>apontou</w:t>
      </w:r>
      <w:r w:rsidR="00CA1D39">
        <w:rPr>
          <w:rFonts w:ascii="Garamond" w:hAnsi="Garamond"/>
          <w:lang w:val="pt-PT"/>
        </w:rPr>
        <w:t>,</w:t>
      </w:r>
      <w:r w:rsidR="001535DE" w:rsidRPr="001535DE">
        <w:rPr>
          <w:rFonts w:ascii="Garamond" w:hAnsi="Garamond"/>
          <w:lang w:val="pt-PT"/>
        </w:rPr>
        <w:t xml:space="preserve"> </w:t>
      </w:r>
      <w:r w:rsidRPr="001535DE">
        <w:rPr>
          <w:rFonts w:ascii="Garamond" w:hAnsi="Garamond"/>
          <w:lang w:val="pt-PT"/>
        </w:rPr>
        <w:t>como a maior ameaça interna</w:t>
      </w:r>
      <w:r w:rsidR="00CA1D39">
        <w:rPr>
          <w:rFonts w:ascii="Garamond" w:hAnsi="Garamond"/>
          <w:lang w:val="pt-PT"/>
        </w:rPr>
        <w:t>,</w:t>
      </w:r>
      <w:r w:rsidRPr="001535DE">
        <w:rPr>
          <w:rFonts w:ascii="Garamond" w:hAnsi="Garamond"/>
          <w:lang w:val="pt-PT"/>
        </w:rPr>
        <w:t xml:space="preserve"> </w:t>
      </w:r>
      <w:r w:rsidR="001535DE" w:rsidRPr="001535DE">
        <w:rPr>
          <w:rFonts w:ascii="Garamond" w:hAnsi="Garamond"/>
          <w:lang w:val="pt-PT"/>
        </w:rPr>
        <w:t>fragilidade</w:t>
      </w:r>
      <w:r>
        <w:rPr>
          <w:rFonts w:ascii="Garamond" w:hAnsi="Garamond"/>
          <w:lang w:val="pt-PT"/>
        </w:rPr>
        <w:t>s</w:t>
      </w:r>
      <w:r w:rsidR="001535DE" w:rsidRPr="001535DE">
        <w:rPr>
          <w:rFonts w:ascii="Garamond" w:hAnsi="Garamond"/>
          <w:lang w:val="pt-PT"/>
        </w:rPr>
        <w:t xml:space="preserve"> </w:t>
      </w:r>
      <w:r w:rsidR="00CA1D39">
        <w:rPr>
          <w:rFonts w:ascii="Garamond" w:hAnsi="Garamond"/>
          <w:lang w:val="pt-PT"/>
        </w:rPr>
        <w:t xml:space="preserve">no </w:t>
      </w:r>
      <w:proofErr w:type="spellStart"/>
      <w:r w:rsidR="001535DE" w:rsidRPr="001535DE">
        <w:rPr>
          <w:rFonts w:ascii="Garamond" w:hAnsi="Garamond"/>
          <w:lang w:val="pt-PT"/>
        </w:rPr>
        <w:t>S&amp;A</w:t>
      </w:r>
      <w:proofErr w:type="spellEnd"/>
      <w:r w:rsidR="001535DE" w:rsidRPr="001535DE">
        <w:rPr>
          <w:rFonts w:ascii="Garamond" w:hAnsi="Garamond"/>
          <w:lang w:val="pt-PT"/>
        </w:rPr>
        <w:t>, com impacto negativo potencial a vários níveis, incluindo na mobilização de recursos.</w:t>
      </w:r>
      <w:r w:rsidR="001535DE">
        <w:rPr>
          <w:rFonts w:ascii="Garamond" w:hAnsi="Garamond"/>
          <w:lang w:val="pt-PT"/>
        </w:rPr>
        <w:t xml:space="preserve"> Assim, </w:t>
      </w:r>
      <w:r w:rsidR="009A0C22" w:rsidRPr="001535DE">
        <w:rPr>
          <w:rFonts w:ascii="Garamond" w:hAnsi="Garamond"/>
          <w:lang w:val="pt-PT"/>
        </w:rPr>
        <w:t xml:space="preserve">enquanto responsável geral </w:t>
      </w:r>
      <w:proofErr w:type="spellStart"/>
      <w:r w:rsidR="009A0C22" w:rsidRPr="001535DE">
        <w:rPr>
          <w:rFonts w:ascii="Garamond" w:hAnsi="Garamond"/>
          <w:lang w:val="pt-PT"/>
        </w:rPr>
        <w:t>pelo</w:t>
      </w:r>
      <w:proofErr w:type="spellEnd"/>
      <w:r w:rsidR="009A0C22" w:rsidRPr="001535DE">
        <w:rPr>
          <w:rFonts w:ascii="Garamond" w:hAnsi="Garamond"/>
          <w:lang w:val="pt-PT"/>
        </w:rPr>
        <w:t xml:space="preserve"> </w:t>
      </w:r>
      <w:proofErr w:type="spellStart"/>
      <w:r w:rsidR="009A0C22" w:rsidRPr="001535DE">
        <w:rPr>
          <w:rFonts w:ascii="Garamond" w:hAnsi="Garamond"/>
          <w:lang w:val="pt-PT"/>
        </w:rPr>
        <w:t>S&amp;A</w:t>
      </w:r>
      <w:proofErr w:type="spellEnd"/>
      <w:r w:rsidR="009A0C22" w:rsidRPr="001535DE">
        <w:rPr>
          <w:rFonts w:ascii="Garamond" w:hAnsi="Garamond"/>
          <w:lang w:val="pt-PT"/>
        </w:rPr>
        <w:t xml:space="preserve"> do </w:t>
      </w:r>
      <w:proofErr w:type="spellStart"/>
      <w:r w:rsidR="009A0C22" w:rsidRPr="001535DE">
        <w:rPr>
          <w:rFonts w:ascii="Garamond" w:hAnsi="Garamond"/>
          <w:lang w:val="pt-PT"/>
        </w:rPr>
        <w:t>PNIG</w:t>
      </w:r>
      <w:proofErr w:type="spellEnd"/>
      <w:r>
        <w:rPr>
          <w:rFonts w:ascii="Garamond" w:hAnsi="Garamond"/>
          <w:lang w:val="pt-PT"/>
        </w:rPr>
        <w:t xml:space="preserve">, o </w:t>
      </w:r>
      <w:proofErr w:type="spellStart"/>
      <w:r>
        <w:rPr>
          <w:rFonts w:ascii="Garamond" w:hAnsi="Garamond"/>
          <w:lang w:val="pt-PT"/>
        </w:rPr>
        <w:t>ICEG</w:t>
      </w:r>
      <w:proofErr w:type="spellEnd"/>
      <w:r>
        <w:rPr>
          <w:rFonts w:ascii="Garamond" w:hAnsi="Garamond"/>
          <w:lang w:val="pt-PT"/>
        </w:rPr>
        <w:t xml:space="preserve"> </w:t>
      </w:r>
      <w:r w:rsidR="009A0C22" w:rsidRPr="001535DE">
        <w:rPr>
          <w:rFonts w:ascii="Garamond" w:hAnsi="Garamond"/>
          <w:lang w:val="pt-PT"/>
        </w:rPr>
        <w:t>deverá forma</w:t>
      </w:r>
      <w:r>
        <w:rPr>
          <w:rFonts w:ascii="Garamond" w:hAnsi="Garamond"/>
          <w:lang w:val="pt-PT"/>
        </w:rPr>
        <w:t>r</w:t>
      </w:r>
      <w:r w:rsidR="009A0C22" w:rsidRPr="001535DE">
        <w:rPr>
          <w:rFonts w:ascii="Garamond" w:hAnsi="Garamond"/>
          <w:lang w:val="pt-PT"/>
        </w:rPr>
        <w:t xml:space="preserve"> todos o seu pessoal técnico e atribuir responsabilidades internas claras quanto (i) à coordenação do </w:t>
      </w:r>
      <w:proofErr w:type="spellStart"/>
      <w:r w:rsidR="009A0C22" w:rsidRPr="001535DE">
        <w:rPr>
          <w:rFonts w:ascii="Garamond" w:hAnsi="Garamond"/>
          <w:lang w:val="pt-PT"/>
        </w:rPr>
        <w:t>S&amp;A</w:t>
      </w:r>
      <w:proofErr w:type="spellEnd"/>
      <w:r w:rsidR="009A0C22" w:rsidRPr="001535DE">
        <w:rPr>
          <w:rFonts w:ascii="Garamond" w:hAnsi="Garamond"/>
          <w:lang w:val="pt-PT"/>
        </w:rPr>
        <w:t xml:space="preserve"> no </w:t>
      </w:r>
      <w:proofErr w:type="spellStart"/>
      <w:r w:rsidR="009A0C22" w:rsidRPr="001535DE">
        <w:rPr>
          <w:rFonts w:ascii="Garamond" w:hAnsi="Garamond"/>
          <w:lang w:val="pt-PT"/>
        </w:rPr>
        <w:t>ICIEG</w:t>
      </w:r>
      <w:proofErr w:type="spellEnd"/>
      <w:r w:rsidR="009A0C22" w:rsidRPr="001535DE">
        <w:rPr>
          <w:rFonts w:ascii="Garamond" w:hAnsi="Garamond"/>
          <w:lang w:val="pt-PT"/>
        </w:rPr>
        <w:t xml:space="preserve"> e (ii) as responsabilidades </w:t>
      </w:r>
      <w:r>
        <w:rPr>
          <w:rFonts w:ascii="Garamond" w:hAnsi="Garamond"/>
          <w:lang w:val="pt-PT"/>
        </w:rPr>
        <w:t xml:space="preserve">de </w:t>
      </w:r>
      <w:proofErr w:type="spellStart"/>
      <w:r>
        <w:rPr>
          <w:rFonts w:ascii="Garamond" w:hAnsi="Garamond"/>
          <w:lang w:val="pt-PT"/>
        </w:rPr>
        <w:t>S&amp;A</w:t>
      </w:r>
      <w:proofErr w:type="spellEnd"/>
      <w:r>
        <w:rPr>
          <w:rFonts w:ascii="Garamond" w:hAnsi="Garamond"/>
          <w:lang w:val="pt-PT"/>
        </w:rPr>
        <w:t xml:space="preserve"> </w:t>
      </w:r>
      <w:r w:rsidR="009A0C22" w:rsidRPr="001535DE">
        <w:rPr>
          <w:rFonts w:ascii="Garamond" w:hAnsi="Garamond"/>
          <w:lang w:val="pt-PT"/>
        </w:rPr>
        <w:t xml:space="preserve">de cada técnico(a). </w:t>
      </w:r>
    </w:p>
    <w:p w14:paraId="68F169AF" w14:textId="0C6909DF" w:rsidR="00F60553" w:rsidRPr="00461002" w:rsidRDefault="00F60553" w:rsidP="00F60553">
      <w:pPr>
        <w:pStyle w:val="Ttulo3"/>
        <w:rPr>
          <w:rFonts w:ascii="Garamond" w:hAnsi="Garamond" w:cs="Times New Roman"/>
          <w:b/>
          <w:color w:val="auto"/>
          <w:lang w:val="pt-PT"/>
        </w:rPr>
      </w:pPr>
      <w:bookmarkStart w:id="115" w:name="_Toc32858138"/>
      <w:r w:rsidRPr="00461002">
        <w:rPr>
          <w:rFonts w:ascii="Garamond" w:hAnsi="Garamond" w:cs="Times New Roman"/>
          <w:b/>
          <w:color w:val="auto"/>
          <w:lang w:val="pt-PT"/>
        </w:rPr>
        <w:t>Matriz de seguimento e avaliação dos impactos</w:t>
      </w:r>
      <w:bookmarkEnd w:id="115"/>
    </w:p>
    <w:p w14:paraId="34AC62D0" w14:textId="77777777" w:rsidR="001401FB" w:rsidRPr="001401FB" w:rsidRDefault="001401FB" w:rsidP="001401FB">
      <w:pPr>
        <w:rPr>
          <w:lang w:val="pt-PT"/>
        </w:rPr>
      </w:pPr>
    </w:p>
    <w:tbl>
      <w:tblPr>
        <w:tblStyle w:val="TabelacomGrelha"/>
        <w:tblW w:w="10349" w:type="dxa"/>
        <w:jc w:val="center"/>
        <w:tblLook w:val="04A0" w:firstRow="1" w:lastRow="0" w:firstColumn="1" w:lastColumn="0" w:noHBand="0" w:noVBand="1"/>
      </w:tblPr>
      <w:tblGrid>
        <w:gridCol w:w="1637"/>
        <w:gridCol w:w="2652"/>
        <w:gridCol w:w="3332"/>
        <w:gridCol w:w="896"/>
        <w:gridCol w:w="1832"/>
      </w:tblGrid>
      <w:tr w:rsidR="00F60553" w:rsidRPr="0033186A" w14:paraId="75E2A982" w14:textId="77777777" w:rsidTr="00F60553">
        <w:trPr>
          <w:tblHeader/>
          <w:jc w:val="center"/>
        </w:trPr>
        <w:tc>
          <w:tcPr>
            <w:tcW w:w="1637" w:type="dxa"/>
            <w:shd w:val="clear" w:color="auto" w:fill="DEEAF6" w:themeFill="accent5" w:themeFillTint="33"/>
            <w:vAlign w:val="center"/>
          </w:tcPr>
          <w:p w14:paraId="15453623" w14:textId="77777777" w:rsidR="00F60553" w:rsidRPr="0033186A" w:rsidRDefault="00F60553" w:rsidP="003455F1">
            <w:pPr>
              <w:jc w:val="center"/>
              <w:rPr>
                <w:rFonts w:ascii="Garamond" w:hAnsi="Garamond" w:cs="Times New Roman"/>
                <w:b/>
                <w:sz w:val="20"/>
                <w:szCs w:val="20"/>
              </w:rPr>
            </w:pPr>
            <w:proofErr w:type="spellStart"/>
            <w:r w:rsidRPr="0033186A">
              <w:rPr>
                <w:rFonts w:ascii="Garamond" w:hAnsi="Garamond" w:cs="Times New Roman"/>
                <w:b/>
                <w:sz w:val="20"/>
                <w:szCs w:val="20"/>
              </w:rPr>
              <w:t>Objetivo</w:t>
            </w:r>
            <w:proofErr w:type="spellEnd"/>
            <w:r>
              <w:rPr>
                <w:rFonts w:ascii="Garamond" w:hAnsi="Garamond" w:cs="Times New Roman"/>
                <w:b/>
                <w:sz w:val="20"/>
                <w:szCs w:val="20"/>
              </w:rPr>
              <w:t xml:space="preserve"> </w:t>
            </w:r>
            <w:proofErr w:type="spellStart"/>
            <w:r>
              <w:rPr>
                <w:rFonts w:ascii="Garamond" w:hAnsi="Garamond" w:cs="Times New Roman"/>
                <w:b/>
                <w:sz w:val="20"/>
                <w:szCs w:val="20"/>
              </w:rPr>
              <w:t>estratégico</w:t>
            </w:r>
            <w:proofErr w:type="spellEnd"/>
          </w:p>
        </w:tc>
        <w:tc>
          <w:tcPr>
            <w:tcW w:w="2652" w:type="dxa"/>
            <w:shd w:val="clear" w:color="auto" w:fill="DEEAF6" w:themeFill="accent5" w:themeFillTint="33"/>
            <w:vAlign w:val="center"/>
          </w:tcPr>
          <w:p w14:paraId="1B3A9297" w14:textId="77777777" w:rsidR="00F60553" w:rsidRPr="0033186A" w:rsidRDefault="00F60553" w:rsidP="003455F1">
            <w:pPr>
              <w:jc w:val="center"/>
              <w:rPr>
                <w:rFonts w:ascii="Garamond" w:hAnsi="Garamond" w:cs="Times New Roman"/>
                <w:b/>
                <w:sz w:val="20"/>
                <w:szCs w:val="20"/>
              </w:rPr>
            </w:pPr>
            <w:proofErr w:type="spellStart"/>
            <w:r w:rsidRPr="0033186A">
              <w:rPr>
                <w:rFonts w:ascii="Garamond" w:hAnsi="Garamond" w:cs="Times New Roman"/>
                <w:b/>
                <w:sz w:val="20"/>
                <w:szCs w:val="20"/>
              </w:rPr>
              <w:t>Indicador</w:t>
            </w:r>
            <w:proofErr w:type="spellEnd"/>
          </w:p>
        </w:tc>
        <w:tc>
          <w:tcPr>
            <w:tcW w:w="3332" w:type="dxa"/>
            <w:shd w:val="clear" w:color="auto" w:fill="DEEAF6" w:themeFill="accent5" w:themeFillTint="33"/>
            <w:vAlign w:val="center"/>
          </w:tcPr>
          <w:p w14:paraId="31167556" w14:textId="77777777" w:rsidR="00F60553" w:rsidRPr="0033186A" w:rsidRDefault="00F60553" w:rsidP="003455F1">
            <w:pPr>
              <w:jc w:val="center"/>
              <w:rPr>
                <w:rFonts w:ascii="Garamond" w:hAnsi="Garamond" w:cs="Times New Roman"/>
                <w:b/>
                <w:sz w:val="20"/>
                <w:szCs w:val="20"/>
              </w:rPr>
            </w:pPr>
            <w:proofErr w:type="spellStart"/>
            <w:r w:rsidRPr="0033186A">
              <w:rPr>
                <w:rFonts w:ascii="Garamond" w:hAnsi="Garamond" w:cs="Times New Roman"/>
                <w:b/>
                <w:sz w:val="20"/>
                <w:szCs w:val="20"/>
              </w:rPr>
              <w:t>Linha</w:t>
            </w:r>
            <w:proofErr w:type="spellEnd"/>
            <w:r w:rsidRPr="0033186A">
              <w:rPr>
                <w:rFonts w:ascii="Garamond" w:hAnsi="Garamond" w:cs="Times New Roman"/>
                <w:b/>
                <w:sz w:val="20"/>
                <w:szCs w:val="20"/>
              </w:rPr>
              <w:t xml:space="preserve"> de </w:t>
            </w:r>
            <w:r>
              <w:rPr>
                <w:rFonts w:ascii="Garamond" w:hAnsi="Garamond" w:cs="Times New Roman"/>
                <w:b/>
                <w:sz w:val="20"/>
                <w:szCs w:val="20"/>
              </w:rPr>
              <w:t>b</w:t>
            </w:r>
            <w:r w:rsidRPr="0033186A">
              <w:rPr>
                <w:rFonts w:ascii="Garamond" w:hAnsi="Garamond" w:cs="Times New Roman"/>
                <w:b/>
                <w:sz w:val="20"/>
                <w:szCs w:val="20"/>
              </w:rPr>
              <w:t>ase</w:t>
            </w:r>
          </w:p>
        </w:tc>
        <w:tc>
          <w:tcPr>
            <w:tcW w:w="896" w:type="dxa"/>
            <w:shd w:val="clear" w:color="auto" w:fill="DEEAF6" w:themeFill="accent5" w:themeFillTint="33"/>
            <w:vAlign w:val="center"/>
          </w:tcPr>
          <w:p w14:paraId="45A02CD9" w14:textId="77777777" w:rsidR="00F60553" w:rsidRPr="0033186A" w:rsidRDefault="00F60553" w:rsidP="003455F1">
            <w:pPr>
              <w:jc w:val="center"/>
              <w:rPr>
                <w:rFonts w:ascii="Garamond" w:hAnsi="Garamond" w:cs="Times New Roman"/>
                <w:b/>
                <w:sz w:val="20"/>
                <w:szCs w:val="20"/>
              </w:rPr>
            </w:pPr>
            <w:proofErr w:type="spellStart"/>
            <w:r w:rsidRPr="0033186A">
              <w:rPr>
                <w:rFonts w:ascii="Garamond" w:hAnsi="Garamond" w:cs="Times New Roman"/>
                <w:b/>
                <w:sz w:val="20"/>
                <w:szCs w:val="20"/>
              </w:rPr>
              <w:t>Ano</w:t>
            </w:r>
            <w:proofErr w:type="spellEnd"/>
          </w:p>
        </w:tc>
        <w:tc>
          <w:tcPr>
            <w:tcW w:w="1832" w:type="dxa"/>
            <w:shd w:val="clear" w:color="auto" w:fill="DEEAF6" w:themeFill="accent5" w:themeFillTint="33"/>
            <w:vAlign w:val="center"/>
          </w:tcPr>
          <w:p w14:paraId="2CE55B0C" w14:textId="77777777" w:rsidR="00F60553" w:rsidRPr="0033186A" w:rsidRDefault="00F60553" w:rsidP="003455F1">
            <w:pPr>
              <w:jc w:val="center"/>
              <w:rPr>
                <w:rFonts w:ascii="Garamond" w:hAnsi="Garamond" w:cs="Times New Roman"/>
                <w:b/>
                <w:sz w:val="20"/>
                <w:szCs w:val="20"/>
              </w:rPr>
            </w:pPr>
            <w:r w:rsidRPr="0033186A">
              <w:rPr>
                <w:rFonts w:ascii="Garamond" w:hAnsi="Garamond" w:cs="Times New Roman"/>
                <w:b/>
                <w:sz w:val="20"/>
                <w:szCs w:val="20"/>
              </w:rPr>
              <w:t xml:space="preserve">Fonte de </w:t>
            </w:r>
            <w:proofErr w:type="spellStart"/>
            <w:r>
              <w:rPr>
                <w:rFonts w:ascii="Garamond" w:hAnsi="Garamond" w:cs="Times New Roman"/>
                <w:b/>
                <w:sz w:val="20"/>
                <w:szCs w:val="20"/>
              </w:rPr>
              <w:t>v</w:t>
            </w:r>
            <w:r w:rsidRPr="0033186A">
              <w:rPr>
                <w:rFonts w:ascii="Garamond" w:hAnsi="Garamond" w:cs="Times New Roman"/>
                <w:b/>
                <w:sz w:val="20"/>
                <w:szCs w:val="20"/>
              </w:rPr>
              <w:t>erificação</w:t>
            </w:r>
            <w:proofErr w:type="spellEnd"/>
          </w:p>
        </w:tc>
      </w:tr>
      <w:tr w:rsidR="00F60553" w:rsidRPr="005808D4" w14:paraId="41BFF220" w14:textId="77777777" w:rsidTr="003455F1">
        <w:trPr>
          <w:jc w:val="center"/>
        </w:trPr>
        <w:tc>
          <w:tcPr>
            <w:tcW w:w="10349" w:type="dxa"/>
            <w:gridSpan w:val="5"/>
            <w:shd w:val="clear" w:color="auto" w:fill="BDD6EE" w:themeFill="accent5" w:themeFillTint="66"/>
            <w:vAlign w:val="center"/>
          </w:tcPr>
          <w:p w14:paraId="138DCB61"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1 - </w:t>
            </w:r>
            <w:r w:rsidRPr="00F60553">
              <w:rPr>
                <w:rFonts w:ascii="Garamond" w:hAnsi="Garamond"/>
                <w:b/>
                <w:sz w:val="20"/>
                <w:szCs w:val="20"/>
                <w:lang w:val="pt-PT"/>
              </w:rPr>
              <w:t>Empoderamento económico e igualdade no trabalho</w:t>
            </w:r>
          </w:p>
        </w:tc>
      </w:tr>
      <w:tr w:rsidR="00F60553" w:rsidRPr="005808D4" w14:paraId="17C95FFA" w14:textId="77777777" w:rsidTr="00F60553">
        <w:trPr>
          <w:jc w:val="center"/>
        </w:trPr>
        <w:tc>
          <w:tcPr>
            <w:tcW w:w="1637" w:type="dxa"/>
            <w:vMerge w:val="restart"/>
          </w:tcPr>
          <w:p w14:paraId="7BB87DB4" w14:textId="77777777" w:rsidR="00F60553" w:rsidRPr="00F60553" w:rsidRDefault="00F60553" w:rsidP="003455F1">
            <w:pPr>
              <w:shd w:val="clear" w:color="auto" w:fill="FFFFFF" w:themeFill="background1"/>
              <w:rPr>
                <w:rFonts w:ascii="Garamond" w:hAnsi="Garamond"/>
                <w:bCs/>
                <w:sz w:val="20"/>
                <w:szCs w:val="20"/>
                <w:lang w:val="pt-PT"/>
              </w:rPr>
            </w:pPr>
            <w:r w:rsidRPr="00F60553">
              <w:rPr>
                <w:rFonts w:ascii="Garamond" w:hAnsi="Garamond"/>
                <w:bCs/>
                <w:sz w:val="20"/>
                <w:szCs w:val="20"/>
                <w:lang w:val="pt-PT"/>
              </w:rPr>
              <w:t xml:space="preserve">Promover um melhor acesso das mulheres a recursos e oportunidades económicas e a sua melhor inserção no mercado de trabalho, tendo em conta as dimensões regionais e os grupos mais pobres </w:t>
            </w:r>
          </w:p>
        </w:tc>
        <w:tc>
          <w:tcPr>
            <w:tcW w:w="2652" w:type="dxa"/>
            <w:vAlign w:val="center"/>
          </w:tcPr>
          <w:p w14:paraId="6FBB588D"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1a Taxa de inactividade e motivo da </w:t>
            </w:r>
            <w:proofErr w:type="spellStart"/>
            <w:r w:rsidRPr="00F60553">
              <w:rPr>
                <w:rFonts w:ascii="Garamond" w:hAnsi="Garamond" w:cs="Times New Roman"/>
                <w:bCs/>
                <w:sz w:val="20"/>
                <w:szCs w:val="20"/>
                <w:lang w:val="pt-PT"/>
              </w:rPr>
              <w:t>inatividade</w:t>
            </w:r>
            <w:proofErr w:type="spellEnd"/>
          </w:p>
          <w:p w14:paraId="0141044D" w14:textId="77777777" w:rsidR="00F60553" w:rsidRPr="00F60553" w:rsidRDefault="00F60553" w:rsidP="003455F1">
            <w:pPr>
              <w:rPr>
                <w:rFonts w:ascii="Garamond" w:hAnsi="Garamond" w:cs="Times New Roman"/>
                <w:bCs/>
                <w:sz w:val="20"/>
                <w:szCs w:val="20"/>
                <w:lang w:val="pt-PT"/>
              </w:rPr>
            </w:pPr>
          </w:p>
        </w:tc>
        <w:tc>
          <w:tcPr>
            <w:tcW w:w="3332" w:type="dxa"/>
            <w:vAlign w:val="center"/>
          </w:tcPr>
          <w:p w14:paraId="364EA0D1"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
                <w:sz w:val="20"/>
                <w:szCs w:val="20"/>
                <w:u w:val="single"/>
                <w:lang w:val="pt-PT"/>
              </w:rPr>
              <w:t>15 ou + anos</w:t>
            </w:r>
            <w:r w:rsidRPr="00F60553">
              <w:rPr>
                <w:rFonts w:ascii="Garamond" w:hAnsi="Garamond" w:cs="Times New Roman"/>
                <w:bCs/>
                <w:sz w:val="20"/>
                <w:szCs w:val="20"/>
                <w:u w:val="single"/>
                <w:lang w:val="pt-PT"/>
              </w:rPr>
              <w:t xml:space="preserve">: </w:t>
            </w:r>
            <w:r w:rsidRPr="00F60553">
              <w:rPr>
                <w:rFonts w:ascii="Garamond" w:hAnsi="Garamond" w:cs="Times New Roman"/>
                <w:bCs/>
                <w:sz w:val="20"/>
                <w:szCs w:val="20"/>
                <w:lang w:val="pt-PT"/>
              </w:rPr>
              <w:t>M 51,3% - H 37,5%</w:t>
            </w:r>
          </w:p>
          <w:p w14:paraId="017C372A" w14:textId="77777777" w:rsidR="00F60553" w:rsidRPr="00F60553" w:rsidRDefault="00F60553" w:rsidP="003455F1">
            <w:pPr>
              <w:jc w:val="both"/>
              <w:rPr>
                <w:rFonts w:ascii="Garamond" w:hAnsi="Garamond"/>
                <w:sz w:val="20"/>
                <w:szCs w:val="20"/>
                <w:lang w:val="pt-PT"/>
              </w:rPr>
            </w:pPr>
            <w:r w:rsidRPr="00F60553">
              <w:rPr>
                <w:rFonts w:ascii="Garamond" w:hAnsi="Garamond" w:cs="Times New Roman"/>
                <w:b/>
                <w:sz w:val="20"/>
                <w:szCs w:val="20"/>
                <w:u w:val="single"/>
                <w:lang w:val="pt-PT"/>
              </w:rPr>
              <w:t>Rural</w:t>
            </w:r>
            <w:r w:rsidRPr="00F60553">
              <w:rPr>
                <w:rFonts w:ascii="Garamond" w:hAnsi="Garamond" w:cs="Times New Roman"/>
                <w:b/>
                <w:sz w:val="20"/>
                <w:szCs w:val="20"/>
                <w:lang w:val="pt-PT"/>
              </w:rPr>
              <w:t xml:space="preserve">: </w:t>
            </w:r>
            <w:r w:rsidRPr="00F60553">
              <w:rPr>
                <w:rFonts w:ascii="Garamond" w:hAnsi="Garamond" w:cs="Times New Roman"/>
                <w:bCs/>
                <w:sz w:val="20"/>
                <w:szCs w:val="20"/>
                <w:lang w:val="pt-PT"/>
              </w:rPr>
              <w:t xml:space="preserve">M </w:t>
            </w:r>
            <w:r w:rsidRPr="00F60553">
              <w:rPr>
                <w:rFonts w:ascii="Garamond" w:hAnsi="Garamond"/>
                <w:sz w:val="20"/>
                <w:szCs w:val="20"/>
                <w:lang w:val="pt-PT"/>
              </w:rPr>
              <w:t xml:space="preserve">63,9% - </w:t>
            </w:r>
            <w:r w:rsidRPr="00F60553">
              <w:rPr>
                <w:rFonts w:ascii="Garamond" w:hAnsi="Garamond" w:cs="Times New Roman"/>
                <w:bCs/>
                <w:sz w:val="20"/>
                <w:szCs w:val="20"/>
                <w:lang w:val="pt-PT"/>
              </w:rPr>
              <w:t>H</w:t>
            </w:r>
            <w:r w:rsidRPr="00F60553">
              <w:rPr>
                <w:rFonts w:ascii="Garamond" w:hAnsi="Garamond"/>
                <w:sz w:val="20"/>
                <w:szCs w:val="20"/>
                <w:lang w:val="pt-PT"/>
              </w:rPr>
              <w:t xml:space="preserve"> 44,5%</w:t>
            </w:r>
          </w:p>
          <w:p w14:paraId="155CFEE8" w14:textId="77777777" w:rsidR="00F60553" w:rsidRPr="00F60553" w:rsidRDefault="00F60553" w:rsidP="003455F1">
            <w:pPr>
              <w:jc w:val="both"/>
              <w:rPr>
                <w:rFonts w:ascii="Garamond" w:hAnsi="Garamond"/>
                <w:sz w:val="20"/>
                <w:szCs w:val="20"/>
                <w:lang w:val="pt-PT"/>
              </w:rPr>
            </w:pPr>
            <w:r w:rsidRPr="00F60553">
              <w:rPr>
                <w:rFonts w:ascii="Garamond" w:hAnsi="Garamond" w:cs="Times New Roman"/>
                <w:b/>
                <w:sz w:val="20"/>
                <w:szCs w:val="20"/>
                <w:u w:val="single"/>
                <w:lang w:val="pt-PT"/>
              </w:rPr>
              <w:t>Urbano</w:t>
            </w:r>
            <w:r w:rsidRPr="00F60553">
              <w:rPr>
                <w:rFonts w:ascii="Garamond" w:hAnsi="Garamond" w:cs="Times New Roman"/>
                <w:b/>
                <w:sz w:val="20"/>
                <w:szCs w:val="20"/>
                <w:lang w:val="pt-PT"/>
              </w:rPr>
              <w:t xml:space="preserve">: </w:t>
            </w:r>
            <w:r w:rsidRPr="00F60553">
              <w:rPr>
                <w:rFonts w:ascii="Garamond" w:hAnsi="Garamond" w:cs="Times New Roman"/>
                <w:bCs/>
                <w:sz w:val="20"/>
                <w:szCs w:val="20"/>
                <w:lang w:val="pt-PT"/>
              </w:rPr>
              <w:t>M</w:t>
            </w:r>
            <w:r w:rsidRPr="00F60553">
              <w:rPr>
                <w:rFonts w:ascii="Garamond" w:hAnsi="Garamond"/>
                <w:sz w:val="20"/>
                <w:szCs w:val="20"/>
                <w:lang w:val="pt-PT"/>
              </w:rPr>
              <w:t xml:space="preserve"> 45,4% - </w:t>
            </w:r>
            <w:r w:rsidRPr="00F60553">
              <w:rPr>
                <w:rFonts w:ascii="Garamond" w:hAnsi="Garamond" w:cs="Times New Roman"/>
                <w:bCs/>
                <w:sz w:val="20"/>
                <w:szCs w:val="20"/>
                <w:lang w:val="pt-PT"/>
              </w:rPr>
              <w:t xml:space="preserve">H </w:t>
            </w:r>
            <w:r w:rsidRPr="00F60553">
              <w:rPr>
                <w:rFonts w:ascii="Garamond" w:hAnsi="Garamond"/>
                <w:sz w:val="20"/>
                <w:szCs w:val="20"/>
                <w:lang w:val="pt-PT"/>
              </w:rPr>
              <w:t>34,2%</w:t>
            </w:r>
          </w:p>
          <w:p w14:paraId="2BABCA0C" w14:textId="77777777" w:rsidR="00F60553" w:rsidRPr="00F60553" w:rsidRDefault="00F60553" w:rsidP="003455F1">
            <w:pPr>
              <w:jc w:val="both"/>
              <w:rPr>
                <w:rFonts w:ascii="Garamond" w:hAnsi="Garamond" w:cs="Times New Roman"/>
                <w:bCs/>
                <w:sz w:val="20"/>
                <w:szCs w:val="20"/>
                <w:lang w:val="pt-PT"/>
              </w:rPr>
            </w:pPr>
            <w:proofErr w:type="spellStart"/>
            <w:r w:rsidRPr="00F60553">
              <w:rPr>
                <w:rFonts w:ascii="Garamond" w:hAnsi="Garamond"/>
                <w:b/>
                <w:sz w:val="20"/>
                <w:szCs w:val="20"/>
                <w:u w:val="single"/>
                <w:lang w:val="pt-PT"/>
              </w:rPr>
              <w:t>Respons</w:t>
            </w:r>
            <w:proofErr w:type="spellEnd"/>
            <w:r w:rsidRPr="00F60553">
              <w:rPr>
                <w:rFonts w:ascii="Garamond" w:hAnsi="Garamond"/>
                <w:b/>
                <w:sz w:val="20"/>
                <w:szCs w:val="20"/>
                <w:u w:val="single"/>
                <w:lang w:val="pt-PT"/>
              </w:rPr>
              <w:t>. familiares</w:t>
            </w:r>
            <w:r w:rsidRPr="00F60553">
              <w:rPr>
                <w:rFonts w:ascii="Garamond" w:hAnsi="Garamond"/>
                <w:bCs/>
                <w:sz w:val="20"/>
                <w:szCs w:val="20"/>
                <w:lang w:val="pt-PT"/>
              </w:rPr>
              <w:t xml:space="preserve">: </w:t>
            </w:r>
            <w:r w:rsidRPr="00F60553">
              <w:rPr>
                <w:rFonts w:ascii="Garamond" w:hAnsi="Garamond" w:cs="Times New Roman"/>
                <w:bCs/>
                <w:sz w:val="20"/>
                <w:szCs w:val="20"/>
                <w:lang w:val="pt-PT"/>
              </w:rPr>
              <w:t>M</w:t>
            </w:r>
            <w:r w:rsidRPr="00F60553">
              <w:rPr>
                <w:rFonts w:ascii="Garamond" w:hAnsi="Garamond"/>
                <w:sz w:val="20"/>
                <w:szCs w:val="20"/>
                <w:lang w:val="pt-PT"/>
              </w:rPr>
              <w:t xml:space="preserve"> 17,7%-</w:t>
            </w:r>
            <w:r w:rsidRPr="00F60553">
              <w:rPr>
                <w:rFonts w:ascii="Garamond" w:hAnsi="Garamond" w:cs="Times New Roman"/>
                <w:bCs/>
                <w:sz w:val="20"/>
                <w:szCs w:val="20"/>
                <w:lang w:val="pt-PT"/>
              </w:rPr>
              <w:t>H 2</w:t>
            </w:r>
            <w:r w:rsidRPr="00F60553">
              <w:rPr>
                <w:rFonts w:ascii="Garamond" w:hAnsi="Garamond"/>
                <w:sz w:val="20"/>
                <w:szCs w:val="20"/>
                <w:lang w:val="pt-PT"/>
              </w:rPr>
              <w:t>,1%</w:t>
            </w:r>
          </w:p>
        </w:tc>
        <w:tc>
          <w:tcPr>
            <w:tcW w:w="896" w:type="dxa"/>
            <w:vAlign w:val="center"/>
          </w:tcPr>
          <w:p w14:paraId="78730370"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2018</w:t>
            </w:r>
          </w:p>
        </w:tc>
        <w:tc>
          <w:tcPr>
            <w:tcW w:w="1832" w:type="dxa"/>
            <w:vAlign w:val="center"/>
          </w:tcPr>
          <w:p w14:paraId="6F57D669"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INE, IMC - Estatísticas do Mercado de Trabalho</w:t>
            </w:r>
          </w:p>
        </w:tc>
      </w:tr>
      <w:tr w:rsidR="00F60553" w:rsidRPr="005808D4" w14:paraId="4A78F669" w14:textId="77777777" w:rsidTr="00F60553">
        <w:trPr>
          <w:jc w:val="center"/>
        </w:trPr>
        <w:tc>
          <w:tcPr>
            <w:tcW w:w="1637" w:type="dxa"/>
            <w:vMerge/>
            <w:vAlign w:val="center"/>
          </w:tcPr>
          <w:p w14:paraId="2373A79B"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26F1981D"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1b Taxa de desemprego </w:t>
            </w:r>
            <w:proofErr w:type="gramStart"/>
            <w:r w:rsidRPr="00F60553">
              <w:rPr>
                <w:rFonts w:ascii="Garamond" w:hAnsi="Garamond" w:cs="Times New Roman"/>
                <w:bCs/>
                <w:sz w:val="20"/>
                <w:szCs w:val="20"/>
                <w:lang w:val="pt-PT"/>
              </w:rPr>
              <w:t xml:space="preserve">   (</w:t>
            </w:r>
            <w:proofErr w:type="spellStart"/>
            <w:proofErr w:type="gramEnd"/>
            <w:r w:rsidRPr="00F60553">
              <w:rPr>
                <w:rFonts w:ascii="Garamond" w:hAnsi="Garamond" w:cs="Times New Roman"/>
                <w:bCs/>
                <w:sz w:val="20"/>
                <w:szCs w:val="20"/>
                <w:lang w:val="pt-PT"/>
              </w:rPr>
              <w:t>ODS</w:t>
            </w:r>
            <w:proofErr w:type="spellEnd"/>
            <w:r w:rsidRPr="00F60553">
              <w:rPr>
                <w:rFonts w:ascii="Garamond" w:hAnsi="Garamond" w:cs="Times New Roman"/>
                <w:bCs/>
                <w:sz w:val="20"/>
                <w:szCs w:val="20"/>
                <w:lang w:val="pt-PT"/>
              </w:rPr>
              <w:t xml:space="preserve"> 8)</w:t>
            </w:r>
          </w:p>
        </w:tc>
        <w:tc>
          <w:tcPr>
            <w:tcW w:w="3332" w:type="dxa"/>
            <w:vAlign w:val="center"/>
          </w:tcPr>
          <w:p w14:paraId="1D6549DC" w14:textId="77777777" w:rsidR="00F60553" w:rsidRPr="00F60553" w:rsidRDefault="00F60553" w:rsidP="003455F1">
            <w:pPr>
              <w:jc w:val="both"/>
              <w:rPr>
                <w:rFonts w:ascii="Garamond" w:hAnsi="Garamond" w:cs="Times New Roman"/>
                <w:b/>
                <w:sz w:val="20"/>
                <w:szCs w:val="20"/>
                <w:u w:val="single"/>
                <w:lang w:val="pt-PT"/>
              </w:rPr>
            </w:pPr>
            <w:r w:rsidRPr="00F60553">
              <w:rPr>
                <w:rFonts w:ascii="Garamond" w:hAnsi="Garamond" w:cs="Times New Roman"/>
                <w:b/>
                <w:sz w:val="20"/>
                <w:szCs w:val="20"/>
                <w:u w:val="single"/>
                <w:lang w:val="pt-PT"/>
              </w:rPr>
              <w:t>Rural:</w:t>
            </w:r>
          </w:p>
          <w:p w14:paraId="51CF2EAC" w14:textId="77777777" w:rsidR="00F60553" w:rsidRPr="00F60553" w:rsidRDefault="00F60553" w:rsidP="003455F1">
            <w:pPr>
              <w:rPr>
                <w:rFonts w:ascii="Garamond" w:hAnsi="Garamond"/>
                <w:sz w:val="20"/>
                <w:szCs w:val="20"/>
                <w:lang w:val="pt-PT"/>
              </w:rPr>
            </w:pPr>
            <w:r w:rsidRPr="00F60553">
              <w:rPr>
                <w:rFonts w:ascii="Garamond" w:hAnsi="Garamond" w:cs="Times New Roman"/>
                <w:bCs/>
                <w:sz w:val="20"/>
                <w:szCs w:val="20"/>
                <w:lang w:val="pt-PT"/>
              </w:rPr>
              <w:t xml:space="preserve">Mulheres: </w:t>
            </w:r>
            <w:r w:rsidRPr="00F60553">
              <w:rPr>
                <w:rFonts w:ascii="Garamond" w:hAnsi="Garamond"/>
                <w:sz w:val="20"/>
                <w:szCs w:val="20"/>
                <w:lang w:val="pt-PT"/>
              </w:rPr>
              <w:t xml:space="preserve">14,1% - </w:t>
            </w:r>
            <w:r w:rsidRPr="00F60553">
              <w:rPr>
                <w:rFonts w:ascii="Garamond" w:hAnsi="Garamond" w:cs="Times New Roman"/>
                <w:bCs/>
                <w:sz w:val="20"/>
                <w:szCs w:val="20"/>
                <w:lang w:val="pt-PT"/>
              </w:rPr>
              <w:t>Homens:</w:t>
            </w:r>
            <w:r w:rsidRPr="00F60553">
              <w:rPr>
                <w:rFonts w:ascii="Garamond" w:hAnsi="Garamond"/>
                <w:sz w:val="20"/>
                <w:szCs w:val="20"/>
                <w:lang w:val="pt-PT"/>
              </w:rPr>
              <w:t xml:space="preserve"> 9,8%</w:t>
            </w:r>
          </w:p>
          <w:p w14:paraId="143E6DB4" w14:textId="77777777" w:rsidR="00F60553" w:rsidRPr="00F60553" w:rsidRDefault="00F60553" w:rsidP="003455F1">
            <w:pPr>
              <w:jc w:val="both"/>
              <w:rPr>
                <w:rFonts w:ascii="Garamond" w:hAnsi="Garamond" w:cs="Times New Roman"/>
                <w:b/>
                <w:sz w:val="20"/>
                <w:szCs w:val="20"/>
                <w:u w:val="single"/>
                <w:lang w:val="pt-PT"/>
              </w:rPr>
            </w:pPr>
            <w:r w:rsidRPr="00F60553">
              <w:rPr>
                <w:rFonts w:ascii="Garamond" w:hAnsi="Garamond" w:cs="Times New Roman"/>
                <w:b/>
                <w:sz w:val="20"/>
                <w:szCs w:val="20"/>
                <w:u w:val="single"/>
                <w:lang w:val="pt-PT"/>
              </w:rPr>
              <w:t>Urbano:</w:t>
            </w:r>
          </w:p>
          <w:p w14:paraId="3A03577A" w14:textId="77777777" w:rsidR="00F60553" w:rsidRPr="00F60553" w:rsidRDefault="00F60553" w:rsidP="003455F1">
            <w:pPr>
              <w:rPr>
                <w:rFonts w:ascii="Garamond" w:hAnsi="Garamond"/>
                <w:sz w:val="20"/>
                <w:szCs w:val="20"/>
                <w:lang w:val="pt-PT"/>
              </w:rPr>
            </w:pPr>
            <w:r w:rsidRPr="00F60553">
              <w:rPr>
                <w:rFonts w:ascii="Garamond" w:hAnsi="Garamond" w:cs="Times New Roman"/>
                <w:bCs/>
                <w:sz w:val="20"/>
                <w:szCs w:val="20"/>
                <w:lang w:val="pt-PT"/>
              </w:rPr>
              <w:t>Mulheres:</w:t>
            </w:r>
            <w:r w:rsidRPr="00F60553">
              <w:rPr>
                <w:rFonts w:ascii="Garamond" w:hAnsi="Garamond"/>
                <w:sz w:val="20"/>
                <w:szCs w:val="20"/>
                <w:lang w:val="pt-PT"/>
              </w:rPr>
              <w:t xml:space="preserve"> 10,8% - </w:t>
            </w:r>
            <w:r w:rsidRPr="00F60553">
              <w:rPr>
                <w:rFonts w:ascii="Garamond" w:hAnsi="Garamond" w:cs="Times New Roman"/>
                <w:bCs/>
                <w:sz w:val="20"/>
                <w:szCs w:val="20"/>
                <w:lang w:val="pt-PT"/>
              </w:rPr>
              <w:t>Homens:</w:t>
            </w:r>
            <w:r w:rsidRPr="00F60553">
              <w:rPr>
                <w:rFonts w:ascii="Garamond" w:hAnsi="Garamond"/>
                <w:sz w:val="20"/>
                <w:szCs w:val="20"/>
                <w:lang w:val="pt-PT"/>
              </w:rPr>
              <w:t xml:space="preserve"> 13,8%</w:t>
            </w:r>
          </w:p>
          <w:p w14:paraId="2D3FA8EE" w14:textId="77777777" w:rsidR="00F60553" w:rsidRPr="00B34380" w:rsidRDefault="00F60553" w:rsidP="003455F1">
            <w:pPr>
              <w:jc w:val="both"/>
              <w:rPr>
                <w:rFonts w:ascii="Garamond" w:hAnsi="Garamond" w:cs="Times New Roman"/>
                <w:b/>
                <w:sz w:val="20"/>
                <w:szCs w:val="20"/>
                <w:u w:val="single"/>
              </w:rPr>
            </w:pPr>
            <w:r>
              <w:rPr>
                <w:rFonts w:ascii="Garamond" w:hAnsi="Garamond" w:cs="Times New Roman"/>
                <w:b/>
                <w:sz w:val="20"/>
                <w:szCs w:val="20"/>
                <w:u w:val="single"/>
              </w:rPr>
              <w:t xml:space="preserve">15-24 </w:t>
            </w:r>
            <w:proofErr w:type="spellStart"/>
            <w:r>
              <w:rPr>
                <w:rFonts w:ascii="Garamond" w:hAnsi="Garamond" w:cs="Times New Roman"/>
                <w:b/>
                <w:sz w:val="20"/>
                <w:szCs w:val="20"/>
                <w:u w:val="single"/>
              </w:rPr>
              <w:t>anos</w:t>
            </w:r>
            <w:proofErr w:type="spellEnd"/>
            <w:r w:rsidRPr="00B34380">
              <w:rPr>
                <w:rFonts w:ascii="Garamond" w:hAnsi="Garamond" w:cs="Times New Roman"/>
                <w:b/>
                <w:sz w:val="20"/>
                <w:szCs w:val="20"/>
                <w:u w:val="single"/>
              </w:rPr>
              <w:t>:</w:t>
            </w:r>
          </w:p>
          <w:p w14:paraId="7E40827B" w14:textId="77777777" w:rsidR="00F60553" w:rsidRPr="00B94D62" w:rsidRDefault="00F60553" w:rsidP="003455F1">
            <w:pPr>
              <w:rPr>
                <w:rFonts w:ascii="Garamond" w:hAnsi="Garamond"/>
                <w:sz w:val="20"/>
                <w:szCs w:val="20"/>
              </w:rPr>
            </w:pPr>
            <w:proofErr w:type="spellStart"/>
            <w:r>
              <w:rPr>
                <w:rFonts w:ascii="Garamond" w:hAnsi="Garamond" w:cs="Times New Roman"/>
                <w:bCs/>
                <w:sz w:val="20"/>
                <w:szCs w:val="20"/>
              </w:rPr>
              <w:t>Mulheres</w:t>
            </w:r>
            <w:proofErr w:type="spellEnd"/>
            <w:r>
              <w:rPr>
                <w:rFonts w:ascii="Garamond" w:hAnsi="Garamond" w:cs="Times New Roman"/>
                <w:bCs/>
                <w:sz w:val="20"/>
                <w:szCs w:val="20"/>
              </w:rPr>
              <w:t xml:space="preserve">: </w:t>
            </w:r>
            <w:r w:rsidRPr="009E777B">
              <w:rPr>
                <w:rFonts w:ascii="Garamond" w:hAnsi="Garamond"/>
                <w:sz w:val="20"/>
                <w:szCs w:val="20"/>
              </w:rPr>
              <w:t>31,9</w:t>
            </w:r>
            <w:r>
              <w:rPr>
                <w:rFonts w:ascii="Garamond" w:hAnsi="Garamond"/>
                <w:sz w:val="20"/>
                <w:szCs w:val="20"/>
              </w:rPr>
              <w:t xml:space="preserve">% - </w:t>
            </w:r>
            <w:proofErr w:type="spellStart"/>
            <w:r>
              <w:rPr>
                <w:rFonts w:ascii="Garamond" w:hAnsi="Garamond" w:cs="Times New Roman"/>
                <w:bCs/>
                <w:sz w:val="20"/>
                <w:szCs w:val="20"/>
              </w:rPr>
              <w:t>Homens</w:t>
            </w:r>
            <w:proofErr w:type="spellEnd"/>
            <w:r>
              <w:rPr>
                <w:rFonts w:ascii="Garamond" w:hAnsi="Garamond" w:cs="Times New Roman"/>
                <w:bCs/>
                <w:sz w:val="20"/>
                <w:szCs w:val="20"/>
              </w:rPr>
              <w:t>:</w:t>
            </w:r>
            <w:r w:rsidRPr="009E777B">
              <w:rPr>
                <w:rFonts w:ascii="Garamond" w:hAnsi="Garamond"/>
                <w:sz w:val="20"/>
                <w:szCs w:val="20"/>
              </w:rPr>
              <w:t xml:space="preserve"> 24,6 </w:t>
            </w:r>
            <w:r>
              <w:rPr>
                <w:rFonts w:ascii="Garamond" w:hAnsi="Garamond"/>
                <w:sz w:val="20"/>
                <w:szCs w:val="20"/>
              </w:rPr>
              <w:t>%</w:t>
            </w:r>
          </w:p>
        </w:tc>
        <w:tc>
          <w:tcPr>
            <w:tcW w:w="896" w:type="dxa"/>
            <w:vAlign w:val="center"/>
          </w:tcPr>
          <w:p w14:paraId="0BDAA897"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2018</w:t>
            </w:r>
          </w:p>
        </w:tc>
        <w:tc>
          <w:tcPr>
            <w:tcW w:w="1832" w:type="dxa"/>
            <w:vAlign w:val="center"/>
          </w:tcPr>
          <w:p w14:paraId="5E825EBA"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INE, IMC - Estatísticas do Mercado de Trabalho</w:t>
            </w:r>
          </w:p>
        </w:tc>
      </w:tr>
      <w:tr w:rsidR="00F60553" w:rsidRPr="005808D4" w14:paraId="00AEDFD7" w14:textId="77777777" w:rsidTr="00F60553">
        <w:trPr>
          <w:jc w:val="center"/>
        </w:trPr>
        <w:tc>
          <w:tcPr>
            <w:tcW w:w="1637" w:type="dxa"/>
            <w:vMerge/>
            <w:vAlign w:val="center"/>
          </w:tcPr>
          <w:p w14:paraId="1D92091E"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067477C1"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1c População empregada por ramo de actividade (%)</w:t>
            </w:r>
          </w:p>
        </w:tc>
        <w:tc>
          <w:tcPr>
            <w:tcW w:w="3332" w:type="dxa"/>
            <w:vAlign w:val="center"/>
          </w:tcPr>
          <w:p w14:paraId="3D22CEE7" w14:textId="77777777" w:rsidR="00F60553" w:rsidRPr="00F60553" w:rsidRDefault="00F60553" w:rsidP="003455F1">
            <w:pPr>
              <w:jc w:val="both"/>
              <w:rPr>
                <w:rFonts w:ascii="Garamond" w:hAnsi="Garamond" w:cs="Times New Roman"/>
                <w:b/>
                <w:sz w:val="20"/>
                <w:szCs w:val="20"/>
                <w:u w:val="single"/>
                <w:lang w:val="pt-PT"/>
              </w:rPr>
            </w:pPr>
            <w:r w:rsidRPr="00F60553">
              <w:rPr>
                <w:rFonts w:ascii="Garamond" w:hAnsi="Garamond" w:cs="Times New Roman"/>
                <w:b/>
                <w:sz w:val="20"/>
                <w:szCs w:val="20"/>
                <w:u w:val="single"/>
                <w:lang w:val="pt-PT"/>
              </w:rPr>
              <w:t>Comércio:</w:t>
            </w:r>
          </w:p>
          <w:p w14:paraId="7B6838B3" w14:textId="77777777" w:rsidR="00F60553" w:rsidRPr="00F60553" w:rsidRDefault="00F60553" w:rsidP="003455F1">
            <w:pPr>
              <w:rPr>
                <w:rFonts w:ascii="Garamond" w:hAnsi="Garamond"/>
                <w:sz w:val="20"/>
                <w:szCs w:val="20"/>
                <w:lang w:val="pt-PT"/>
              </w:rPr>
            </w:pPr>
            <w:r w:rsidRPr="00F60553">
              <w:rPr>
                <w:rFonts w:ascii="Garamond" w:hAnsi="Garamond" w:cs="Times New Roman"/>
                <w:bCs/>
                <w:sz w:val="20"/>
                <w:szCs w:val="20"/>
                <w:lang w:val="pt-PT"/>
              </w:rPr>
              <w:t>Mulheres:</w:t>
            </w:r>
            <w:r w:rsidRPr="00F60553">
              <w:rPr>
                <w:rFonts w:ascii="Garamond" w:hAnsi="Garamond"/>
                <w:sz w:val="20"/>
                <w:szCs w:val="20"/>
                <w:lang w:val="pt-PT"/>
              </w:rPr>
              <w:t xml:space="preserve"> 23,4% - </w:t>
            </w:r>
            <w:r w:rsidRPr="00F60553">
              <w:rPr>
                <w:rFonts w:ascii="Garamond" w:hAnsi="Garamond" w:cs="Times New Roman"/>
                <w:bCs/>
                <w:sz w:val="20"/>
                <w:szCs w:val="20"/>
                <w:lang w:val="pt-PT"/>
              </w:rPr>
              <w:t>Homens:</w:t>
            </w:r>
            <w:r w:rsidRPr="00F60553">
              <w:rPr>
                <w:rFonts w:ascii="Garamond" w:hAnsi="Garamond"/>
                <w:sz w:val="20"/>
                <w:szCs w:val="20"/>
                <w:lang w:val="pt-PT"/>
              </w:rPr>
              <w:t xml:space="preserve"> 11,4%</w:t>
            </w:r>
          </w:p>
          <w:p w14:paraId="6854217D" w14:textId="77777777" w:rsidR="00F60553" w:rsidRPr="00F60553" w:rsidRDefault="00F60553" w:rsidP="003455F1">
            <w:pPr>
              <w:jc w:val="both"/>
              <w:rPr>
                <w:rFonts w:ascii="Garamond" w:hAnsi="Garamond" w:cs="Times New Roman"/>
                <w:b/>
                <w:sz w:val="20"/>
                <w:szCs w:val="20"/>
                <w:u w:val="single"/>
                <w:lang w:val="pt-PT"/>
              </w:rPr>
            </w:pPr>
            <w:r w:rsidRPr="00F60553">
              <w:rPr>
                <w:rFonts w:ascii="Garamond" w:hAnsi="Garamond" w:cs="Times New Roman"/>
                <w:b/>
                <w:sz w:val="20"/>
                <w:szCs w:val="20"/>
                <w:u w:val="single"/>
                <w:lang w:val="pt-PT"/>
              </w:rPr>
              <w:t>Emprego doméstico:</w:t>
            </w:r>
          </w:p>
          <w:p w14:paraId="7E9598FD" w14:textId="77777777" w:rsidR="00F60553" w:rsidRPr="00F60553" w:rsidRDefault="00F60553" w:rsidP="003455F1">
            <w:pPr>
              <w:rPr>
                <w:rFonts w:ascii="Garamond" w:hAnsi="Garamond"/>
                <w:sz w:val="20"/>
                <w:szCs w:val="20"/>
                <w:lang w:val="pt-PT"/>
              </w:rPr>
            </w:pPr>
            <w:r w:rsidRPr="00F60553">
              <w:rPr>
                <w:rFonts w:ascii="Garamond" w:hAnsi="Garamond" w:cs="Times New Roman"/>
                <w:bCs/>
                <w:sz w:val="20"/>
                <w:szCs w:val="20"/>
                <w:lang w:val="pt-PT"/>
              </w:rPr>
              <w:t xml:space="preserve">Mulheres: </w:t>
            </w:r>
            <w:r w:rsidRPr="00F60553">
              <w:rPr>
                <w:rFonts w:ascii="Garamond" w:hAnsi="Garamond"/>
                <w:sz w:val="20"/>
                <w:szCs w:val="20"/>
                <w:lang w:val="pt-PT"/>
              </w:rPr>
              <w:t xml:space="preserve">12,7% - </w:t>
            </w:r>
            <w:r w:rsidRPr="00F60553">
              <w:rPr>
                <w:rFonts w:ascii="Garamond" w:hAnsi="Garamond" w:cs="Times New Roman"/>
                <w:bCs/>
                <w:sz w:val="20"/>
                <w:szCs w:val="20"/>
                <w:lang w:val="pt-PT"/>
              </w:rPr>
              <w:t>Homens:</w:t>
            </w:r>
            <w:r w:rsidRPr="00F60553">
              <w:rPr>
                <w:rFonts w:ascii="Garamond" w:hAnsi="Garamond"/>
                <w:sz w:val="20"/>
                <w:szCs w:val="20"/>
                <w:lang w:val="pt-PT"/>
              </w:rPr>
              <w:t xml:space="preserve"> 0,5%</w:t>
            </w:r>
          </w:p>
          <w:p w14:paraId="4C1B2748" w14:textId="77777777" w:rsidR="00F60553" w:rsidRPr="00F60553" w:rsidRDefault="00F60553" w:rsidP="003455F1">
            <w:pPr>
              <w:jc w:val="both"/>
              <w:rPr>
                <w:rFonts w:ascii="Garamond" w:hAnsi="Garamond" w:cs="Times New Roman"/>
                <w:b/>
                <w:sz w:val="20"/>
                <w:szCs w:val="20"/>
                <w:u w:val="single"/>
                <w:lang w:val="pt-PT"/>
              </w:rPr>
            </w:pPr>
            <w:r w:rsidRPr="00F60553">
              <w:rPr>
                <w:rFonts w:ascii="Garamond" w:hAnsi="Garamond" w:cs="Times New Roman"/>
                <w:b/>
                <w:sz w:val="20"/>
                <w:szCs w:val="20"/>
                <w:u w:val="single"/>
                <w:lang w:val="pt-PT"/>
              </w:rPr>
              <w:t>Agricultura (sentido lato):</w:t>
            </w:r>
          </w:p>
          <w:p w14:paraId="48BEDB49" w14:textId="77777777" w:rsidR="00F60553" w:rsidRPr="008718FC" w:rsidRDefault="00F60553" w:rsidP="003455F1">
            <w:pPr>
              <w:rPr>
                <w:rFonts w:ascii="Garamond" w:hAnsi="Garamond"/>
                <w:sz w:val="20"/>
                <w:szCs w:val="20"/>
              </w:rPr>
            </w:pPr>
            <w:proofErr w:type="spellStart"/>
            <w:r>
              <w:rPr>
                <w:rFonts w:ascii="Garamond" w:hAnsi="Garamond" w:cs="Times New Roman"/>
                <w:bCs/>
                <w:sz w:val="20"/>
                <w:szCs w:val="20"/>
              </w:rPr>
              <w:t>Mulheres</w:t>
            </w:r>
            <w:proofErr w:type="spellEnd"/>
            <w:r>
              <w:rPr>
                <w:rFonts w:ascii="Garamond" w:hAnsi="Garamond" w:cs="Times New Roman"/>
                <w:bCs/>
                <w:sz w:val="20"/>
                <w:szCs w:val="20"/>
              </w:rPr>
              <w:t>: 6,5%</w:t>
            </w:r>
            <w:r>
              <w:rPr>
                <w:rFonts w:ascii="Garamond" w:hAnsi="Garamond"/>
                <w:sz w:val="20"/>
                <w:szCs w:val="20"/>
              </w:rPr>
              <w:t xml:space="preserve">% - </w:t>
            </w:r>
            <w:proofErr w:type="spellStart"/>
            <w:r>
              <w:rPr>
                <w:rFonts w:ascii="Garamond" w:hAnsi="Garamond" w:cs="Times New Roman"/>
                <w:bCs/>
                <w:sz w:val="20"/>
                <w:szCs w:val="20"/>
              </w:rPr>
              <w:t>Homens</w:t>
            </w:r>
            <w:proofErr w:type="spellEnd"/>
            <w:r>
              <w:rPr>
                <w:rFonts w:ascii="Garamond" w:hAnsi="Garamond" w:cs="Times New Roman"/>
                <w:bCs/>
                <w:sz w:val="20"/>
                <w:szCs w:val="20"/>
              </w:rPr>
              <w:t>:</w:t>
            </w:r>
            <w:r w:rsidRPr="009E777B">
              <w:rPr>
                <w:rFonts w:ascii="Garamond" w:hAnsi="Garamond"/>
                <w:sz w:val="20"/>
                <w:szCs w:val="20"/>
              </w:rPr>
              <w:t xml:space="preserve"> </w:t>
            </w:r>
            <w:r>
              <w:rPr>
                <w:rFonts w:ascii="Garamond" w:hAnsi="Garamond"/>
                <w:sz w:val="20"/>
                <w:szCs w:val="20"/>
              </w:rPr>
              <w:t>16,1%</w:t>
            </w:r>
          </w:p>
        </w:tc>
        <w:tc>
          <w:tcPr>
            <w:tcW w:w="896" w:type="dxa"/>
            <w:vAlign w:val="center"/>
          </w:tcPr>
          <w:p w14:paraId="5CEF4919"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2018</w:t>
            </w:r>
          </w:p>
        </w:tc>
        <w:tc>
          <w:tcPr>
            <w:tcW w:w="1832" w:type="dxa"/>
            <w:vAlign w:val="center"/>
          </w:tcPr>
          <w:p w14:paraId="62D42C28"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INE, IMC - Estatísticas do Mercado de Trabalho</w:t>
            </w:r>
          </w:p>
        </w:tc>
      </w:tr>
      <w:tr w:rsidR="00F60553" w:rsidRPr="005808D4" w14:paraId="27D9B7BD" w14:textId="77777777" w:rsidTr="003455F1">
        <w:trPr>
          <w:tblHeader/>
          <w:jc w:val="center"/>
        </w:trPr>
        <w:tc>
          <w:tcPr>
            <w:tcW w:w="10349" w:type="dxa"/>
            <w:gridSpan w:val="5"/>
            <w:shd w:val="clear" w:color="auto" w:fill="BDD6EE" w:themeFill="accent5" w:themeFillTint="66"/>
            <w:vAlign w:val="center"/>
          </w:tcPr>
          <w:p w14:paraId="4FCDDE65"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2 - </w:t>
            </w:r>
            <w:r w:rsidRPr="00F60553">
              <w:rPr>
                <w:rFonts w:ascii="Garamond" w:hAnsi="Garamond"/>
                <w:b/>
                <w:sz w:val="20"/>
                <w:szCs w:val="20"/>
                <w:lang w:val="pt-PT"/>
              </w:rPr>
              <w:t>Violência Baseada no Género</w:t>
            </w:r>
          </w:p>
        </w:tc>
      </w:tr>
      <w:tr w:rsidR="00F60553" w:rsidRPr="00C65DD5" w14:paraId="09D8CFED" w14:textId="77777777" w:rsidTr="00F60553">
        <w:trPr>
          <w:jc w:val="center"/>
        </w:trPr>
        <w:tc>
          <w:tcPr>
            <w:tcW w:w="1637" w:type="dxa"/>
            <w:vMerge w:val="restart"/>
            <w:vAlign w:val="center"/>
          </w:tcPr>
          <w:p w14:paraId="666A93F1" w14:textId="77777777" w:rsidR="00F60553" w:rsidRPr="00F60553" w:rsidRDefault="00F60553" w:rsidP="003455F1">
            <w:pPr>
              <w:shd w:val="clear" w:color="auto" w:fill="FFFFFF" w:themeFill="background1"/>
              <w:rPr>
                <w:rFonts w:ascii="Garamond" w:hAnsi="Garamond"/>
                <w:bCs/>
                <w:sz w:val="20"/>
                <w:szCs w:val="20"/>
                <w:lang w:val="pt-PT"/>
              </w:rPr>
            </w:pPr>
            <w:r w:rsidRPr="00F60553">
              <w:rPr>
                <w:rFonts w:ascii="Garamond" w:hAnsi="Garamond"/>
                <w:bCs/>
                <w:sz w:val="20"/>
                <w:szCs w:val="20"/>
                <w:lang w:val="pt-PT"/>
              </w:rPr>
              <w:t>Contribuir para que mulheres e meninas vivam livres de todas as formas de violência baseada no género</w:t>
            </w:r>
          </w:p>
        </w:tc>
        <w:tc>
          <w:tcPr>
            <w:tcW w:w="2652" w:type="dxa"/>
            <w:vAlign w:val="center"/>
          </w:tcPr>
          <w:p w14:paraId="21BA6CEE"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 xml:space="preserve">2a Número de denúncias de </w:t>
            </w:r>
            <w:proofErr w:type="spellStart"/>
            <w:r w:rsidRPr="00F60553">
              <w:rPr>
                <w:rFonts w:ascii="Garamond" w:hAnsi="Garamond"/>
                <w:sz w:val="20"/>
                <w:szCs w:val="20"/>
                <w:lang w:val="pt-PT"/>
              </w:rPr>
              <w:t>VBG</w:t>
            </w:r>
            <w:proofErr w:type="spellEnd"/>
            <w:r w:rsidRPr="00F60553">
              <w:rPr>
                <w:rFonts w:ascii="Garamond" w:hAnsi="Garamond"/>
                <w:sz w:val="20"/>
                <w:szCs w:val="20"/>
                <w:lang w:val="pt-PT"/>
              </w:rPr>
              <w:t xml:space="preserve"> recebidas </w:t>
            </w:r>
            <w:proofErr w:type="spellStart"/>
            <w:r w:rsidRPr="00F60553">
              <w:rPr>
                <w:rFonts w:ascii="Garamond" w:hAnsi="Garamond"/>
                <w:sz w:val="20"/>
                <w:szCs w:val="20"/>
                <w:lang w:val="pt-PT"/>
              </w:rPr>
              <w:t>pela</w:t>
            </w:r>
            <w:proofErr w:type="spellEnd"/>
            <w:r w:rsidRPr="00F60553">
              <w:rPr>
                <w:rFonts w:ascii="Garamond" w:hAnsi="Garamond"/>
                <w:sz w:val="20"/>
                <w:szCs w:val="20"/>
                <w:lang w:val="pt-PT"/>
              </w:rPr>
              <w:t xml:space="preserve"> Polícia Nacional </w:t>
            </w:r>
          </w:p>
        </w:tc>
        <w:tc>
          <w:tcPr>
            <w:tcW w:w="3332" w:type="dxa"/>
            <w:vAlign w:val="center"/>
          </w:tcPr>
          <w:p w14:paraId="07F19AEA" w14:textId="77777777" w:rsidR="00F60553" w:rsidRPr="00C65DD5" w:rsidRDefault="00F60553" w:rsidP="003455F1">
            <w:pPr>
              <w:jc w:val="center"/>
              <w:rPr>
                <w:rFonts w:ascii="Garamond" w:hAnsi="Garamond"/>
                <w:color w:val="FF0000"/>
                <w:sz w:val="20"/>
                <w:szCs w:val="20"/>
              </w:rPr>
            </w:pPr>
            <w:r w:rsidRPr="00C65DD5">
              <w:rPr>
                <w:rFonts w:ascii="Garamond" w:hAnsi="Garamond" w:cs="Times New Roman"/>
                <w:bCs/>
                <w:sz w:val="20"/>
                <w:szCs w:val="20"/>
              </w:rPr>
              <w:t>1.641</w:t>
            </w:r>
          </w:p>
        </w:tc>
        <w:tc>
          <w:tcPr>
            <w:tcW w:w="896" w:type="dxa"/>
            <w:vAlign w:val="center"/>
          </w:tcPr>
          <w:p w14:paraId="5AD0BC2D" w14:textId="77777777" w:rsidR="00F60553" w:rsidRPr="0018083A" w:rsidRDefault="00F60553" w:rsidP="003455F1">
            <w:pPr>
              <w:jc w:val="center"/>
              <w:rPr>
                <w:rFonts w:ascii="Garamond" w:hAnsi="Garamond" w:cs="Times New Roman"/>
                <w:bCs/>
                <w:color w:val="FF0000"/>
                <w:sz w:val="16"/>
                <w:szCs w:val="16"/>
              </w:rPr>
            </w:pPr>
            <w:r>
              <w:rPr>
                <w:rFonts w:ascii="Garamond" w:hAnsi="Garamond" w:cs="Times New Roman"/>
                <w:bCs/>
                <w:sz w:val="20"/>
                <w:szCs w:val="20"/>
              </w:rPr>
              <w:t>2018</w:t>
            </w:r>
          </w:p>
        </w:tc>
        <w:tc>
          <w:tcPr>
            <w:tcW w:w="1832" w:type="dxa"/>
            <w:vAlign w:val="center"/>
          </w:tcPr>
          <w:p w14:paraId="14CFFAE5" w14:textId="77777777" w:rsidR="00F60553" w:rsidRPr="00C65DD5" w:rsidRDefault="00F60553" w:rsidP="003455F1">
            <w:pPr>
              <w:rPr>
                <w:rFonts w:ascii="Garamond" w:hAnsi="Garamond"/>
                <w:bCs/>
                <w:color w:val="FF0000"/>
                <w:sz w:val="20"/>
                <w:szCs w:val="20"/>
              </w:rPr>
            </w:pPr>
            <w:r>
              <w:rPr>
                <w:rFonts w:ascii="Garamond" w:hAnsi="Garamond" w:cs="Times New Roman"/>
                <w:bCs/>
                <w:sz w:val="20"/>
                <w:szCs w:val="20"/>
              </w:rPr>
              <w:t xml:space="preserve">Dados da </w:t>
            </w:r>
            <w:proofErr w:type="spellStart"/>
            <w:r>
              <w:rPr>
                <w:rFonts w:ascii="Garamond" w:hAnsi="Garamond" w:cs="Times New Roman"/>
                <w:bCs/>
                <w:sz w:val="20"/>
                <w:szCs w:val="20"/>
              </w:rPr>
              <w:t>PN</w:t>
            </w:r>
            <w:proofErr w:type="spellEnd"/>
          </w:p>
        </w:tc>
      </w:tr>
      <w:tr w:rsidR="00F60553" w:rsidRPr="00F82E28" w14:paraId="6DC7CB62" w14:textId="77777777" w:rsidTr="00F60553">
        <w:trPr>
          <w:jc w:val="center"/>
        </w:trPr>
        <w:tc>
          <w:tcPr>
            <w:tcW w:w="1637" w:type="dxa"/>
            <w:vMerge/>
            <w:vAlign w:val="center"/>
          </w:tcPr>
          <w:p w14:paraId="5DAD7B6E" w14:textId="77777777" w:rsidR="00F60553" w:rsidRPr="0033186A" w:rsidRDefault="00F60553" w:rsidP="003455F1">
            <w:pPr>
              <w:jc w:val="both"/>
              <w:rPr>
                <w:rFonts w:ascii="Garamond" w:hAnsi="Garamond" w:cs="Times New Roman"/>
                <w:bCs/>
                <w:sz w:val="20"/>
                <w:szCs w:val="20"/>
              </w:rPr>
            </w:pPr>
          </w:p>
        </w:tc>
        <w:tc>
          <w:tcPr>
            <w:tcW w:w="2652" w:type="dxa"/>
            <w:vAlign w:val="center"/>
          </w:tcPr>
          <w:p w14:paraId="63651DF9"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 xml:space="preserve">2b Número de processos por </w:t>
            </w:r>
            <w:proofErr w:type="spellStart"/>
            <w:r w:rsidRPr="00F60553">
              <w:rPr>
                <w:rFonts w:ascii="Garamond" w:hAnsi="Garamond"/>
                <w:sz w:val="20"/>
                <w:szCs w:val="20"/>
                <w:lang w:val="pt-PT"/>
              </w:rPr>
              <w:t>VBG</w:t>
            </w:r>
            <w:proofErr w:type="spellEnd"/>
            <w:r w:rsidRPr="00F60553">
              <w:rPr>
                <w:rFonts w:ascii="Garamond" w:hAnsi="Garamond"/>
                <w:sz w:val="20"/>
                <w:szCs w:val="20"/>
                <w:lang w:val="pt-PT"/>
              </w:rPr>
              <w:t xml:space="preserve"> (i) entrados nas Procuradorias, (ii) com suspensão provisória, e (iii) acusados</w:t>
            </w:r>
          </w:p>
        </w:tc>
        <w:tc>
          <w:tcPr>
            <w:tcW w:w="3332" w:type="dxa"/>
            <w:vAlign w:val="center"/>
          </w:tcPr>
          <w:p w14:paraId="393BD2B1" w14:textId="77777777" w:rsidR="00F60553" w:rsidRPr="00F82E28" w:rsidRDefault="00F60553" w:rsidP="00F60553">
            <w:pPr>
              <w:pStyle w:val="PargrafodaLista"/>
              <w:numPr>
                <w:ilvl w:val="0"/>
                <w:numId w:val="94"/>
              </w:numPr>
              <w:ind w:left="284" w:hanging="284"/>
              <w:jc w:val="center"/>
              <w:rPr>
                <w:rFonts w:ascii="Garamond" w:hAnsi="Garamond"/>
                <w:sz w:val="20"/>
                <w:szCs w:val="20"/>
              </w:rPr>
            </w:pPr>
            <w:r w:rsidRPr="00F82E28">
              <w:rPr>
                <w:rFonts w:ascii="Garamond" w:hAnsi="Garamond"/>
                <w:sz w:val="20"/>
                <w:szCs w:val="20"/>
              </w:rPr>
              <w:t>2.080</w:t>
            </w:r>
          </w:p>
          <w:p w14:paraId="470EA618" w14:textId="77777777" w:rsidR="00F60553" w:rsidRPr="00F82E28" w:rsidRDefault="00F60553" w:rsidP="00F60553">
            <w:pPr>
              <w:pStyle w:val="PargrafodaLista"/>
              <w:numPr>
                <w:ilvl w:val="0"/>
                <w:numId w:val="94"/>
              </w:numPr>
              <w:ind w:left="284" w:hanging="284"/>
              <w:jc w:val="center"/>
              <w:rPr>
                <w:rFonts w:ascii="Garamond" w:hAnsi="Garamond"/>
                <w:sz w:val="20"/>
                <w:szCs w:val="20"/>
              </w:rPr>
            </w:pPr>
            <w:r w:rsidRPr="00F82E28">
              <w:rPr>
                <w:rFonts w:ascii="Garamond" w:hAnsi="Garamond"/>
                <w:sz w:val="20"/>
                <w:szCs w:val="20"/>
              </w:rPr>
              <w:t>ND</w:t>
            </w:r>
          </w:p>
          <w:p w14:paraId="1806BFBC" w14:textId="77777777" w:rsidR="00F60553" w:rsidRPr="00F82E28" w:rsidRDefault="00F60553" w:rsidP="00F60553">
            <w:pPr>
              <w:pStyle w:val="PargrafodaLista"/>
              <w:numPr>
                <w:ilvl w:val="0"/>
                <w:numId w:val="94"/>
              </w:numPr>
              <w:ind w:left="284" w:hanging="284"/>
              <w:jc w:val="center"/>
              <w:rPr>
                <w:rFonts w:ascii="Garamond" w:hAnsi="Garamond"/>
                <w:sz w:val="20"/>
                <w:szCs w:val="20"/>
              </w:rPr>
            </w:pPr>
            <w:r w:rsidRPr="00F82E28">
              <w:rPr>
                <w:rFonts w:ascii="Garamond" w:hAnsi="Garamond"/>
                <w:sz w:val="20"/>
                <w:szCs w:val="20"/>
              </w:rPr>
              <w:t>584</w:t>
            </w:r>
          </w:p>
        </w:tc>
        <w:tc>
          <w:tcPr>
            <w:tcW w:w="896" w:type="dxa"/>
            <w:vAlign w:val="center"/>
          </w:tcPr>
          <w:p w14:paraId="55F6610B" w14:textId="77777777" w:rsidR="00F60553" w:rsidRPr="00F82E28" w:rsidRDefault="00F60553" w:rsidP="003455F1">
            <w:pPr>
              <w:jc w:val="center"/>
              <w:rPr>
                <w:rFonts w:ascii="Garamond" w:hAnsi="Garamond" w:cs="Times New Roman"/>
                <w:bCs/>
                <w:sz w:val="16"/>
                <w:szCs w:val="16"/>
              </w:rPr>
            </w:pPr>
            <w:r w:rsidRPr="00F82E28">
              <w:rPr>
                <w:rFonts w:ascii="Garamond" w:hAnsi="Garamond" w:cs="Times New Roman"/>
                <w:bCs/>
                <w:sz w:val="16"/>
                <w:szCs w:val="16"/>
              </w:rPr>
              <w:t>2017/2018</w:t>
            </w:r>
          </w:p>
          <w:p w14:paraId="67F5C35A" w14:textId="77777777" w:rsidR="00F60553" w:rsidRPr="00F82E28" w:rsidRDefault="00F60553" w:rsidP="003455F1">
            <w:pPr>
              <w:jc w:val="center"/>
              <w:rPr>
                <w:rFonts w:ascii="Garamond" w:hAnsi="Garamond" w:cs="Times New Roman"/>
                <w:bCs/>
                <w:sz w:val="20"/>
                <w:szCs w:val="20"/>
              </w:rPr>
            </w:pPr>
            <w:proofErr w:type="spellStart"/>
            <w:r w:rsidRPr="00F82E28">
              <w:rPr>
                <w:rFonts w:ascii="Garamond" w:hAnsi="Garamond" w:cs="Times New Roman"/>
                <w:bCs/>
                <w:sz w:val="16"/>
                <w:szCs w:val="16"/>
              </w:rPr>
              <w:t>Ano</w:t>
            </w:r>
            <w:proofErr w:type="spellEnd"/>
            <w:r w:rsidRPr="00F82E28">
              <w:rPr>
                <w:rFonts w:ascii="Garamond" w:hAnsi="Garamond" w:cs="Times New Roman"/>
                <w:bCs/>
                <w:sz w:val="16"/>
                <w:szCs w:val="16"/>
              </w:rPr>
              <w:t xml:space="preserve"> Judicial</w:t>
            </w:r>
          </w:p>
        </w:tc>
        <w:tc>
          <w:tcPr>
            <w:tcW w:w="1832" w:type="dxa"/>
            <w:vAlign w:val="center"/>
          </w:tcPr>
          <w:p w14:paraId="5A544429" w14:textId="77777777" w:rsidR="00F60553" w:rsidRPr="00F82E28" w:rsidRDefault="00F60553" w:rsidP="003455F1">
            <w:pPr>
              <w:jc w:val="both"/>
              <w:rPr>
                <w:rFonts w:ascii="Garamond" w:hAnsi="Garamond" w:cs="Times New Roman"/>
                <w:bCs/>
                <w:sz w:val="20"/>
                <w:szCs w:val="20"/>
              </w:rPr>
            </w:pPr>
            <w:proofErr w:type="spellStart"/>
            <w:r w:rsidRPr="00F82E28">
              <w:rPr>
                <w:rFonts w:ascii="Garamond" w:hAnsi="Garamond"/>
                <w:bCs/>
                <w:sz w:val="20"/>
                <w:szCs w:val="20"/>
              </w:rPr>
              <w:t>Relatório</w:t>
            </w:r>
            <w:proofErr w:type="spellEnd"/>
            <w:r w:rsidRPr="00F82E28">
              <w:rPr>
                <w:rFonts w:ascii="Garamond" w:hAnsi="Garamond"/>
                <w:bCs/>
                <w:sz w:val="20"/>
                <w:szCs w:val="20"/>
              </w:rPr>
              <w:t xml:space="preserve"> </w:t>
            </w:r>
            <w:proofErr w:type="spellStart"/>
            <w:r w:rsidRPr="00F82E28">
              <w:rPr>
                <w:rFonts w:ascii="Garamond" w:hAnsi="Garamond"/>
                <w:bCs/>
                <w:sz w:val="20"/>
                <w:szCs w:val="20"/>
              </w:rPr>
              <w:t>Anual</w:t>
            </w:r>
            <w:proofErr w:type="spellEnd"/>
            <w:r w:rsidRPr="00F82E28">
              <w:rPr>
                <w:rFonts w:ascii="Garamond" w:hAnsi="Garamond"/>
                <w:bCs/>
                <w:sz w:val="20"/>
                <w:szCs w:val="20"/>
              </w:rPr>
              <w:t xml:space="preserve"> do </w:t>
            </w:r>
            <w:proofErr w:type="spellStart"/>
            <w:r w:rsidRPr="00F82E28">
              <w:rPr>
                <w:rFonts w:ascii="Garamond" w:hAnsi="Garamond"/>
                <w:bCs/>
                <w:sz w:val="20"/>
                <w:szCs w:val="20"/>
              </w:rPr>
              <w:t>CSMP</w:t>
            </w:r>
            <w:proofErr w:type="spellEnd"/>
            <w:r w:rsidRPr="00F82E28">
              <w:rPr>
                <w:rFonts w:ascii="Garamond" w:hAnsi="Garamond"/>
                <w:bCs/>
                <w:sz w:val="20"/>
                <w:szCs w:val="20"/>
              </w:rPr>
              <w:t xml:space="preserve"> </w:t>
            </w:r>
          </w:p>
        </w:tc>
      </w:tr>
      <w:tr w:rsidR="00F60553" w:rsidRPr="0033186A" w14:paraId="35055983" w14:textId="77777777" w:rsidTr="00F60553">
        <w:trPr>
          <w:jc w:val="center"/>
        </w:trPr>
        <w:tc>
          <w:tcPr>
            <w:tcW w:w="1637" w:type="dxa"/>
            <w:vMerge/>
            <w:vAlign w:val="center"/>
          </w:tcPr>
          <w:p w14:paraId="24D25D6C" w14:textId="77777777" w:rsidR="00F60553" w:rsidRPr="0033186A" w:rsidRDefault="00F60553" w:rsidP="003455F1">
            <w:pPr>
              <w:jc w:val="both"/>
              <w:rPr>
                <w:rFonts w:ascii="Garamond" w:hAnsi="Garamond" w:cs="Times New Roman"/>
                <w:bCs/>
                <w:sz w:val="20"/>
                <w:szCs w:val="20"/>
              </w:rPr>
            </w:pPr>
          </w:p>
        </w:tc>
        <w:tc>
          <w:tcPr>
            <w:tcW w:w="2652" w:type="dxa"/>
            <w:vAlign w:val="center"/>
          </w:tcPr>
          <w:p w14:paraId="3556C496"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 xml:space="preserve">2c Número de processos por </w:t>
            </w:r>
            <w:proofErr w:type="spellStart"/>
            <w:r w:rsidRPr="00F60553">
              <w:rPr>
                <w:rFonts w:ascii="Garamond" w:hAnsi="Garamond"/>
                <w:sz w:val="20"/>
                <w:szCs w:val="20"/>
                <w:lang w:val="pt-PT"/>
              </w:rPr>
              <w:t>VBG</w:t>
            </w:r>
            <w:proofErr w:type="spellEnd"/>
            <w:r w:rsidRPr="00F60553">
              <w:rPr>
                <w:rFonts w:ascii="Garamond" w:hAnsi="Garamond"/>
                <w:sz w:val="20"/>
                <w:szCs w:val="20"/>
                <w:lang w:val="pt-PT"/>
              </w:rPr>
              <w:t xml:space="preserve"> (i) entrados nos Tribunais e (ii) Julgados (por desfecho)</w:t>
            </w:r>
          </w:p>
        </w:tc>
        <w:tc>
          <w:tcPr>
            <w:tcW w:w="3332" w:type="dxa"/>
            <w:vAlign w:val="center"/>
          </w:tcPr>
          <w:p w14:paraId="5CC08BDA" w14:textId="77777777" w:rsidR="00F60553" w:rsidRPr="00F82E28" w:rsidRDefault="00F60553" w:rsidP="003455F1">
            <w:pPr>
              <w:jc w:val="center"/>
              <w:rPr>
                <w:rFonts w:ascii="Garamond" w:hAnsi="Garamond" w:cs="Times New Roman"/>
                <w:bCs/>
                <w:i/>
                <w:iCs/>
                <w:sz w:val="20"/>
                <w:szCs w:val="20"/>
              </w:rPr>
            </w:pPr>
            <w:r w:rsidRPr="00F82E28">
              <w:rPr>
                <w:rFonts w:ascii="Garamond" w:hAnsi="Garamond" w:cs="Times New Roman"/>
                <w:bCs/>
                <w:i/>
                <w:iCs/>
                <w:sz w:val="20"/>
                <w:szCs w:val="20"/>
              </w:rPr>
              <w:t xml:space="preserve">Dados a </w:t>
            </w:r>
            <w:proofErr w:type="spellStart"/>
            <w:r w:rsidRPr="00F82E28">
              <w:rPr>
                <w:rFonts w:ascii="Garamond" w:hAnsi="Garamond" w:cs="Times New Roman"/>
                <w:bCs/>
                <w:i/>
                <w:iCs/>
                <w:sz w:val="20"/>
                <w:szCs w:val="20"/>
              </w:rPr>
              <w:t>solicitar</w:t>
            </w:r>
            <w:proofErr w:type="spellEnd"/>
          </w:p>
        </w:tc>
        <w:tc>
          <w:tcPr>
            <w:tcW w:w="896" w:type="dxa"/>
            <w:vAlign w:val="center"/>
          </w:tcPr>
          <w:p w14:paraId="61C21078" w14:textId="77777777" w:rsidR="00F60553" w:rsidRPr="00F82E28" w:rsidRDefault="00F60553" w:rsidP="003455F1">
            <w:pPr>
              <w:jc w:val="center"/>
              <w:rPr>
                <w:rFonts w:ascii="Garamond" w:hAnsi="Garamond" w:cs="Times New Roman"/>
                <w:bCs/>
                <w:sz w:val="16"/>
                <w:szCs w:val="16"/>
              </w:rPr>
            </w:pPr>
            <w:r w:rsidRPr="00F82E28">
              <w:rPr>
                <w:rFonts w:ascii="Garamond" w:hAnsi="Garamond" w:cs="Times New Roman"/>
                <w:bCs/>
                <w:sz w:val="16"/>
                <w:szCs w:val="16"/>
              </w:rPr>
              <w:t>2017/2018</w:t>
            </w:r>
          </w:p>
          <w:p w14:paraId="6CFEC979" w14:textId="77777777" w:rsidR="00F60553" w:rsidRPr="0033186A" w:rsidRDefault="00F60553" w:rsidP="003455F1">
            <w:pPr>
              <w:jc w:val="center"/>
              <w:rPr>
                <w:rFonts w:ascii="Garamond" w:hAnsi="Garamond" w:cs="Times New Roman"/>
                <w:bCs/>
                <w:sz w:val="20"/>
                <w:szCs w:val="20"/>
              </w:rPr>
            </w:pPr>
            <w:proofErr w:type="spellStart"/>
            <w:r w:rsidRPr="00F82E28">
              <w:rPr>
                <w:rFonts w:ascii="Garamond" w:hAnsi="Garamond" w:cs="Times New Roman"/>
                <w:bCs/>
                <w:sz w:val="16"/>
                <w:szCs w:val="16"/>
              </w:rPr>
              <w:t>Ano</w:t>
            </w:r>
            <w:proofErr w:type="spellEnd"/>
            <w:r w:rsidRPr="00F82E28">
              <w:rPr>
                <w:rFonts w:ascii="Garamond" w:hAnsi="Garamond" w:cs="Times New Roman"/>
                <w:bCs/>
                <w:sz w:val="16"/>
                <w:szCs w:val="16"/>
              </w:rPr>
              <w:t xml:space="preserve"> Judicial</w:t>
            </w:r>
          </w:p>
        </w:tc>
        <w:tc>
          <w:tcPr>
            <w:tcW w:w="1832" w:type="dxa"/>
            <w:vAlign w:val="center"/>
          </w:tcPr>
          <w:p w14:paraId="058406CB" w14:textId="77777777" w:rsidR="00F60553" w:rsidRPr="0033186A" w:rsidRDefault="00F60553" w:rsidP="003455F1">
            <w:pPr>
              <w:jc w:val="both"/>
              <w:rPr>
                <w:rFonts w:ascii="Garamond" w:hAnsi="Garamond" w:cs="Times New Roman"/>
                <w:bCs/>
                <w:sz w:val="20"/>
                <w:szCs w:val="20"/>
              </w:rPr>
            </w:pPr>
            <w:proofErr w:type="spellStart"/>
            <w:r w:rsidRPr="00F82E28">
              <w:rPr>
                <w:rFonts w:ascii="Garamond" w:hAnsi="Garamond"/>
                <w:bCs/>
                <w:sz w:val="20"/>
                <w:szCs w:val="20"/>
              </w:rPr>
              <w:t>CSM</w:t>
            </w:r>
            <w:r>
              <w:rPr>
                <w:rFonts w:ascii="Garamond" w:hAnsi="Garamond"/>
                <w:bCs/>
                <w:sz w:val="20"/>
                <w:szCs w:val="20"/>
              </w:rPr>
              <w:t>J</w:t>
            </w:r>
            <w:proofErr w:type="spellEnd"/>
          </w:p>
        </w:tc>
      </w:tr>
      <w:tr w:rsidR="00F60553" w:rsidRPr="005808D4" w14:paraId="40A419B2" w14:textId="77777777" w:rsidTr="003455F1">
        <w:trPr>
          <w:tblHeader/>
          <w:jc w:val="center"/>
        </w:trPr>
        <w:tc>
          <w:tcPr>
            <w:tcW w:w="10349" w:type="dxa"/>
            <w:gridSpan w:val="5"/>
            <w:shd w:val="clear" w:color="auto" w:fill="BDD6EE" w:themeFill="accent5" w:themeFillTint="66"/>
            <w:vAlign w:val="center"/>
          </w:tcPr>
          <w:p w14:paraId="2947C02C"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3 - </w:t>
            </w:r>
            <w:r w:rsidRPr="00F60553">
              <w:rPr>
                <w:rFonts w:ascii="Garamond" w:hAnsi="Garamond"/>
                <w:b/>
                <w:sz w:val="20"/>
                <w:szCs w:val="20"/>
                <w:lang w:val="pt-PT"/>
              </w:rPr>
              <w:t>Educação e formação profissional</w:t>
            </w:r>
          </w:p>
        </w:tc>
      </w:tr>
      <w:tr w:rsidR="00F60553" w:rsidRPr="005808D4" w14:paraId="24FF7604" w14:textId="77777777" w:rsidTr="00F60553">
        <w:trPr>
          <w:jc w:val="center"/>
        </w:trPr>
        <w:tc>
          <w:tcPr>
            <w:tcW w:w="1637" w:type="dxa"/>
            <w:vMerge w:val="restart"/>
          </w:tcPr>
          <w:p w14:paraId="727AA6F7" w14:textId="77777777" w:rsidR="00F60553" w:rsidRPr="00F60553" w:rsidRDefault="00F60553" w:rsidP="003455F1">
            <w:pPr>
              <w:rPr>
                <w:rFonts w:ascii="Garamond" w:hAnsi="Garamond"/>
                <w:bCs/>
                <w:sz w:val="20"/>
                <w:szCs w:val="20"/>
                <w:lang w:val="pt-PT"/>
              </w:rPr>
            </w:pPr>
            <w:r w:rsidRPr="00F60553">
              <w:rPr>
                <w:rFonts w:ascii="Garamond" w:hAnsi="Garamond"/>
                <w:bCs/>
                <w:sz w:val="20"/>
                <w:szCs w:val="20"/>
                <w:lang w:val="pt-PT"/>
              </w:rPr>
              <w:t>Fomentar sistemas de educação, ensino superior e formação profissional promotores da igualdade de género</w:t>
            </w:r>
          </w:p>
        </w:tc>
        <w:tc>
          <w:tcPr>
            <w:tcW w:w="2652" w:type="dxa"/>
            <w:vAlign w:val="center"/>
          </w:tcPr>
          <w:p w14:paraId="666441BF"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3a Taxa de alfabetização (por faixa etária, rural/urbano)</w:t>
            </w:r>
          </w:p>
        </w:tc>
        <w:tc>
          <w:tcPr>
            <w:tcW w:w="3332" w:type="dxa"/>
            <w:vAlign w:val="center"/>
          </w:tcPr>
          <w:p w14:paraId="2F3B2B82" w14:textId="77777777" w:rsidR="00F60553" w:rsidRPr="00F60553" w:rsidRDefault="00F60553" w:rsidP="003455F1">
            <w:pPr>
              <w:rPr>
                <w:rFonts w:ascii="Garamond" w:hAnsi="Garamond"/>
                <w:sz w:val="20"/>
                <w:szCs w:val="20"/>
                <w:lang w:val="pt-PT"/>
              </w:rPr>
            </w:pPr>
            <w:r w:rsidRPr="00F60553">
              <w:rPr>
                <w:rFonts w:ascii="Garamond" w:hAnsi="Garamond"/>
                <w:sz w:val="20"/>
                <w:szCs w:val="20"/>
                <w:u w:val="single"/>
                <w:lang w:val="pt-PT"/>
              </w:rPr>
              <w:t>Cabo Verde</w:t>
            </w:r>
            <w:r w:rsidRPr="00F60553">
              <w:rPr>
                <w:rFonts w:ascii="Garamond" w:hAnsi="Garamond"/>
                <w:sz w:val="20"/>
                <w:szCs w:val="20"/>
                <w:lang w:val="pt-PT"/>
              </w:rPr>
              <w:t>: 87,7%</w:t>
            </w:r>
          </w:p>
          <w:p w14:paraId="0C00DC04" w14:textId="77777777" w:rsidR="00F60553" w:rsidRPr="00F60553" w:rsidRDefault="00F60553" w:rsidP="003455F1">
            <w:pPr>
              <w:rPr>
                <w:rFonts w:ascii="Garamond" w:hAnsi="Garamond"/>
                <w:sz w:val="20"/>
                <w:szCs w:val="20"/>
                <w:lang w:val="pt-PT"/>
              </w:rPr>
            </w:pPr>
            <w:r w:rsidRPr="00F60553">
              <w:rPr>
                <w:rFonts w:ascii="Garamond" w:hAnsi="Garamond"/>
                <w:sz w:val="20"/>
                <w:szCs w:val="20"/>
                <w:u w:val="single"/>
                <w:lang w:val="pt-PT"/>
              </w:rPr>
              <w:t>M</w:t>
            </w:r>
            <w:r w:rsidRPr="00F60553">
              <w:rPr>
                <w:rFonts w:ascii="Garamond" w:hAnsi="Garamond"/>
                <w:sz w:val="20"/>
                <w:szCs w:val="20"/>
                <w:lang w:val="pt-PT"/>
              </w:rPr>
              <w:t xml:space="preserve">: 83% </w:t>
            </w:r>
            <w:r w:rsidRPr="00F60553">
              <w:rPr>
                <w:rFonts w:ascii="Garamond" w:hAnsi="Garamond"/>
                <w:sz w:val="20"/>
                <w:szCs w:val="20"/>
                <w:u w:val="single"/>
                <w:lang w:val="pt-PT"/>
              </w:rPr>
              <w:t>Rural</w:t>
            </w:r>
            <w:r w:rsidRPr="00F60553">
              <w:rPr>
                <w:rFonts w:ascii="Garamond" w:hAnsi="Garamond"/>
                <w:sz w:val="20"/>
                <w:szCs w:val="20"/>
                <w:lang w:val="pt-PT"/>
              </w:rPr>
              <w:t xml:space="preserve">: 73,9% </w:t>
            </w:r>
            <w:r w:rsidRPr="00F60553">
              <w:rPr>
                <w:rFonts w:ascii="Garamond" w:hAnsi="Garamond"/>
                <w:sz w:val="20"/>
                <w:szCs w:val="20"/>
                <w:u w:val="single"/>
                <w:lang w:val="pt-PT"/>
              </w:rPr>
              <w:t>Urbano</w:t>
            </w:r>
            <w:r w:rsidRPr="00F60553">
              <w:rPr>
                <w:rFonts w:ascii="Garamond" w:hAnsi="Garamond"/>
                <w:sz w:val="20"/>
                <w:szCs w:val="20"/>
                <w:lang w:val="pt-PT"/>
              </w:rPr>
              <w:t>: 87,4%</w:t>
            </w:r>
          </w:p>
          <w:p w14:paraId="18054B5D"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 xml:space="preserve">H: 92,6% </w:t>
            </w:r>
            <w:r w:rsidRPr="00F60553">
              <w:rPr>
                <w:rFonts w:ascii="Garamond" w:hAnsi="Garamond"/>
                <w:sz w:val="20"/>
                <w:szCs w:val="20"/>
                <w:u w:val="single"/>
                <w:lang w:val="pt-PT"/>
              </w:rPr>
              <w:t>Rural</w:t>
            </w:r>
            <w:r w:rsidRPr="00F60553">
              <w:rPr>
                <w:rFonts w:ascii="Garamond" w:hAnsi="Garamond"/>
                <w:sz w:val="20"/>
                <w:szCs w:val="20"/>
                <w:lang w:val="pt-PT"/>
              </w:rPr>
              <w:t xml:space="preserve">: 88,3% </w:t>
            </w:r>
            <w:r w:rsidRPr="00F60553">
              <w:rPr>
                <w:rFonts w:ascii="Garamond" w:hAnsi="Garamond"/>
                <w:sz w:val="20"/>
                <w:szCs w:val="20"/>
                <w:u w:val="single"/>
                <w:lang w:val="pt-PT"/>
              </w:rPr>
              <w:t>Urbano</w:t>
            </w:r>
            <w:r w:rsidRPr="00F60553">
              <w:rPr>
                <w:rFonts w:ascii="Garamond" w:hAnsi="Garamond"/>
                <w:sz w:val="20"/>
                <w:szCs w:val="20"/>
                <w:lang w:val="pt-PT"/>
              </w:rPr>
              <w:t>: 94,6%</w:t>
            </w:r>
          </w:p>
          <w:p w14:paraId="1E28F452" w14:textId="77777777" w:rsidR="00F60553" w:rsidRPr="00F60553" w:rsidRDefault="00F60553" w:rsidP="003455F1">
            <w:pPr>
              <w:jc w:val="both"/>
              <w:rPr>
                <w:rFonts w:ascii="Garamond" w:hAnsi="Garamond"/>
                <w:sz w:val="20"/>
                <w:szCs w:val="20"/>
                <w:shd w:val="clear" w:color="auto" w:fill="FFFFFF"/>
                <w:lang w:val="pt-PT"/>
              </w:rPr>
            </w:pPr>
            <w:r w:rsidRPr="00F60553">
              <w:rPr>
                <w:rFonts w:ascii="Garamond" w:hAnsi="Garamond"/>
                <w:sz w:val="20"/>
                <w:szCs w:val="20"/>
                <w:u w:val="single"/>
                <w:shd w:val="clear" w:color="auto" w:fill="FFFFFF"/>
                <w:lang w:val="pt-PT"/>
              </w:rPr>
              <w:t>15-24 anos</w:t>
            </w:r>
            <w:r w:rsidRPr="00F60553">
              <w:rPr>
                <w:rFonts w:ascii="Garamond" w:hAnsi="Garamond"/>
                <w:sz w:val="20"/>
                <w:szCs w:val="20"/>
                <w:shd w:val="clear" w:color="auto" w:fill="FFFFFF"/>
                <w:lang w:val="pt-PT"/>
              </w:rPr>
              <w:t>: M 96,1% - H 94,1%</w:t>
            </w:r>
          </w:p>
          <w:p w14:paraId="2431B6D9" w14:textId="77777777" w:rsidR="00F60553" w:rsidRPr="00F60553" w:rsidRDefault="00F60553" w:rsidP="003455F1">
            <w:pPr>
              <w:jc w:val="both"/>
              <w:rPr>
                <w:rFonts w:ascii="Garamond" w:hAnsi="Garamond"/>
                <w:sz w:val="20"/>
                <w:szCs w:val="20"/>
                <w:shd w:val="clear" w:color="auto" w:fill="FFFFFF"/>
                <w:lang w:val="pt-PT"/>
              </w:rPr>
            </w:pPr>
            <w:r w:rsidRPr="00F60553">
              <w:rPr>
                <w:rFonts w:ascii="Garamond" w:hAnsi="Garamond"/>
                <w:sz w:val="20"/>
                <w:szCs w:val="20"/>
                <w:u w:val="single"/>
                <w:shd w:val="clear" w:color="auto" w:fill="FFFFFF"/>
                <w:lang w:val="pt-PT"/>
              </w:rPr>
              <w:t>25-34 anos</w:t>
            </w:r>
            <w:r w:rsidRPr="00F60553">
              <w:rPr>
                <w:rFonts w:ascii="Garamond" w:hAnsi="Garamond"/>
                <w:sz w:val="20"/>
                <w:szCs w:val="20"/>
                <w:shd w:val="clear" w:color="auto" w:fill="FFFFFF"/>
                <w:lang w:val="pt-PT"/>
              </w:rPr>
              <w:t>: M 95,3% - H 92,3%</w:t>
            </w:r>
          </w:p>
          <w:p w14:paraId="22405A22" w14:textId="77777777" w:rsidR="00F60553" w:rsidRPr="00F60553" w:rsidRDefault="00F60553" w:rsidP="003455F1">
            <w:pPr>
              <w:jc w:val="both"/>
              <w:rPr>
                <w:rFonts w:ascii="Garamond" w:hAnsi="Garamond"/>
                <w:sz w:val="20"/>
                <w:szCs w:val="20"/>
                <w:shd w:val="clear" w:color="auto" w:fill="FFFFFF"/>
                <w:lang w:val="pt-PT"/>
              </w:rPr>
            </w:pPr>
            <w:r w:rsidRPr="00F60553">
              <w:rPr>
                <w:rFonts w:ascii="Garamond" w:hAnsi="Garamond"/>
                <w:sz w:val="20"/>
                <w:szCs w:val="20"/>
                <w:u w:val="single"/>
                <w:shd w:val="clear" w:color="auto" w:fill="FFFFFF"/>
                <w:lang w:val="pt-PT"/>
              </w:rPr>
              <w:t>35-64 anos</w:t>
            </w:r>
            <w:r w:rsidRPr="00F60553">
              <w:rPr>
                <w:rFonts w:ascii="Garamond" w:hAnsi="Garamond"/>
                <w:sz w:val="20"/>
                <w:szCs w:val="20"/>
                <w:shd w:val="clear" w:color="auto" w:fill="FFFFFF"/>
                <w:lang w:val="pt-PT"/>
              </w:rPr>
              <w:t>: M 76,4% - H 86,3%</w:t>
            </w:r>
          </w:p>
          <w:p w14:paraId="19CE7FC7" w14:textId="77777777" w:rsidR="00F60553" w:rsidRPr="00092EC4" w:rsidRDefault="00F60553" w:rsidP="003455F1">
            <w:pPr>
              <w:jc w:val="both"/>
              <w:rPr>
                <w:rFonts w:ascii="Garamond" w:hAnsi="Garamond"/>
                <w:sz w:val="20"/>
                <w:szCs w:val="20"/>
                <w:shd w:val="clear" w:color="auto" w:fill="FFFFFF"/>
              </w:rPr>
            </w:pPr>
            <w:r w:rsidRPr="00EC0F78">
              <w:rPr>
                <w:rFonts w:ascii="Garamond" w:hAnsi="Garamond"/>
                <w:sz w:val="20"/>
                <w:szCs w:val="20"/>
                <w:u w:val="single"/>
                <w:shd w:val="clear" w:color="auto" w:fill="FFFFFF"/>
              </w:rPr>
              <w:t xml:space="preserve">65 </w:t>
            </w:r>
            <w:proofErr w:type="spellStart"/>
            <w:r w:rsidRPr="00EC0F78">
              <w:rPr>
                <w:rFonts w:ascii="Garamond" w:hAnsi="Garamond"/>
                <w:sz w:val="20"/>
                <w:szCs w:val="20"/>
                <w:u w:val="single"/>
                <w:shd w:val="clear" w:color="auto" w:fill="FFFFFF"/>
              </w:rPr>
              <w:t>ou</w:t>
            </w:r>
            <w:proofErr w:type="spellEnd"/>
            <w:r w:rsidRPr="00EC0F78">
              <w:rPr>
                <w:rFonts w:ascii="Garamond" w:hAnsi="Garamond"/>
                <w:sz w:val="20"/>
                <w:szCs w:val="20"/>
                <w:u w:val="single"/>
                <w:shd w:val="clear" w:color="auto" w:fill="FFFFFF"/>
              </w:rPr>
              <w:t xml:space="preserve"> +</w:t>
            </w:r>
            <w:r>
              <w:rPr>
                <w:rFonts w:ascii="Garamond" w:hAnsi="Garamond"/>
                <w:sz w:val="20"/>
                <w:szCs w:val="20"/>
                <w:shd w:val="clear" w:color="auto" w:fill="FFFFFF"/>
              </w:rPr>
              <w:t>: M</w:t>
            </w:r>
            <w:r w:rsidRPr="005D7C1F">
              <w:rPr>
                <w:rFonts w:ascii="Garamond" w:hAnsi="Garamond"/>
                <w:sz w:val="20"/>
                <w:szCs w:val="20"/>
                <w:shd w:val="clear" w:color="auto" w:fill="FFFFFF"/>
              </w:rPr>
              <w:t>24,5%</w:t>
            </w:r>
            <w:r>
              <w:rPr>
                <w:rFonts w:ascii="Garamond" w:hAnsi="Garamond"/>
                <w:sz w:val="20"/>
                <w:szCs w:val="20"/>
                <w:shd w:val="clear" w:color="auto" w:fill="FFFFFF"/>
              </w:rPr>
              <w:t xml:space="preserve"> - </w:t>
            </w:r>
            <w:r w:rsidRPr="005D7C1F">
              <w:rPr>
                <w:rFonts w:ascii="Garamond" w:hAnsi="Garamond"/>
                <w:sz w:val="20"/>
                <w:szCs w:val="20"/>
                <w:shd w:val="clear" w:color="auto" w:fill="FFFFFF"/>
              </w:rPr>
              <w:t>61%</w:t>
            </w:r>
          </w:p>
        </w:tc>
        <w:tc>
          <w:tcPr>
            <w:tcW w:w="896" w:type="dxa"/>
            <w:vAlign w:val="center"/>
          </w:tcPr>
          <w:p w14:paraId="2208BC54" w14:textId="77777777" w:rsidR="00F60553" w:rsidRPr="00B24FCB" w:rsidRDefault="00F60553" w:rsidP="003455F1">
            <w:pPr>
              <w:jc w:val="center"/>
              <w:rPr>
                <w:rFonts w:ascii="Garamond" w:hAnsi="Garamond" w:cs="Times New Roman"/>
                <w:bCs/>
                <w:sz w:val="20"/>
                <w:szCs w:val="20"/>
              </w:rPr>
            </w:pPr>
            <w:r w:rsidRPr="00B24FCB">
              <w:rPr>
                <w:rFonts w:ascii="Garamond" w:hAnsi="Garamond" w:cs="Times New Roman"/>
                <w:bCs/>
                <w:sz w:val="20"/>
                <w:szCs w:val="20"/>
              </w:rPr>
              <w:t>2018</w:t>
            </w:r>
          </w:p>
        </w:tc>
        <w:tc>
          <w:tcPr>
            <w:tcW w:w="1832" w:type="dxa"/>
            <w:vAlign w:val="center"/>
          </w:tcPr>
          <w:p w14:paraId="442D9D7C"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INE, IMC - Estatísticas das Famílias e Condições de Vida</w:t>
            </w:r>
          </w:p>
        </w:tc>
      </w:tr>
      <w:tr w:rsidR="00F60553" w:rsidRPr="005808D4" w14:paraId="09B5413F" w14:textId="77777777" w:rsidTr="00F60553">
        <w:trPr>
          <w:jc w:val="center"/>
        </w:trPr>
        <w:tc>
          <w:tcPr>
            <w:tcW w:w="1637" w:type="dxa"/>
            <w:vMerge/>
          </w:tcPr>
          <w:p w14:paraId="775F345E" w14:textId="77777777" w:rsidR="00F60553" w:rsidRPr="00F60553" w:rsidRDefault="00F60553" w:rsidP="003455F1">
            <w:pPr>
              <w:rPr>
                <w:rFonts w:ascii="Garamond" w:hAnsi="Garamond" w:cs="Times New Roman"/>
                <w:bCs/>
                <w:sz w:val="20"/>
                <w:szCs w:val="20"/>
                <w:lang w:val="pt-PT"/>
              </w:rPr>
            </w:pPr>
          </w:p>
        </w:tc>
        <w:tc>
          <w:tcPr>
            <w:tcW w:w="2652" w:type="dxa"/>
            <w:vAlign w:val="center"/>
          </w:tcPr>
          <w:p w14:paraId="1A68EDD7"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3b Taxa de reprovação no ensino básico e secundário</w:t>
            </w:r>
          </w:p>
        </w:tc>
        <w:tc>
          <w:tcPr>
            <w:tcW w:w="3332" w:type="dxa"/>
            <w:vAlign w:val="center"/>
          </w:tcPr>
          <w:p w14:paraId="467915F7"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
                <w:sz w:val="20"/>
                <w:szCs w:val="20"/>
                <w:lang w:val="pt-PT"/>
              </w:rPr>
              <w:t>EB</w:t>
            </w:r>
            <w:r w:rsidRPr="00F60553">
              <w:rPr>
                <w:rFonts w:ascii="Garamond" w:hAnsi="Garamond" w:cs="Times New Roman"/>
                <w:bCs/>
                <w:sz w:val="20"/>
                <w:szCs w:val="20"/>
                <w:lang w:val="pt-PT"/>
              </w:rPr>
              <w:t>: alunas 5,2% – alunos 9,2%</w:t>
            </w:r>
          </w:p>
          <w:p w14:paraId="2E4C7BCC"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
                <w:sz w:val="20"/>
                <w:szCs w:val="20"/>
                <w:lang w:val="pt-PT"/>
              </w:rPr>
              <w:t>ES</w:t>
            </w:r>
            <w:r w:rsidRPr="00F60553">
              <w:rPr>
                <w:rFonts w:ascii="Garamond" w:hAnsi="Garamond" w:cs="Times New Roman"/>
                <w:bCs/>
                <w:sz w:val="20"/>
                <w:szCs w:val="20"/>
                <w:lang w:val="pt-PT"/>
              </w:rPr>
              <w:t>: alunas 19,7% – alunos 28,7%</w:t>
            </w:r>
          </w:p>
        </w:tc>
        <w:tc>
          <w:tcPr>
            <w:tcW w:w="896" w:type="dxa"/>
            <w:vAlign w:val="center"/>
          </w:tcPr>
          <w:p w14:paraId="47361D7F" w14:textId="77777777" w:rsidR="00F60553" w:rsidRDefault="00F60553" w:rsidP="003455F1">
            <w:pPr>
              <w:jc w:val="center"/>
              <w:rPr>
                <w:rFonts w:ascii="Garamond" w:hAnsi="Garamond" w:cs="Times New Roman"/>
                <w:bCs/>
                <w:sz w:val="16"/>
                <w:szCs w:val="16"/>
              </w:rPr>
            </w:pPr>
            <w:r w:rsidRPr="00B47EA4">
              <w:rPr>
                <w:rFonts w:ascii="Garamond" w:hAnsi="Garamond" w:cs="Times New Roman"/>
                <w:bCs/>
                <w:sz w:val="16"/>
                <w:szCs w:val="16"/>
              </w:rPr>
              <w:t>2016/2017</w:t>
            </w:r>
          </w:p>
          <w:p w14:paraId="0216698E" w14:textId="77777777" w:rsidR="00F60553" w:rsidRPr="00B47EA4" w:rsidRDefault="00F60553" w:rsidP="003455F1">
            <w:pPr>
              <w:jc w:val="center"/>
              <w:rPr>
                <w:rFonts w:ascii="Garamond" w:hAnsi="Garamond" w:cs="Times New Roman"/>
                <w:bCs/>
                <w:sz w:val="16"/>
                <w:szCs w:val="16"/>
              </w:rPr>
            </w:pPr>
            <w:proofErr w:type="spellStart"/>
            <w:r>
              <w:rPr>
                <w:rFonts w:ascii="Garamond" w:hAnsi="Garamond" w:cs="Times New Roman"/>
                <w:bCs/>
                <w:sz w:val="16"/>
                <w:szCs w:val="16"/>
              </w:rPr>
              <w:t>Ano</w:t>
            </w:r>
            <w:proofErr w:type="spellEnd"/>
            <w:r>
              <w:rPr>
                <w:rFonts w:ascii="Garamond" w:hAnsi="Garamond" w:cs="Times New Roman"/>
                <w:bCs/>
                <w:sz w:val="16"/>
                <w:szCs w:val="16"/>
              </w:rPr>
              <w:t xml:space="preserve"> </w:t>
            </w:r>
            <w:proofErr w:type="spellStart"/>
            <w:r>
              <w:rPr>
                <w:rFonts w:ascii="Garamond" w:hAnsi="Garamond" w:cs="Times New Roman"/>
                <w:bCs/>
                <w:sz w:val="16"/>
                <w:szCs w:val="16"/>
              </w:rPr>
              <w:t>letivo</w:t>
            </w:r>
            <w:proofErr w:type="spellEnd"/>
          </w:p>
        </w:tc>
        <w:tc>
          <w:tcPr>
            <w:tcW w:w="1832" w:type="dxa"/>
            <w:vAlign w:val="center"/>
          </w:tcPr>
          <w:p w14:paraId="30DC2CF3"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ME - </w:t>
            </w:r>
            <w:r w:rsidRPr="00F60553">
              <w:rPr>
                <w:rFonts w:ascii="Garamond" w:hAnsi="Garamond"/>
                <w:i/>
                <w:iCs/>
                <w:sz w:val="20"/>
                <w:szCs w:val="20"/>
                <w:lang w:val="pt-PT"/>
              </w:rPr>
              <w:t>Principais Indicadores da Educação 2016-2017</w:t>
            </w:r>
          </w:p>
        </w:tc>
      </w:tr>
      <w:tr w:rsidR="00F60553" w:rsidRPr="005808D4" w14:paraId="0FBC68E5" w14:textId="77777777" w:rsidTr="00F60553">
        <w:trPr>
          <w:jc w:val="center"/>
        </w:trPr>
        <w:tc>
          <w:tcPr>
            <w:tcW w:w="1637" w:type="dxa"/>
            <w:vMerge/>
            <w:vAlign w:val="center"/>
          </w:tcPr>
          <w:p w14:paraId="0994C5A3"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2B6EB716"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3c Percentagem de alunos do ensino superior inscritos nas diferentes áreas</w:t>
            </w:r>
          </w:p>
        </w:tc>
        <w:tc>
          <w:tcPr>
            <w:tcW w:w="3332" w:type="dxa"/>
            <w:vAlign w:val="center"/>
          </w:tcPr>
          <w:p w14:paraId="51729BA9" w14:textId="77777777" w:rsidR="00F60553" w:rsidRPr="00F60553" w:rsidRDefault="00F60553" w:rsidP="003455F1">
            <w:pPr>
              <w:rPr>
                <w:rFonts w:ascii="Garamond" w:hAnsi="Garamond" w:cs="Times New Roman"/>
                <w:b/>
                <w:sz w:val="16"/>
                <w:szCs w:val="16"/>
                <w:u w:val="single"/>
                <w:lang w:val="pt-PT"/>
              </w:rPr>
            </w:pPr>
            <w:r w:rsidRPr="00F60553">
              <w:rPr>
                <w:rFonts w:ascii="Garamond" w:hAnsi="Garamond" w:cs="Times New Roman"/>
                <w:b/>
                <w:sz w:val="16"/>
                <w:szCs w:val="16"/>
                <w:u w:val="single"/>
                <w:lang w:val="pt-PT"/>
              </w:rPr>
              <w:t>Ciências sociais, humanas, letras e línguas</w:t>
            </w:r>
          </w:p>
          <w:p w14:paraId="34CA85FA" w14:textId="77777777" w:rsidR="00F60553" w:rsidRPr="00F60553" w:rsidRDefault="00F60553" w:rsidP="003455F1">
            <w:pPr>
              <w:rPr>
                <w:rFonts w:ascii="Garamond" w:hAnsi="Garamond" w:cs="Times New Roman"/>
                <w:bCs/>
                <w:sz w:val="16"/>
                <w:szCs w:val="16"/>
                <w:lang w:val="pt-PT"/>
              </w:rPr>
            </w:pPr>
            <w:r w:rsidRPr="00F60553">
              <w:rPr>
                <w:rFonts w:ascii="Garamond" w:hAnsi="Garamond"/>
                <w:sz w:val="20"/>
                <w:szCs w:val="20"/>
                <w:lang w:val="pt-PT"/>
              </w:rPr>
              <w:t>Mulheres 65,5% - Homens 34,5%</w:t>
            </w:r>
          </w:p>
          <w:p w14:paraId="58828AA8" w14:textId="77777777" w:rsidR="00F60553" w:rsidRPr="00F60553" w:rsidRDefault="00F60553" w:rsidP="003455F1">
            <w:pPr>
              <w:rPr>
                <w:rFonts w:ascii="Garamond" w:hAnsi="Garamond" w:cs="Times New Roman"/>
                <w:b/>
                <w:sz w:val="16"/>
                <w:szCs w:val="16"/>
                <w:u w:val="single"/>
                <w:lang w:val="pt-PT"/>
              </w:rPr>
            </w:pPr>
            <w:r w:rsidRPr="00F60553">
              <w:rPr>
                <w:rFonts w:ascii="Garamond" w:hAnsi="Garamond" w:cs="Times New Roman"/>
                <w:b/>
                <w:sz w:val="16"/>
                <w:szCs w:val="16"/>
                <w:u w:val="single"/>
                <w:lang w:val="pt-PT"/>
              </w:rPr>
              <w:t>Ciências exactas, engenharias, tecnologias</w:t>
            </w:r>
          </w:p>
          <w:p w14:paraId="230E29C6" w14:textId="77777777" w:rsidR="00F60553" w:rsidRPr="00F60553" w:rsidRDefault="00F60553" w:rsidP="003455F1">
            <w:pPr>
              <w:rPr>
                <w:rFonts w:ascii="Garamond" w:hAnsi="Garamond" w:cs="Times New Roman"/>
                <w:bCs/>
                <w:sz w:val="16"/>
                <w:szCs w:val="16"/>
                <w:lang w:val="pt-PT"/>
              </w:rPr>
            </w:pPr>
            <w:r w:rsidRPr="00F60553">
              <w:rPr>
                <w:rFonts w:ascii="Garamond" w:hAnsi="Garamond"/>
                <w:sz w:val="20"/>
                <w:szCs w:val="20"/>
                <w:lang w:val="pt-PT"/>
              </w:rPr>
              <w:t>Mulheres 28,9 % - Homens 71,1%</w:t>
            </w:r>
          </w:p>
          <w:p w14:paraId="71654321" w14:textId="77777777" w:rsidR="00F60553" w:rsidRPr="00F60553" w:rsidRDefault="00F60553" w:rsidP="003455F1">
            <w:pPr>
              <w:rPr>
                <w:rFonts w:ascii="Garamond" w:hAnsi="Garamond" w:cs="Times New Roman"/>
                <w:b/>
                <w:sz w:val="16"/>
                <w:szCs w:val="16"/>
                <w:u w:val="single"/>
                <w:lang w:val="pt-PT"/>
              </w:rPr>
            </w:pPr>
            <w:r w:rsidRPr="00F60553">
              <w:rPr>
                <w:rFonts w:ascii="Garamond" w:hAnsi="Garamond" w:cs="Times New Roman"/>
                <w:b/>
                <w:sz w:val="16"/>
                <w:szCs w:val="16"/>
                <w:u w:val="single"/>
                <w:lang w:val="pt-PT"/>
              </w:rPr>
              <w:t>Ciências da vida, ambiente e saúde</w:t>
            </w:r>
          </w:p>
          <w:p w14:paraId="54CD3DA7" w14:textId="77777777" w:rsidR="00F60553" w:rsidRPr="00F60553" w:rsidRDefault="00F60553" w:rsidP="003455F1">
            <w:pPr>
              <w:jc w:val="both"/>
              <w:rPr>
                <w:rFonts w:ascii="Garamond" w:hAnsi="Garamond" w:cs="Times New Roman"/>
                <w:bCs/>
                <w:sz w:val="16"/>
                <w:szCs w:val="16"/>
                <w:lang w:val="pt-PT"/>
              </w:rPr>
            </w:pPr>
            <w:r w:rsidRPr="00F60553">
              <w:rPr>
                <w:rFonts w:ascii="Garamond" w:hAnsi="Garamond"/>
                <w:sz w:val="20"/>
                <w:szCs w:val="20"/>
                <w:lang w:val="pt-PT"/>
              </w:rPr>
              <w:t>Mulheres 76,1% - Homens 23,9%</w:t>
            </w:r>
          </w:p>
          <w:p w14:paraId="60C30276" w14:textId="77777777" w:rsidR="00F60553" w:rsidRPr="00F60553" w:rsidRDefault="00F60553" w:rsidP="003455F1">
            <w:pPr>
              <w:jc w:val="both"/>
              <w:rPr>
                <w:rFonts w:ascii="Garamond" w:hAnsi="Garamond"/>
                <w:sz w:val="20"/>
                <w:szCs w:val="20"/>
                <w:lang w:val="pt-PT"/>
              </w:rPr>
            </w:pPr>
            <w:r w:rsidRPr="00F60553">
              <w:rPr>
                <w:rFonts w:ascii="Garamond" w:hAnsi="Garamond" w:cs="Times New Roman"/>
                <w:b/>
                <w:sz w:val="16"/>
                <w:szCs w:val="16"/>
                <w:u w:val="single"/>
                <w:lang w:val="pt-PT"/>
              </w:rPr>
              <w:t>Ciências económicas, jurídicas e políticas</w:t>
            </w:r>
          </w:p>
          <w:p w14:paraId="34425E0E" w14:textId="77777777" w:rsidR="00F60553" w:rsidRPr="00B441EF" w:rsidRDefault="00F60553" w:rsidP="003455F1">
            <w:pPr>
              <w:rPr>
                <w:rFonts w:ascii="Garamond" w:hAnsi="Garamond"/>
                <w:sz w:val="20"/>
                <w:szCs w:val="20"/>
              </w:rPr>
            </w:pPr>
            <w:proofErr w:type="spellStart"/>
            <w:r>
              <w:rPr>
                <w:rFonts w:ascii="Garamond" w:hAnsi="Garamond"/>
                <w:sz w:val="20"/>
                <w:szCs w:val="20"/>
              </w:rPr>
              <w:t>Mulheres</w:t>
            </w:r>
            <w:proofErr w:type="spellEnd"/>
            <w:r w:rsidRPr="00510F56">
              <w:rPr>
                <w:rFonts w:ascii="Garamond" w:hAnsi="Garamond"/>
                <w:sz w:val="20"/>
                <w:szCs w:val="20"/>
              </w:rPr>
              <w:t xml:space="preserve"> 61,9</w:t>
            </w:r>
            <w:r>
              <w:rPr>
                <w:rFonts w:ascii="Garamond" w:hAnsi="Garamond"/>
                <w:sz w:val="20"/>
                <w:szCs w:val="20"/>
              </w:rPr>
              <w:t xml:space="preserve">% - </w:t>
            </w:r>
            <w:proofErr w:type="spellStart"/>
            <w:r>
              <w:rPr>
                <w:rFonts w:ascii="Garamond" w:hAnsi="Garamond"/>
                <w:sz w:val="20"/>
                <w:szCs w:val="20"/>
              </w:rPr>
              <w:t>Homens</w:t>
            </w:r>
            <w:proofErr w:type="spellEnd"/>
            <w:r>
              <w:rPr>
                <w:rFonts w:ascii="Garamond" w:hAnsi="Garamond"/>
                <w:sz w:val="20"/>
                <w:szCs w:val="20"/>
              </w:rPr>
              <w:t xml:space="preserve"> </w:t>
            </w:r>
            <w:r w:rsidRPr="00510F56">
              <w:rPr>
                <w:rFonts w:ascii="Garamond" w:hAnsi="Garamond"/>
                <w:sz w:val="20"/>
                <w:szCs w:val="20"/>
              </w:rPr>
              <w:t>38,1</w:t>
            </w:r>
            <w:r>
              <w:rPr>
                <w:rFonts w:ascii="Garamond" w:hAnsi="Garamond"/>
                <w:sz w:val="20"/>
                <w:szCs w:val="20"/>
              </w:rPr>
              <w:t>%</w:t>
            </w:r>
          </w:p>
        </w:tc>
        <w:tc>
          <w:tcPr>
            <w:tcW w:w="896" w:type="dxa"/>
            <w:vAlign w:val="center"/>
          </w:tcPr>
          <w:p w14:paraId="711F1C38" w14:textId="77777777" w:rsidR="00F60553" w:rsidRDefault="00F60553" w:rsidP="003455F1">
            <w:pPr>
              <w:jc w:val="center"/>
              <w:rPr>
                <w:rFonts w:ascii="Garamond" w:hAnsi="Garamond" w:cs="Times New Roman"/>
                <w:bCs/>
                <w:sz w:val="16"/>
                <w:szCs w:val="16"/>
              </w:rPr>
            </w:pPr>
            <w:r w:rsidRPr="006D7479">
              <w:rPr>
                <w:rFonts w:ascii="Garamond" w:hAnsi="Garamond" w:cs="Times New Roman"/>
                <w:bCs/>
                <w:sz w:val="16"/>
                <w:szCs w:val="16"/>
              </w:rPr>
              <w:t>2014/2015</w:t>
            </w:r>
          </w:p>
          <w:p w14:paraId="518A8814" w14:textId="77777777" w:rsidR="00F60553" w:rsidRPr="006D7479" w:rsidRDefault="00F60553" w:rsidP="003455F1">
            <w:pPr>
              <w:jc w:val="center"/>
              <w:rPr>
                <w:rFonts w:ascii="Garamond" w:hAnsi="Garamond" w:cs="Times New Roman"/>
                <w:bCs/>
                <w:sz w:val="16"/>
                <w:szCs w:val="16"/>
              </w:rPr>
            </w:pPr>
            <w:proofErr w:type="spellStart"/>
            <w:r>
              <w:rPr>
                <w:rFonts w:ascii="Garamond" w:hAnsi="Garamond" w:cs="Times New Roman"/>
                <w:bCs/>
                <w:sz w:val="16"/>
                <w:szCs w:val="16"/>
              </w:rPr>
              <w:t>Ano</w:t>
            </w:r>
            <w:proofErr w:type="spellEnd"/>
            <w:r>
              <w:rPr>
                <w:rFonts w:ascii="Garamond" w:hAnsi="Garamond" w:cs="Times New Roman"/>
                <w:bCs/>
                <w:sz w:val="16"/>
                <w:szCs w:val="16"/>
              </w:rPr>
              <w:t xml:space="preserve"> </w:t>
            </w:r>
            <w:proofErr w:type="spellStart"/>
            <w:r>
              <w:rPr>
                <w:rFonts w:ascii="Garamond" w:hAnsi="Garamond" w:cs="Times New Roman"/>
                <w:bCs/>
                <w:sz w:val="16"/>
                <w:szCs w:val="16"/>
              </w:rPr>
              <w:t>letivo</w:t>
            </w:r>
            <w:proofErr w:type="spellEnd"/>
          </w:p>
        </w:tc>
        <w:tc>
          <w:tcPr>
            <w:tcW w:w="1832" w:type="dxa"/>
            <w:vAlign w:val="center"/>
          </w:tcPr>
          <w:p w14:paraId="4A934B4B" w14:textId="77777777" w:rsidR="00F60553" w:rsidRPr="00F60553" w:rsidRDefault="00F60553" w:rsidP="003455F1">
            <w:pPr>
              <w:rPr>
                <w:rFonts w:ascii="Garamond" w:hAnsi="Garamond" w:cs="Times New Roman"/>
                <w:sz w:val="20"/>
                <w:szCs w:val="20"/>
                <w:lang w:val="pt-PT"/>
              </w:rPr>
            </w:pPr>
            <w:r w:rsidRPr="00F60553">
              <w:rPr>
                <w:rFonts w:ascii="Garamond" w:hAnsi="Garamond"/>
                <w:sz w:val="20"/>
                <w:szCs w:val="20"/>
                <w:lang w:val="pt-PT"/>
              </w:rPr>
              <w:t xml:space="preserve">ME - </w:t>
            </w:r>
            <w:r w:rsidRPr="00F60553">
              <w:rPr>
                <w:rFonts w:ascii="Garamond" w:hAnsi="Garamond"/>
                <w:i/>
                <w:iCs/>
                <w:sz w:val="20"/>
                <w:szCs w:val="20"/>
                <w:lang w:val="pt-PT"/>
              </w:rPr>
              <w:t>Anuário Estatístico do Ensino Superior</w:t>
            </w:r>
          </w:p>
        </w:tc>
      </w:tr>
      <w:tr w:rsidR="00F60553" w:rsidRPr="005808D4" w14:paraId="1CEA0F9E" w14:textId="77777777" w:rsidTr="00F60553">
        <w:trPr>
          <w:jc w:val="center"/>
        </w:trPr>
        <w:tc>
          <w:tcPr>
            <w:tcW w:w="1637" w:type="dxa"/>
            <w:vMerge/>
            <w:vAlign w:val="center"/>
          </w:tcPr>
          <w:p w14:paraId="4A10DB34"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03B634B5"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3d Número de inscritos/as na formação profissional por áreas</w:t>
            </w:r>
          </w:p>
        </w:tc>
        <w:tc>
          <w:tcPr>
            <w:tcW w:w="3332" w:type="dxa"/>
            <w:vAlign w:val="center"/>
          </w:tcPr>
          <w:p w14:paraId="0010BCEE" w14:textId="77777777" w:rsidR="00F60553" w:rsidRPr="00F60553" w:rsidRDefault="00F60553" w:rsidP="003455F1">
            <w:pPr>
              <w:jc w:val="center"/>
              <w:rPr>
                <w:rFonts w:ascii="Garamond" w:hAnsi="Garamond" w:cs="Times New Roman"/>
                <w:bCs/>
                <w:sz w:val="20"/>
                <w:szCs w:val="20"/>
                <w:lang w:val="pt-PT"/>
              </w:rPr>
            </w:pPr>
            <w:r w:rsidRPr="00F60553">
              <w:rPr>
                <w:rFonts w:ascii="Garamond" w:hAnsi="Garamond" w:cs="Times New Roman"/>
                <w:bCs/>
                <w:sz w:val="20"/>
                <w:szCs w:val="20"/>
                <w:lang w:val="pt-PT"/>
              </w:rPr>
              <w:t>M 2.166</w:t>
            </w:r>
          </w:p>
          <w:p w14:paraId="1D2C9A47" w14:textId="77777777" w:rsidR="00F60553" w:rsidRPr="00F60553" w:rsidRDefault="00F60553" w:rsidP="003455F1">
            <w:pPr>
              <w:jc w:val="center"/>
              <w:rPr>
                <w:rFonts w:ascii="Garamond" w:hAnsi="Garamond" w:cs="Times New Roman"/>
                <w:bCs/>
                <w:sz w:val="20"/>
                <w:szCs w:val="20"/>
                <w:lang w:val="pt-PT"/>
              </w:rPr>
            </w:pPr>
            <w:r w:rsidRPr="00F60553">
              <w:rPr>
                <w:rFonts w:ascii="Garamond" w:hAnsi="Garamond" w:cs="Times New Roman"/>
                <w:bCs/>
                <w:sz w:val="20"/>
                <w:szCs w:val="20"/>
                <w:lang w:val="pt-PT"/>
              </w:rPr>
              <w:t>H 1.930</w:t>
            </w:r>
          </w:p>
          <w:p w14:paraId="532768E4" w14:textId="77777777" w:rsidR="00F60553" w:rsidRPr="00F60553" w:rsidRDefault="00F60553" w:rsidP="003455F1">
            <w:pPr>
              <w:jc w:val="center"/>
              <w:rPr>
                <w:rFonts w:ascii="Garamond" w:hAnsi="Garamond" w:cs="Times New Roman"/>
                <w:bCs/>
                <w:sz w:val="20"/>
                <w:szCs w:val="20"/>
                <w:lang w:val="pt-PT"/>
              </w:rPr>
            </w:pPr>
            <w:r w:rsidRPr="00F60553">
              <w:rPr>
                <w:rFonts w:ascii="Garamond" w:hAnsi="Garamond" w:cs="Times New Roman"/>
                <w:bCs/>
                <w:sz w:val="20"/>
                <w:szCs w:val="20"/>
                <w:lang w:val="pt-PT"/>
              </w:rPr>
              <w:t>(áreas no ND)</w:t>
            </w:r>
          </w:p>
        </w:tc>
        <w:tc>
          <w:tcPr>
            <w:tcW w:w="896" w:type="dxa"/>
            <w:vAlign w:val="center"/>
          </w:tcPr>
          <w:p w14:paraId="29EFC4CD"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2017</w:t>
            </w:r>
          </w:p>
        </w:tc>
        <w:tc>
          <w:tcPr>
            <w:tcW w:w="1832" w:type="dxa"/>
            <w:vAlign w:val="center"/>
          </w:tcPr>
          <w:p w14:paraId="6E5DBB5F"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IEFP – publicação INE: </w:t>
            </w:r>
            <w:r w:rsidRPr="00F60553">
              <w:rPr>
                <w:rFonts w:ascii="Garamond" w:hAnsi="Garamond" w:cs="Times New Roman"/>
                <w:bCs/>
                <w:i/>
                <w:iCs/>
                <w:sz w:val="20"/>
                <w:szCs w:val="20"/>
                <w:lang w:val="pt-PT"/>
              </w:rPr>
              <w:t>Anuário Estatístico 2017</w:t>
            </w:r>
          </w:p>
        </w:tc>
      </w:tr>
      <w:tr w:rsidR="00F60553" w:rsidRPr="005808D4" w14:paraId="135ADD90" w14:textId="77777777" w:rsidTr="003455F1">
        <w:trPr>
          <w:tblHeader/>
          <w:jc w:val="center"/>
        </w:trPr>
        <w:tc>
          <w:tcPr>
            <w:tcW w:w="10349" w:type="dxa"/>
            <w:gridSpan w:val="5"/>
            <w:shd w:val="clear" w:color="auto" w:fill="BDD6EE" w:themeFill="accent5" w:themeFillTint="66"/>
            <w:vAlign w:val="center"/>
          </w:tcPr>
          <w:p w14:paraId="5A65EDA6"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4 - </w:t>
            </w:r>
            <w:r w:rsidRPr="00F60553">
              <w:rPr>
                <w:rFonts w:ascii="Garamond" w:hAnsi="Garamond"/>
                <w:b/>
                <w:sz w:val="20"/>
                <w:szCs w:val="20"/>
                <w:lang w:val="pt-PT"/>
              </w:rPr>
              <w:t>Saúde e direitos sexuais e reprodutivos</w:t>
            </w:r>
          </w:p>
        </w:tc>
      </w:tr>
      <w:tr w:rsidR="00F60553" w:rsidRPr="005808D4" w14:paraId="5B57C8C7" w14:textId="77777777" w:rsidTr="00F60553">
        <w:trPr>
          <w:jc w:val="center"/>
        </w:trPr>
        <w:tc>
          <w:tcPr>
            <w:tcW w:w="1637" w:type="dxa"/>
            <w:vMerge w:val="restart"/>
            <w:vAlign w:val="center"/>
          </w:tcPr>
          <w:p w14:paraId="1FF29224" w14:textId="77777777" w:rsidR="00F60553" w:rsidRPr="00F60553" w:rsidRDefault="00F60553" w:rsidP="003455F1">
            <w:pPr>
              <w:rPr>
                <w:rFonts w:ascii="Garamond" w:hAnsi="Garamond" w:cs="Times New Roman"/>
                <w:bCs/>
                <w:sz w:val="20"/>
                <w:szCs w:val="20"/>
                <w:lang w:val="pt-PT"/>
              </w:rPr>
            </w:pPr>
            <w:r w:rsidRPr="00F60553">
              <w:rPr>
                <w:rFonts w:ascii="Garamond" w:hAnsi="Garamond"/>
                <w:bCs/>
                <w:sz w:val="20"/>
                <w:szCs w:val="20"/>
                <w:lang w:val="pt-PT"/>
              </w:rPr>
              <w:t xml:space="preserve">Promover o aumento da procura de serviços de saúde e </w:t>
            </w:r>
            <w:proofErr w:type="spellStart"/>
            <w:r w:rsidRPr="00F60553">
              <w:rPr>
                <w:rFonts w:ascii="Garamond" w:hAnsi="Garamond"/>
                <w:bCs/>
                <w:sz w:val="20"/>
                <w:szCs w:val="20"/>
                <w:lang w:val="pt-PT"/>
              </w:rPr>
              <w:t>SSR</w:t>
            </w:r>
            <w:proofErr w:type="spellEnd"/>
            <w:r w:rsidRPr="00F60553">
              <w:rPr>
                <w:rFonts w:ascii="Garamond" w:hAnsi="Garamond"/>
                <w:bCs/>
                <w:sz w:val="20"/>
                <w:szCs w:val="20"/>
                <w:lang w:val="pt-PT"/>
              </w:rPr>
              <w:t xml:space="preserve"> e a oferta de serviços de qualidade que respeitam as especificidades de cada pessoa</w:t>
            </w:r>
          </w:p>
        </w:tc>
        <w:tc>
          <w:tcPr>
            <w:tcW w:w="2652" w:type="dxa"/>
            <w:vAlign w:val="center"/>
          </w:tcPr>
          <w:p w14:paraId="37DD24BA"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4a Percentagem de grávidas menores de 19 e de 17 anos, nas consultas pré-natais</w:t>
            </w:r>
          </w:p>
        </w:tc>
        <w:tc>
          <w:tcPr>
            <w:tcW w:w="3332" w:type="dxa"/>
            <w:vAlign w:val="center"/>
          </w:tcPr>
          <w:p w14:paraId="39D6CF82" w14:textId="77777777" w:rsidR="00F60553" w:rsidRPr="00A47B83" w:rsidRDefault="00F60553" w:rsidP="003455F1">
            <w:pPr>
              <w:jc w:val="both"/>
              <w:rPr>
                <w:rFonts w:ascii="Garamond" w:hAnsi="Garamond" w:cs="Times New Roman"/>
                <w:bCs/>
                <w:sz w:val="20"/>
                <w:szCs w:val="20"/>
              </w:rPr>
            </w:pPr>
            <w:proofErr w:type="spellStart"/>
            <w:r w:rsidRPr="00A47B83">
              <w:rPr>
                <w:rFonts w:ascii="Garamond" w:hAnsi="Garamond" w:cs="Times New Roman"/>
                <w:bCs/>
                <w:sz w:val="20"/>
                <w:szCs w:val="20"/>
              </w:rPr>
              <w:t>Grávidas</w:t>
            </w:r>
            <w:proofErr w:type="spellEnd"/>
            <w:r w:rsidRPr="00A47B83">
              <w:rPr>
                <w:rFonts w:ascii="Garamond" w:hAnsi="Garamond" w:cs="Times New Roman"/>
                <w:bCs/>
                <w:sz w:val="20"/>
                <w:szCs w:val="20"/>
              </w:rPr>
              <w:t xml:space="preserve"> &lt;17 </w:t>
            </w:r>
            <w:proofErr w:type="spellStart"/>
            <w:r w:rsidRPr="00A47B83">
              <w:rPr>
                <w:rFonts w:ascii="Garamond" w:hAnsi="Garamond" w:cs="Times New Roman"/>
                <w:bCs/>
                <w:sz w:val="20"/>
                <w:szCs w:val="20"/>
              </w:rPr>
              <w:t>anos</w:t>
            </w:r>
            <w:proofErr w:type="spellEnd"/>
            <w:r>
              <w:rPr>
                <w:rFonts w:ascii="Garamond" w:hAnsi="Garamond" w:cs="Times New Roman"/>
                <w:bCs/>
                <w:sz w:val="20"/>
                <w:szCs w:val="20"/>
              </w:rPr>
              <w:t xml:space="preserve">: </w:t>
            </w:r>
            <w:r w:rsidRPr="00A47B83">
              <w:rPr>
                <w:rFonts w:ascii="Garamond" w:hAnsi="Garamond" w:cs="Times New Roman"/>
                <w:bCs/>
                <w:sz w:val="20"/>
                <w:szCs w:val="20"/>
              </w:rPr>
              <w:t>4%</w:t>
            </w:r>
          </w:p>
          <w:p w14:paraId="00E38333" w14:textId="77777777" w:rsidR="00F60553" w:rsidRPr="0033186A" w:rsidRDefault="00F60553" w:rsidP="003455F1">
            <w:pPr>
              <w:jc w:val="both"/>
              <w:rPr>
                <w:rFonts w:ascii="Garamond" w:hAnsi="Garamond" w:cs="Times New Roman"/>
                <w:bCs/>
                <w:sz w:val="20"/>
                <w:szCs w:val="20"/>
              </w:rPr>
            </w:pPr>
            <w:proofErr w:type="spellStart"/>
            <w:r w:rsidRPr="00A47B83">
              <w:rPr>
                <w:rFonts w:ascii="Garamond" w:hAnsi="Garamond" w:cs="Times New Roman"/>
                <w:bCs/>
                <w:sz w:val="20"/>
                <w:szCs w:val="20"/>
              </w:rPr>
              <w:t>Grávidas</w:t>
            </w:r>
            <w:proofErr w:type="spellEnd"/>
            <w:r w:rsidRPr="00A47B83">
              <w:rPr>
                <w:rFonts w:ascii="Garamond" w:hAnsi="Garamond" w:cs="Times New Roman"/>
                <w:bCs/>
                <w:sz w:val="20"/>
                <w:szCs w:val="20"/>
              </w:rPr>
              <w:t xml:space="preserve"> &lt;19 </w:t>
            </w:r>
            <w:proofErr w:type="spellStart"/>
            <w:r w:rsidRPr="00A47B83">
              <w:rPr>
                <w:rFonts w:ascii="Garamond" w:hAnsi="Garamond" w:cs="Times New Roman"/>
                <w:bCs/>
                <w:sz w:val="20"/>
                <w:szCs w:val="20"/>
              </w:rPr>
              <w:t>anos</w:t>
            </w:r>
            <w:proofErr w:type="spellEnd"/>
            <w:r>
              <w:rPr>
                <w:rFonts w:ascii="Garamond" w:hAnsi="Garamond" w:cs="Times New Roman"/>
                <w:bCs/>
                <w:sz w:val="20"/>
                <w:szCs w:val="20"/>
              </w:rPr>
              <w:t>:</w:t>
            </w:r>
            <w:r w:rsidRPr="00A47B83">
              <w:rPr>
                <w:rFonts w:ascii="Garamond" w:hAnsi="Garamond" w:cs="Times New Roman"/>
                <w:bCs/>
                <w:sz w:val="20"/>
                <w:szCs w:val="20"/>
              </w:rPr>
              <w:t xml:space="preserve"> 17,8%</w:t>
            </w:r>
          </w:p>
        </w:tc>
        <w:tc>
          <w:tcPr>
            <w:tcW w:w="896" w:type="dxa"/>
            <w:vAlign w:val="center"/>
          </w:tcPr>
          <w:p w14:paraId="332CEE41"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2017</w:t>
            </w:r>
          </w:p>
        </w:tc>
        <w:tc>
          <w:tcPr>
            <w:tcW w:w="1832" w:type="dxa"/>
            <w:vAlign w:val="center"/>
          </w:tcPr>
          <w:p w14:paraId="5DBD0C54"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Dados </w:t>
            </w:r>
            <w:proofErr w:type="spellStart"/>
            <w:r w:rsidRPr="00F60553">
              <w:rPr>
                <w:rFonts w:ascii="Garamond" w:hAnsi="Garamond" w:cs="Times New Roman"/>
                <w:bCs/>
                <w:sz w:val="20"/>
                <w:szCs w:val="20"/>
                <w:lang w:val="pt-PT"/>
              </w:rPr>
              <w:t>Admin</w:t>
            </w:r>
            <w:proofErr w:type="spellEnd"/>
            <w:r w:rsidRPr="00F60553">
              <w:rPr>
                <w:rFonts w:ascii="Garamond" w:hAnsi="Garamond" w:cs="Times New Roman"/>
                <w:bCs/>
                <w:sz w:val="20"/>
                <w:szCs w:val="20"/>
                <w:lang w:val="pt-PT"/>
              </w:rPr>
              <w:t>. MS</w:t>
            </w:r>
          </w:p>
          <w:p w14:paraId="388EDA41"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Publicação: </w:t>
            </w:r>
            <w:r w:rsidRPr="00F60553">
              <w:rPr>
                <w:rFonts w:ascii="Garamond" w:hAnsi="Garamond" w:cs="Times New Roman"/>
                <w:bCs/>
                <w:i/>
                <w:iCs/>
                <w:sz w:val="20"/>
                <w:szCs w:val="20"/>
                <w:lang w:val="pt-PT"/>
              </w:rPr>
              <w:t>Relatório Estatístico</w:t>
            </w:r>
          </w:p>
        </w:tc>
      </w:tr>
      <w:tr w:rsidR="00F60553" w:rsidRPr="0033186A" w14:paraId="41653143" w14:textId="77777777" w:rsidTr="00F60553">
        <w:trPr>
          <w:jc w:val="center"/>
        </w:trPr>
        <w:tc>
          <w:tcPr>
            <w:tcW w:w="1637" w:type="dxa"/>
            <w:vMerge/>
            <w:vAlign w:val="center"/>
          </w:tcPr>
          <w:p w14:paraId="51BE59FA"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0E8EA3F0" w14:textId="77777777" w:rsidR="00F60553" w:rsidRPr="00F60553" w:rsidRDefault="00F60553" w:rsidP="003455F1">
            <w:pPr>
              <w:rPr>
                <w:rFonts w:ascii="Garamond" w:hAnsi="Garamond" w:cs="Times New Roman"/>
                <w:bCs/>
                <w:sz w:val="20"/>
                <w:szCs w:val="20"/>
                <w:lang w:val="pt-PT"/>
              </w:rPr>
            </w:pPr>
            <w:r w:rsidRPr="00F60553">
              <w:rPr>
                <w:rFonts w:ascii="Garamond" w:hAnsi="Garamond"/>
                <w:sz w:val="20"/>
                <w:szCs w:val="20"/>
                <w:lang w:val="pt-PT"/>
              </w:rPr>
              <w:t>4b Taxa de (i) consumo perigoso do álcool e (ii) consumo nocivo do álcool</w:t>
            </w:r>
          </w:p>
        </w:tc>
        <w:tc>
          <w:tcPr>
            <w:tcW w:w="3332" w:type="dxa"/>
            <w:vAlign w:val="center"/>
          </w:tcPr>
          <w:p w14:paraId="1133F90B" w14:textId="77777777" w:rsidR="00F60553" w:rsidRPr="00F60553" w:rsidRDefault="00F60553" w:rsidP="003455F1">
            <w:pPr>
              <w:rPr>
                <w:rFonts w:ascii="Garamond" w:hAnsi="Garamond"/>
                <w:sz w:val="20"/>
                <w:szCs w:val="20"/>
                <w:lang w:val="pt-PT"/>
              </w:rPr>
            </w:pPr>
            <w:r w:rsidRPr="00F60553">
              <w:rPr>
                <w:rFonts w:ascii="Garamond" w:hAnsi="Garamond"/>
                <w:b/>
                <w:bCs/>
                <w:sz w:val="20"/>
                <w:szCs w:val="20"/>
                <w:u w:val="single"/>
                <w:lang w:val="pt-PT"/>
              </w:rPr>
              <w:t>Consumo perigoso</w:t>
            </w:r>
            <w:r w:rsidRPr="00F60553">
              <w:rPr>
                <w:rFonts w:ascii="Garamond" w:hAnsi="Garamond"/>
                <w:sz w:val="20"/>
                <w:szCs w:val="20"/>
                <w:lang w:val="pt-PT"/>
              </w:rPr>
              <w:t xml:space="preserve"> (25-64 anos):</w:t>
            </w:r>
          </w:p>
          <w:p w14:paraId="11E5E015"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 xml:space="preserve">Mulheres (20-40 gr /dia): 2,4% </w:t>
            </w:r>
          </w:p>
          <w:p w14:paraId="3AD24B3D"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Homens (40-60 gr/dia): 6,35%</w:t>
            </w:r>
          </w:p>
          <w:p w14:paraId="309D332F" w14:textId="77777777" w:rsidR="00F60553" w:rsidRPr="00F60553" w:rsidRDefault="00F60553" w:rsidP="003455F1">
            <w:pPr>
              <w:rPr>
                <w:rFonts w:ascii="Garamond" w:hAnsi="Garamond"/>
                <w:sz w:val="20"/>
                <w:szCs w:val="20"/>
                <w:u w:val="single"/>
                <w:lang w:val="pt-PT"/>
              </w:rPr>
            </w:pPr>
            <w:r w:rsidRPr="00F60553">
              <w:rPr>
                <w:rFonts w:ascii="Garamond" w:hAnsi="Garamond"/>
                <w:b/>
                <w:bCs/>
                <w:sz w:val="20"/>
                <w:szCs w:val="20"/>
                <w:u w:val="single"/>
                <w:lang w:val="pt-PT"/>
              </w:rPr>
              <w:t>Consumo nocivo</w:t>
            </w:r>
            <w:r w:rsidRPr="00F60553">
              <w:rPr>
                <w:rFonts w:ascii="Garamond" w:hAnsi="Garamond"/>
                <w:sz w:val="20"/>
                <w:szCs w:val="20"/>
                <w:lang w:val="pt-PT"/>
              </w:rPr>
              <w:t xml:space="preserve"> (25-64 anos):</w:t>
            </w:r>
          </w:p>
          <w:p w14:paraId="19C16B9E" w14:textId="77777777" w:rsidR="00F60553" w:rsidRPr="00F60553" w:rsidRDefault="00F60553" w:rsidP="003455F1">
            <w:pPr>
              <w:jc w:val="both"/>
              <w:rPr>
                <w:rFonts w:ascii="Garamond" w:hAnsi="Garamond"/>
                <w:sz w:val="20"/>
                <w:szCs w:val="20"/>
                <w:lang w:val="pt-PT"/>
              </w:rPr>
            </w:pPr>
            <w:r w:rsidRPr="00F60553">
              <w:rPr>
                <w:rFonts w:ascii="Garamond" w:hAnsi="Garamond"/>
                <w:sz w:val="20"/>
                <w:szCs w:val="20"/>
                <w:lang w:val="pt-PT"/>
              </w:rPr>
              <w:t xml:space="preserve">Mulheres (&gt;40 gr/dia): 0,2% </w:t>
            </w:r>
          </w:p>
          <w:p w14:paraId="2C4A4233" w14:textId="77777777" w:rsidR="00F60553" w:rsidRPr="00F60553" w:rsidRDefault="00F60553" w:rsidP="003455F1">
            <w:pPr>
              <w:rPr>
                <w:rFonts w:ascii="Garamond" w:hAnsi="Garamond"/>
                <w:sz w:val="20"/>
                <w:szCs w:val="20"/>
                <w:lang w:val="pt-PT"/>
              </w:rPr>
            </w:pPr>
            <w:r w:rsidRPr="00F60553">
              <w:rPr>
                <w:rFonts w:ascii="Garamond" w:hAnsi="Garamond"/>
                <w:sz w:val="20"/>
                <w:szCs w:val="20"/>
                <w:lang w:val="pt-PT"/>
              </w:rPr>
              <w:t>Homens (&gt;60 gr/dia): 2,9%</w:t>
            </w:r>
          </w:p>
        </w:tc>
        <w:tc>
          <w:tcPr>
            <w:tcW w:w="896" w:type="dxa"/>
            <w:vAlign w:val="center"/>
          </w:tcPr>
          <w:p w14:paraId="37DA620A"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2007</w:t>
            </w:r>
          </w:p>
        </w:tc>
        <w:tc>
          <w:tcPr>
            <w:tcW w:w="1832" w:type="dxa"/>
            <w:vAlign w:val="center"/>
          </w:tcPr>
          <w:p w14:paraId="4FEFE65C" w14:textId="77777777" w:rsidR="00F60553" w:rsidRPr="0033186A" w:rsidRDefault="00F60553" w:rsidP="003455F1">
            <w:pPr>
              <w:rPr>
                <w:rFonts w:ascii="Garamond" w:hAnsi="Garamond" w:cs="Times New Roman"/>
                <w:bCs/>
                <w:sz w:val="20"/>
                <w:szCs w:val="20"/>
              </w:rPr>
            </w:pPr>
            <w:proofErr w:type="spellStart"/>
            <w:r>
              <w:rPr>
                <w:rFonts w:ascii="Garamond" w:hAnsi="Garamond" w:cs="Times New Roman"/>
                <w:bCs/>
                <w:sz w:val="20"/>
                <w:szCs w:val="20"/>
              </w:rPr>
              <w:t>INDT</w:t>
            </w:r>
            <w:proofErr w:type="spellEnd"/>
            <w:r>
              <w:rPr>
                <w:rFonts w:ascii="Garamond" w:hAnsi="Garamond" w:cs="Times New Roman"/>
                <w:bCs/>
                <w:sz w:val="20"/>
                <w:szCs w:val="20"/>
              </w:rPr>
              <w:t xml:space="preserve"> I</w:t>
            </w:r>
          </w:p>
        </w:tc>
      </w:tr>
      <w:tr w:rsidR="00F60553" w:rsidRPr="005808D4" w14:paraId="08C8196C" w14:textId="77777777" w:rsidTr="00F60553">
        <w:trPr>
          <w:trHeight w:val="373"/>
          <w:jc w:val="center"/>
        </w:trPr>
        <w:tc>
          <w:tcPr>
            <w:tcW w:w="1637" w:type="dxa"/>
            <w:vMerge/>
            <w:vAlign w:val="center"/>
          </w:tcPr>
          <w:p w14:paraId="621FA903" w14:textId="77777777" w:rsidR="00F60553" w:rsidRPr="0033186A" w:rsidRDefault="00F60553" w:rsidP="003455F1">
            <w:pPr>
              <w:jc w:val="both"/>
              <w:rPr>
                <w:rFonts w:ascii="Garamond" w:hAnsi="Garamond" w:cs="Times New Roman"/>
                <w:bCs/>
                <w:sz w:val="20"/>
                <w:szCs w:val="20"/>
              </w:rPr>
            </w:pPr>
          </w:p>
        </w:tc>
        <w:tc>
          <w:tcPr>
            <w:tcW w:w="2652" w:type="dxa"/>
            <w:vAlign w:val="center"/>
          </w:tcPr>
          <w:p w14:paraId="73A3B17A"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4c Taxa de mortalidade (i) por suicídio (</w:t>
            </w:r>
            <w:proofErr w:type="spellStart"/>
            <w:r w:rsidRPr="00F60553">
              <w:rPr>
                <w:rFonts w:ascii="Garamond" w:hAnsi="Garamond" w:cs="Times New Roman"/>
                <w:bCs/>
                <w:sz w:val="20"/>
                <w:szCs w:val="20"/>
                <w:lang w:val="pt-PT"/>
              </w:rPr>
              <w:t>ODS</w:t>
            </w:r>
            <w:proofErr w:type="spellEnd"/>
            <w:r w:rsidRPr="00F60553">
              <w:rPr>
                <w:rFonts w:ascii="Garamond" w:hAnsi="Garamond" w:cs="Times New Roman"/>
                <w:bCs/>
                <w:sz w:val="20"/>
                <w:szCs w:val="20"/>
                <w:lang w:val="pt-PT"/>
              </w:rPr>
              <w:t xml:space="preserve"> 3) e (ii) por causas externas (suicídio, homicídio, afogamento, entre outros)</w:t>
            </w:r>
          </w:p>
        </w:tc>
        <w:tc>
          <w:tcPr>
            <w:tcW w:w="3332" w:type="dxa"/>
            <w:vAlign w:val="center"/>
          </w:tcPr>
          <w:p w14:paraId="69DC89E8"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
                <w:sz w:val="20"/>
                <w:szCs w:val="20"/>
                <w:u w:val="single"/>
                <w:lang w:val="pt-PT"/>
              </w:rPr>
              <w:t>Taxa de mortalidade por suicídio</w:t>
            </w:r>
            <w:r w:rsidRPr="00F60553">
              <w:rPr>
                <w:rFonts w:ascii="Garamond" w:hAnsi="Garamond" w:cs="Times New Roman"/>
                <w:bCs/>
                <w:sz w:val="20"/>
                <w:szCs w:val="20"/>
                <w:lang w:val="pt-PT"/>
              </w:rPr>
              <w:t xml:space="preserve">: </w:t>
            </w:r>
          </w:p>
          <w:p w14:paraId="4CA37B66"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Cs/>
                <w:sz w:val="20"/>
                <w:szCs w:val="20"/>
                <w:lang w:val="pt-PT"/>
              </w:rPr>
              <w:t>Mulheres: 9,1 por 100.000</w:t>
            </w:r>
          </w:p>
          <w:p w14:paraId="36C1C408"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Cs/>
                <w:sz w:val="20"/>
                <w:szCs w:val="20"/>
                <w:lang w:val="pt-PT"/>
              </w:rPr>
              <w:t>Homens: 16,7 por 100.000</w:t>
            </w:r>
          </w:p>
          <w:p w14:paraId="428A47CA"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
                <w:sz w:val="20"/>
                <w:szCs w:val="20"/>
                <w:u w:val="single"/>
                <w:lang w:val="pt-PT"/>
              </w:rPr>
              <w:t xml:space="preserve">Taxa de </w:t>
            </w:r>
            <w:proofErr w:type="spellStart"/>
            <w:r w:rsidRPr="00F60553">
              <w:rPr>
                <w:rFonts w:ascii="Garamond" w:hAnsi="Garamond" w:cs="Times New Roman"/>
                <w:b/>
                <w:sz w:val="20"/>
                <w:szCs w:val="20"/>
                <w:u w:val="single"/>
                <w:lang w:val="pt-PT"/>
              </w:rPr>
              <w:t>mort</w:t>
            </w:r>
            <w:proofErr w:type="spellEnd"/>
            <w:r w:rsidRPr="00F60553">
              <w:rPr>
                <w:rFonts w:ascii="Garamond" w:hAnsi="Garamond" w:cs="Times New Roman"/>
                <w:b/>
                <w:sz w:val="20"/>
                <w:szCs w:val="20"/>
                <w:u w:val="single"/>
                <w:lang w:val="pt-PT"/>
              </w:rPr>
              <w:t>. causas externas</w:t>
            </w:r>
            <w:r w:rsidRPr="00F60553">
              <w:rPr>
                <w:rFonts w:ascii="Garamond" w:hAnsi="Garamond" w:cs="Times New Roman"/>
                <w:bCs/>
                <w:sz w:val="20"/>
                <w:szCs w:val="20"/>
                <w:lang w:val="pt-PT"/>
              </w:rPr>
              <w:t xml:space="preserve">: </w:t>
            </w:r>
          </w:p>
          <w:p w14:paraId="4DF0E4E7" w14:textId="77777777" w:rsidR="00F60553" w:rsidRPr="007219F6" w:rsidRDefault="00F60553" w:rsidP="003455F1">
            <w:pPr>
              <w:jc w:val="both"/>
              <w:rPr>
                <w:rFonts w:ascii="Garamond" w:hAnsi="Garamond" w:cs="Times New Roman"/>
                <w:bCs/>
                <w:sz w:val="20"/>
                <w:szCs w:val="20"/>
              </w:rPr>
            </w:pPr>
            <w:proofErr w:type="spellStart"/>
            <w:r w:rsidRPr="007219F6">
              <w:rPr>
                <w:rFonts w:ascii="Garamond" w:hAnsi="Garamond" w:cs="Times New Roman"/>
                <w:bCs/>
                <w:sz w:val="20"/>
                <w:szCs w:val="20"/>
              </w:rPr>
              <w:t>Mulheres</w:t>
            </w:r>
            <w:proofErr w:type="spellEnd"/>
            <w:r w:rsidRPr="007219F6">
              <w:rPr>
                <w:rFonts w:ascii="Garamond" w:hAnsi="Garamond" w:cs="Times New Roman"/>
                <w:bCs/>
                <w:sz w:val="20"/>
                <w:szCs w:val="20"/>
              </w:rPr>
              <w:t>: 5,6 por 100.000</w:t>
            </w:r>
          </w:p>
          <w:p w14:paraId="2D8A4790" w14:textId="77777777" w:rsidR="00F60553" w:rsidRPr="00740843" w:rsidRDefault="00F60553" w:rsidP="003455F1">
            <w:pPr>
              <w:jc w:val="both"/>
              <w:rPr>
                <w:rFonts w:ascii="Garamond" w:hAnsi="Garamond"/>
                <w:sz w:val="20"/>
                <w:szCs w:val="20"/>
              </w:rPr>
            </w:pPr>
            <w:proofErr w:type="spellStart"/>
            <w:r w:rsidRPr="007219F6">
              <w:rPr>
                <w:rFonts w:ascii="Garamond" w:hAnsi="Garamond" w:cs="Times New Roman"/>
                <w:bCs/>
                <w:sz w:val="20"/>
                <w:szCs w:val="20"/>
              </w:rPr>
              <w:t>Homens</w:t>
            </w:r>
            <w:proofErr w:type="spellEnd"/>
            <w:r w:rsidRPr="007219F6">
              <w:rPr>
                <w:rFonts w:ascii="Garamond" w:hAnsi="Garamond" w:cs="Times New Roman"/>
                <w:bCs/>
                <w:sz w:val="20"/>
                <w:szCs w:val="20"/>
              </w:rPr>
              <w:t>: 35,2 por 100.000</w:t>
            </w:r>
          </w:p>
        </w:tc>
        <w:tc>
          <w:tcPr>
            <w:tcW w:w="896" w:type="dxa"/>
            <w:vAlign w:val="center"/>
          </w:tcPr>
          <w:p w14:paraId="2CE82A64"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2017</w:t>
            </w:r>
          </w:p>
        </w:tc>
        <w:tc>
          <w:tcPr>
            <w:tcW w:w="1832" w:type="dxa"/>
            <w:vAlign w:val="center"/>
          </w:tcPr>
          <w:p w14:paraId="61AF1851"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Dados MS</w:t>
            </w:r>
          </w:p>
          <w:p w14:paraId="1544BB0A"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Publicação: </w:t>
            </w:r>
            <w:r w:rsidRPr="00F60553">
              <w:rPr>
                <w:rFonts w:ascii="Garamond" w:hAnsi="Garamond" w:cs="Times New Roman"/>
                <w:bCs/>
                <w:i/>
                <w:iCs/>
                <w:sz w:val="20"/>
                <w:szCs w:val="20"/>
                <w:lang w:val="pt-PT"/>
              </w:rPr>
              <w:t>Relatório Estatístico</w:t>
            </w:r>
          </w:p>
        </w:tc>
      </w:tr>
      <w:tr w:rsidR="00F60553" w:rsidRPr="005808D4" w14:paraId="0322058C" w14:textId="77777777" w:rsidTr="003455F1">
        <w:trPr>
          <w:tblHeader/>
          <w:jc w:val="center"/>
        </w:trPr>
        <w:tc>
          <w:tcPr>
            <w:tcW w:w="10349" w:type="dxa"/>
            <w:gridSpan w:val="5"/>
            <w:shd w:val="clear" w:color="auto" w:fill="BDD6EE" w:themeFill="accent5" w:themeFillTint="66"/>
            <w:vAlign w:val="center"/>
          </w:tcPr>
          <w:p w14:paraId="7F83ECD8"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5 - </w:t>
            </w:r>
            <w:r w:rsidRPr="00F60553">
              <w:rPr>
                <w:rFonts w:ascii="Garamond" w:hAnsi="Garamond"/>
                <w:b/>
                <w:sz w:val="20"/>
                <w:szCs w:val="20"/>
                <w:lang w:val="pt-PT"/>
              </w:rPr>
              <w:t>Participação política e exercício do poder</w:t>
            </w:r>
          </w:p>
        </w:tc>
      </w:tr>
      <w:tr w:rsidR="00F60553" w:rsidRPr="005808D4" w14:paraId="42A9FBA3" w14:textId="77777777" w:rsidTr="00F60553">
        <w:trPr>
          <w:jc w:val="center"/>
        </w:trPr>
        <w:tc>
          <w:tcPr>
            <w:tcW w:w="1637" w:type="dxa"/>
            <w:vMerge w:val="restart"/>
          </w:tcPr>
          <w:p w14:paraId="4B3B6EB3" w14:textId="77777777" w:rsidR="00F60553" w:rsidRPr="00F60553" w:rsidRDefault="00F60553" w:rsidP="003455F1">
            <w:pPr>
              <w:rPr>
                <w:rFonts w:ascii="Garamond" w:hAnsi="Garamond" w:cs="Times New Roman"/>
                <w:bCs/>
                <w:sz w:val="20"/>
                <w:szCs w:val="20"/>
                <w:lang w:val="pt-PT"/>
              </w:rPr>
            </w:pPr>
            <w:r w:rsidRPr="00F60553">
              <w:rPr>
                <w:rFonts w:ascii="Garamond" w:hAnsi="Garamond"/>
                <w:bCs/>
                <w:sz w:val="20"/>
                <w:szCs w:val="20"/>
                <w:lang w:val="pt-PT"/>
              </w:rPr>
              <w:t>Promover a participação paritária de mulheres e homens nos espaços e cargos de poder e decisão</w:t>
            </w:r>
          </w:p>
        </w:tc>
        <w:tc>
          <w:tcPr>
            <w:tcW w:w="2652" w:type="dxa"/>
            <w:vAlign w:val="center"/>
          </w:tcPr>
          <w:p w14:paraId="4212B4A0"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5a Percentagem de assentos parlamentares na Assembleia Nacional ocupados por mulheres/homens (</w:t>
            </w:r>
            <w:proofErr w:type="spellStart"/>
            <w:r w:rsidRPr="00F60553">
              <w:rPr>
                <w:rFonts w:ascii="Garamond" w:hAnsi="Garamond" w:cs="Times New Roman"/>
                <w:bCs/>
                <w:sz w:val="20"/>
                <w:szCs w:val="20"/>
                <w:lang w:val="pt-PT"/>
              </w:rPr>
              <w:t>ODS</w:t>
            </w:r>
            <w:proofErr w:type="spellEnd"/>
            <w:r w:rsidRPr="00F60553">
              <w:rPr>
                <w:rFonts w:ascii="Garamond" w:hAnsi="Garamond" w:cs="Times New Roman"/>
                <w:bCs/>
                <w:sz w:val="20"/>
                <w:szCs w:val="20"/>
                <w:lang w:val="pt-PT"/>
              </w:rPr>
              <w:t xml:space="preserve"> 5)</w:t>
            </w:r>
          </w:p>
        </w:tc>
        <w:tc>
          <w:tcPr>
            <w:tcW w:w="3332" w:type="dxa"/>
            <w:vAlign w:val="center"/>
          </w:tcPr>
          <w:p w14:paraId="62A848AC" w14:textId="77777777" w:rsidR="00F60553"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Mulheres</w:t>
            </w:r>
            <w:proofErr w:type="spellEnd"/>
            <w:r>
              <w:rPr>
                <w:rFonts w:ascii="Garamond" w:hAnsi="Garamond" w:cs="Times New Roman"/>
                <w:bCs/>
                <w:sz w:val="20"/>
                <w:szCs w:val="20"/>
              </w:rPr>
              <w:t xml:space="preserve">: </w:t>
            </w:r>
            <w:r w:rsidRPr="00C227DA">
              <w:rPr>
                <w:rFonts w:ascii="Garamond" w:hAnsi="Garamond" w:cs="Times New Roman"/>
                <w:bCs/>
                <w:sz w:val="20"/>
                <w:szCs w:val="20"/>
              </w:rPr>
              <w:t>23,6%</w:t>
            </w:r>
          </w:p>
          <w:p w14:paraId="6CF8D38F" w14:textId="77777777" w:rsidR="00F60553" w:rsidRPr="0033186A"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Homens</w:t>
            </w:r>
            <w:proofErr w:type="spellEnd"/>
            <w:r>
              <w:rPr>
                <w:rFonts w:ascii="Garamond" w:hAnsi="Garamond" w:cs="Times New Roman"/>
                <w:bCs/>
                <w:sz w:val="20"/>
                <w:szCs w:val="20"/>
              </w:rPr>
              <w:t>: 76,4%</w:t>
            </w:r>
          </w:p>
        </w:tc>
        <w:tc>
          <w:tcPr>
            <w:tcW w:w="896" w:type="dxa"/>
            <w:vAlign w:val="center"/>
          </w:tcPr>
          <w:p w14:paraId="20D9166D"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2016</w:t>
            </w:r>
          </w:p>
        </w:tc>
        <w:tc>
          <w:tcPr>
            <w:tcW w:w="1832" w:type="dxa"/>
            <w:vAlign w:val="center"/>
          </w:tcPr>
          <w:p w14:paraId="433E28A4" w14:textId="77777777" w:rsidR="00F60553" w:rsidRPr="00F60553" w:rsidRDefault="00F60553" w:rsidP="003455F1">
            <w:pPr>
              <w:rPr>
                <w:rFonts w:ascii="Garamond" w:hAnsi="Garamond" w:cs="Times New Roman"/>
                <w:bCs/>
                <w:i/>
                <w:iCs/>
                <w:sz w:val="20"/>
                <w:szCs w:val="20"/>
                <w:lang w:val="pt-PT"/>
              </w:rPr>
            </w:pPr>
            <w:bookmarkStart w:id="116" w:name="_Hlk32061961"/>
            <w:proofErr w:type="spellStart"/>
            <w:r w:rsidRPr="00F60553">
              <w:rPr>
                <w:rFonts w:ascii="Garamond" w:hAnsi="Garamond" w:cs="Times New Roman"/>
                <w:bCs/>
                <w:i/>
                <w:iCs/>
                <w:sz w:val="20"/>
                <w:szCs w:val="20"/>
                <w:lang w:val="pt-PT"/>
              </w:rPr>
              <w:t>B.O</w:t>
            </w:r>
            <w:proofErr w:type="spellEnd"/>
            <w:r w:rsidRPr="00F60553">
              <w:rPr>
                <w:rFonts w:ascii="Garamond" w:hAnsi="Garamond" w:cs="Times New Roman"/>
                <w:bCs/>
                <w:i/>
                <w:iCs/>
                <w:sz w:val="20"/>
                <w:szCs w:val="20"/>
                <w:lang w:val="pt-PT"/>
              </w:rPr>
              <w:t xml:space="preserve"> Nº. 24, I Série, 31 Março 2016</w:t>
            </w:r>
            <w:bookmarkEnd w:id="116"/>
            <w:r w:rsidRPr="00F60553">
              <w:rPr>
                <w:rFonts w:ascii="Garamond" w:hAnsi="Garamond" w:cs="Times New Roman"/>
                <w:bCs/>
                <w:i/>
                <w:iCs/>
                <w:sz w:val="20"/>
                <w:szCs w:val="20"/>
                <w:lang w:val="pt-PT"/>
              </w:rPr>
              <w:t xml:space="preserve"> </w:t>
            </w:r>
            <w:r w:rsidRPr="00F60553">
              <w:rPr>
                <w:rFonts w:ascii="Garamond" w:hAnsi="Garamond" w:cs="Times New Roman"/>
                <w:bCs/>
                <w:sz w:val="20"/>
                <w:szCs w:val="20"/>
                <w:lang w:val="pt-PT"/>
              </w:rPr>
              <w:t>com resultados CNE</w:t>
            </w:r>
          </w:p>
        </w:tc>
      </w:tr>
      <w:tr w:rsidR="00F60553" w:rsidRPr="005808D4" w14:paraId="733544AB" w14:textId="77777777" w:rsidTr="00F60553">
        <w:trPr>
          <w:jc w:val="center"/>
        </w:trPr>
        <w:tc>
          <w:tcPr>
            <w:tcW w:w="1637" w:type="dxa"/>
            <w:vMerge/>
            <w:vAlign w:val="center"/>
          </w:tcPr>
          <w:p w14:paraId="0E2770D0"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1A1F91D0"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5b Percentagem de cargos eleitos nas Câmaras Municipais ocupados por mulheres/ homens (</w:t>
            </w:r>
            <w:proofErr w:type="spellStart"/>
            <w:r w:rsidRPr="00F60553">
              <w:rPr>
                <w:rFonts w:ascii="Garamond" w:hAnsi="Garamond" w:cs="Times New Roman"/>
                <w:bCs/>
                <w:sz w:val="20"/>
                <w:szCs w:val="20"/>
                <w:lang w:val="pt-PT"/>
              </w:rPr>
              <w:t>ODS</w:t>
            </w:r>
            <w:proofErr w:type="spellEnd"/>
            <w:r w:rsidRPr="00F60553">
              <w:rPr>
                <w:rFonts w:ascii="Garamond" w:hAnsi="Garamond" w:cs="Times New Roman"/>
                <w:bCs/>
                <w:sz w:val="20"/>
                <w:szCs w:val="20"/>
                <w:lang w:val="pt-PT"/>
              </w:rPr>
              <w:t xml:space="preserve"> 5)</w:t>
            </w:r>
          </w:p>
        </w:tc>
        <w:tc>
          <w:tcPr>
            <w:tcW w:w="3332" w:type="dxa"/>
            <w:vAlign w:val="center"/>
          </w:tcPr>
          <w:p w14:paraId="48299F85" w14:textId="77777777" w:rsidR="00F60553"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Mulheres</w:t>
            </w:r>
            <w:proofErr w:type="spellEnd"/>
            <w:r>
              <w:rPr>
                <w:rFonts w:ascii="Garamond" w:hAnsi="Garamond" w:cs="Times New Roman"/>
                <w:bCs/>
                <w:sz w:val="20"/>
                <w:szCs w:val="20"/>
              </w:rPr>
              <w:t>: 26,3%</w:t>
            </w:r>
          </w:p>
          <w:p w14:paraId="7FD98BAD" w14:textId="77777777" w:rsidR="00F60553" w:rsidRPr="0033186A"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Homens</w:t>
            </w:r>
            <w:proofErr w:type="spellEnd"/>
            <w:r>
              <w:rPr>
                <w:rFonts w:ascii="Garamond" w:hAnsi="Garamond" w:cs="Times New Roman"/>
                <w:bCs/>
                <w:sz w:val="20"/>
                <w:szCs w:val="20"/>
              </w:rPr>
              <w:t>: 73,7%</w:t>
            </w:r>
          </w:p>
        </w:tc>
        <w:tc>
          <w:tcPr>
            <w:tcW w:w="896" w:type="dxa"/>
            <w:vAlign w:val="center"/>
          </w:tcPr>
          <w:p w14:paraId="57D06E4C"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2016</w:t>
            </w:r>
          </w:p>
        </w:tc>
        <w:tc>
          <w:tcPr>
            <w:tcW w:w="1832" w:type="dxa"/>
            <w:vAlign w:val="center"/>
          </w:tcPr>
          <w:p w14:paraId="72243C96" w14:textId="77777777" w:rsidR="00F60553" w:rsidRPr="00F60553" w:rsidRDefault="00F60553" w:rsidP="003455F1">
            <w:pPr>
              <w:rPr>
                <w:rFonts w:ascii="Garamond" w:hAnsi="Garamond"/>
                <w:i/>
                <w:iCs/>
                <w:sz w:val="20"/>
                <w:szCs w:val="20"/>
                <w:lang w:val="pt-PT"/>
              </w:rPr>
            </w:pPr>
            <w:bookmarkStart w:id="117" w:name="_Hlk32061973"/>
            <w:proofErr w:type="spellStart"/>
            <w:r w:rsidRPr="00F60553">
              <w:rPr>
                <w:rFonts w:ascii="Garamond" w:hAnsi="Garamond"/>
                <w:i/>
                <w:iCs/>
                <w:sz w:val="20"/>
                <w:szCs w:val="20"/>
                <w:lang w:val="pt-PT"/>
              </w:rPr>
              <w:t>B.O</w:t>
            </w:r>
            <w:proofErr w:type="spellEnd"/>
            <w:r w:rsidRPr="00F60553">
              <w:rPr>
                <w:rFonts w:ascii="Garamond" w:hAnsi="Garamond"/>
                <w:i/>
                <w:iCs/>
                <w:sz w:val="20"/>
                <w:szCs w:val="20"/>
                <w:lang w:val="pt-PT"/>
              </w:rPr>
              <w:t>. Nº. 51, I Série, 20 Set. 2016</w:t>
            </w:r>
            <w:bookmarkEnd w:id="117"/>
            <w:r w:rsidRPr="00F60553">
              <w:rPr>
                <w:rFonts w:ascii="Garamond" w:hAnsi="Garamond"/>
                <w:i/>
                <w:iCs/>
                <w:sz w:val="20"/>
                <w:szCs w:val="20"/>
                <w:lang w:val="pt-PT"/>
              </w:rPr>
              <w:t xml:space="preserve"> </w:t>
            </w:r>
            <w:r w:rsidRPr="00F60553">
              <w:rPr>
                <w:rFonts w:ascii="Garamond" w:hAnsi="Garamond" w:cs="Times New Roman"/>
                <w:bCs/>
                <w:sz w:val="20"/>
                <w:szCs w:val="20"/>
                <w:lang w:val="pt-PT"/>
              </w:rPr>
              <w:t>com resultados CNE</w:t>
            </w:r>
          </w:p>
        </w:tc>
      </w:tr>
      <w:tr w:rsidR="00F60553" w:rsidRPr="005808D4" w14:paraId="64A93E2F" w14:textId="77777777" w:rsidTr="00F60553">
        <w:trPr>
          <w:jc w:val="center"/>
        </w:trPr>
        <w:tc>
          <w:tcPr>
            <w:tcW w:w="1637" w:type="dxa"/>
            <w:vMerge/>
            <w:vAlign w:val="center"/>
          </w:tcPr>
          <w:p w14:paraId="5D984FD4"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373B4DA9"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5c Percentagem de cargos dirigentes da Administração Pública ocupados por mulheres/homens  </w:t>
            </w:r>
          </w:p>
        </w:tc>
        <w:tc>
          <w:tcPr>
            <w:tcW w:w="3332" w:type="dxa"/>
            <w:vAlign w:val="center"/>
          </w:tcPr>
          <w:p w14:paraId="791F1778"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Cs/>
                <w:sz w:val="20"/>
                <w:szCs w:val="20"/>
                <w:u w:val="single"/>
                <w:lang w:val="pt-PT"/>
              </w:rPr>
              <w:t>Dirigentes</w:t>
            </w:r>
            <w:r w:rsidRPr="00F60553">
              <w:rPr>
                <w:rFonts w:ascii="Garamond" w:hAnsi="Garamond" w:cs="Times New Roman"/>
                <w:bCs/>
                <w:sz w:val="20"/>
                <w:szCs w:val="20"/>
                <w:lang w:val="pt-PT"/>
              </w:rPr>
              <w:t>: M 21% - H 79%</w:t>
            </w:r>
          </w:p>
          <w:p w14:paraId="38D456F2" w14:textId="77777777" w:rsidR="00F60553" w:rsidRPr="00F60553" w:rsidRDefault="00F60553" w:rsidP="003455F1">
            <w:pPr>
              <w:jc w:val="both"/>
              <w:rPr>
                <w:rFonts w:ascii="Garamond" w:hAnsi="Garamond" w:cs="Times New Roman"/>
                <w:bCs/>
                <w:sz w:val="20"/>
                <w:szCs w:val="20"/>
                <w:lang w:val="pt-PT"/>
              </w:rPr>
            </w:pPr>
            <w:r w:rsidRPr="00F60553">
              <w:rPr>
                <w:rFonts w:ascii="Garamond" w:hAnsi="Garamond" w:cs="Times New Roman"/>
                <w:bCs/>
                <w:sz w:val="20"/>
                <w:szCs w:val="20"/>
                <w:u w:val="single"/>
                <w:lang w:val="pt-PT"/>
              </w:rPr>
              <w:t>Dirigentes Superiores</w:t>
            </w:r>
            <w:r w:rsidRPr="00F60553">
              <w:rPr>
                <w:rFonts w:ascii="Garamond" w:hAnsi="Garamond" w:cs="Times New Roman"/>
                <w:bCs/>
                <w:sz w:val="20"/>
                <w:szCs w:val="20"/>
                <w:lang w:val="pt-PT"/>
              </w:rPr>
              <w:t>: M 34% - H 66%</w:t>
            </w:r>
          </w:p>
          <w:p w14:paraId="45186199" w14:textId="77777777" w:rsidR="00F60553" w:rsidRPr="0033186A" w:rsidRDefault="00F60553" w:rsidP="003455F1">
            <w:pPr>
              <w:jc w:val="both"/>
              <w:rPr>
                <w:rFonts w:ascii="Garamond" w:hAnsi="Garamond" w:cs="Times New Roman"/>
                <w:bCs/>
                <w:sz w:val="20"/>
                <w:szCs w:val="20"/>
              </w:rPr>
            </w:pPr>
            <w:proofErr w:type="spellStart"/>
            <w:r w:rsidRPr="0002156C">
              <w:rPr>
                <w:rFonts w:ascii="Garamond" w:hAnsi="Garamond" w:cs="Times New Roman"/>
                <w:bCs/>
                <w:sz w:val="20"/>
                <w:szCs w:val="20"/>
                <w:u w:val="single"/>
              </w:rPr>
              <w:t>Dirigentes</w:t>
            </w:r>
            <w:proofErr w:type="spellEnd"/>
            <w:r>
              <w:rPr>
                <w:rFonts w:ascii="Garamond" w:hAnsi="Garamond" w:cs="Times New Roman"/>
                <w:bCs/>
                <w:sz w:val="20"/>
                <w:szCs w:val="20"/>
                <w:u w:val="single"/>
              </w:rPr>
              <w:t xml:space="preserve"> </w:t>
            </w:r>
            <w:proofErr w:type="spellStart"/>
            <w:r w:rsidRPr="0002156C">
              <w:rPr>
                <w:rFonts w:ascii="Garamond" w:hAnsi="Garamond" w:cs="Times New Roman"/>
                <w:bCs/>
                <w:sz w:val="20"/>
                <w:szCs w:val="20"/>
                <w:u w:val="single"/>
              </w:rPr>
              <w:t>Intermédios</w:t>
            </w:r>
            <w:proofErr w:type="spellEnd"/>
            <w:r>
              <w:rPr>
                <w:rFonts w:ascii="Garamond" w:hAnsi="Garamond" w:cs="Times New Roman"/>
                <w:bCs/>
                <w:sz w:val="20"/>
                <w:szCs w:val="20"/>
              </w:rPr>
              <w:t>: M20% - H80%</w:t>
            </w:r>
          </w:p>
        </w:tc>
        <w:tc>
          <w:tcPr>
            <w:tcW w:w="896" w:type="dxa"/>
            <w:vAlign w:val="center"/>
          </w:tcPr>
          <w:p w14:paraId="536502B2"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2015</w:t>
            </w:r>
          </w:p>
        </w:tc>
        <w:tc>
          <w:tcPr>
            <w:tcW w:w="1832" w:type="dxa"/>
            <w:vAlign w:val="center"/>
          </w:tcPr>
          <w:p w14:paraId="652557E1"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Publicação: </w:t>
            </w:r>
            <w:r w:rsidRPr="00F60553">
              <w:rPr>
                <w:rFonts w:ascii="Garamond" w:hAnsi="Garamond" w:cs="Times New Roman"/>
                <w:bCs/>
                <w:i/>
                <w:iCs/>
                <w:sz w:val="20"/>
                <w:szCs w:val="20"/>
                <w:lang w:val="pt-PT"/>
              </w:rPr>
              <w:t xml:space="preserve">Balanço Social do Capital Humano da Administração </w:t>
            </w:r>
            <w:proofErr w:type="spellStart"/>
            <w:r w:rsidRPr="00F60553">
              <w:rPr>
                <w:rFonts w:ascii="Garamond" w:hAnsi="Garamond" w:cs="Times New Roman"/>
                <w:bCs/>
                <w:i/>
                <w:iCs/>
                <w:sz w:val="20"/>
                <w:szCs w:val="20"/>
                <w:lang w:val="pt-PT"/>
              </w:rPr>
              <w:t>D</w:t>
            </w:r>
            <w:r w:rsidRPr="00F60553">
              <w:rPr>
                <w:rFonts w:ascii="Garamond" w:hAnsi="Garamond" w:cs="Times New Roman"/>
                <w:bCs/>
                <w:sz w:val="20"/>
                <w:szCs w:val="20"/>
                <w:lang w:val="pt-PT"/>
              </w:rPr>
              <w:t>NAP</w:t>
            </w:r>
            <w:proofErr w:type="spellEnd"/>
          </w:p>
        </w:tc>
      </w:tr>
      <w:tr w:rsidR="00F60553" w:rsidRPr="005808D4" w14:paraId="42C79FFE" w14:textId="77777777" w:rsidTr="00F60553">
        <w:trPr>
          <w:jc w:val="center"/>
        </w:trPr>
        <w:tc>
          <w:tcPr>
            <w:tcW w:w="1637" w:type="dxa"/>
            <w:vMerge/>
            <w:vAlign w:val="center"/>
          </w:tcPr>
          <w:p w14:paraId="4BC37D0C"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25A10562"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5d Percentagem de cargos de decisão das ACD ocupados por mulheres/homens  </w:t>
            </w:r>
          </w:p>
        </w:tc>
        <w:tc>
          <w:tcPr>
            <w:tcW w:w="3332" w:type="dxa"/>
            <w:vAlign w:val="center"/>
          </w:tcPr>
          <w:p w14:paraId="2D585A24" w14:textId="77777777" w:rsidR="00F60553"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Mulheres</w:t>
            </w:r>
            <w:proofErr w:type="spellEnd"/>
            <w:r>
              <w:rPr>
                <w:rFonts w:ascii="Garamond" w:hAnsi="Garamond" w:cs="Times New Roman"/>
                <w:bCs/>
                <w:sz w:val="20"/>
                <w:szCs w:val="20"/>
              </w:rPr>
              <w:t>: 27%</w:t>
            </w:r>
          </w:p>
          <w:p w14:paraId="3186F33E" w14:textId="77777777" w:rsidR="00F60553" w:rsidRPr="0033186A" w:rsidRDefault="00F60553" w:rsidP="003455F1">
            <w:pPr>
              <w:jc w:val="both"/>
              <w:rPr>
                <w:rFonts w:ascii="Garamond" w:hAnsi="Garamond" w:cs="Times New Roman"/>
                <w:bCs/>
                <w:sz w:val="20"/>
                <w:szCs w:val="20"/>
              </w:rPr>
            </w:pPr>
            <w:proofErr w:type="spellStart"/>
            <w:r>
              <w:rPr>
                <w:rFonts w:ascii="Garamond" w:hAnsi="Garamond" w:cs="Times New Roman"/>
                <w:bCs/>
                <w:sz w:val="20"/>
                <w:szCs w:val="20"/>
              </w:rPr>
              <w:t>Homens</w:t>
            </w:r>
            <w:proofErr w:type="spellEnd"/>
            <w:r>
              <w:rPr>
                <w:rFonts w:ascii="Garamond" w:hAnsi="Garamond" w:cs="Times New Roman"/>
                <w:bCs/>
                <w:sz w:val="20"/>
                <w:szCs w:val="20"/>
              </w:rPr>
              <w:t>: 73%</w:t>
            </w:r>
          </w:p>
        </w:tc>
        <w:tc>
          <w:tcPr>
            <w:tcW w:w="896" w:type="dxa"/>
            <w:vAlign w:val="center"/>
          </w:tcPr>
          <w:p w14:paraId="212E5509"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2018</w:t>
            </w:r>
          </w:p>
        </w:tc>
        <w:tc>
          <w:tcPr>
            <w:tcW w:w="1832" w:type="dxa"/>
            <w:vAlign w:val="center"/>
          </w:tcPr>
          <w:p w14:paraId="09810700"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Análise do </w:t>
            </w:r>
            <w:proofErr w:type="spellStart"/>
            <w:r w:rsidRPr="00F60553">
              <w:rPr>
                <w:rFonts w:ascii="Garamond" w:hAnsi="Garamond" w:cs="Times New Roman"/>
                <w:bCs/>
                <w:sz w:val="20"/>
                <w:szCs w:val="20"/>
                <w:lang w:val="pt-PT"/>
              </w:rPr>
              <w:t>POSER</w:t>
            </w:r>
            <w:proofErr w:type="spellEnd"/>
          </w:p>
          <w:p w14:paraId="35F63E7A"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Publicação: </w:t>
            </w:r>
            <w:r w:rsidRPr="00F60553">
              <w:rPr>
                <w:rFonts w:ascii="Garamond" w:hAnsi="Garamond" w:cs="Times New Roman"/>
                <w:bCs/>
                <w:i/>
                <w:iCs/>
                <w:sz w:val="20"/>
                <w:szCs w:val="20"/>
                <w:lang w:val="pt-PT"/>
              </w:rPr>
              <w:t xml:space="preserve">Relatório </w:t>
            </w:r>
            <w:proofErr w:type="spellStart"/>
            <w:r w:rsidRPr="00F60553">
              <w:rPr>
                <w:rFonts w:ascii="Garamond" w:hAnsi="Garamond" w:cs="Times New Roman"/>
                <w:bCs/>
                <w:i/>
                <w:iCs/>
                <w:sz w:val="20"/>
                <w:szCs w:val="20"/>
                <w:lang w:val="pt-PT"/>
              </w:rPr>
              <w:t>dSupervisão</w:t>
            </w:r>
            <w:proofErr w:type="spellEnd"/>
            <w:r w:rsidRPr="00F60553">
              <w:rPr>
                <w:rFonts w:ascii="Garamond" w:hAnsi="Garamond" w:cs="Times New Roman"/>
                <w:bCs/>
                <w:i/>
                <w:iCs/>
                <w:sz w:val="20"/>
                <w:szCs w:val="20"/>
                <w:lang w:val="pt-PT"/>
              </w:rPr>
              <w:t xml:space="preserve"> do FIDA</w:t>
            </w:r>
          </w:p>
        </w:tc>
      </w:tr>
      <w:tr w:rsidR="00F60553" w:rsidRPr="005808D4" w14:paraId="7B59C3FB" w14:textId="77777777" w:rsidTr="003455F1">
        <w:trPr>
          <w:tblHeader/>
          <w:jc w:val="center"/>
        </w:trPr>
        <w:tc>
          <w:tcPr>
            <w:tcW w:w="10349" w:type="dxa"/>
            <w:gridSpan w:val="5"/>
            <w:shd w:val="clear" w:color="auto" w:fill="BDD6EE" w:themeFill="accent5" w:themeFillTint="66"/>
            <w:vAlign w:val="center"/>
          </w:tcPr>
          <w:p w14:paraId="7F51ACA9" w14:textId="77777777" w:rsidR="00F60553" w:rsidRPr="00F60553" w:rsidRDefault="00F60553" w:rsidP="003455F1">
            <w:pPr>
              <w:jc w:val="both"/>
              <w:rPr>
                <w:rFonts w:ascii="Garamond" w:hAnsi="Garamond" w:cs="Times New Roman"/>
                <w:b/>
                <w:sz w:val="20"/>
                <w:szCs w:val="20"/>
                <w:lang w:val="pt-PT"/>
              </w:rPr>
            </w:pPr>
            <w:r w:rsidRPr="00F60553">
              <w:rPr>
                <w:rFonts w:ascii="Garamond" w:hAnsi="Garamond" w:cs="Times New Roman"/>
                <w:b/>
                <w:sz w:val="20"/>
                <w:szCs w:val="20"/>
                <w:lang w:val="pt-PT"/>
              </w:rPr>
              <w:t xml:space="preserve">Eixo Estratégico 6 - </w:t>
            </w:r>
            <w:proofErr w:type="spellStart"/>
            <w:r w:rsidRPr="00F60553">
              <w:rPr>
                <w:rFonts w:ascii="Garamond" w:hAnsi="Garamond"/>
                <w:b/>
                <w:sz w:val="20"/>
                <w:szCs w:val="20"/>
                <w:lang w:val="pt-PT"/>
              </w:rPr>
              <w:t>Transversalização</w:t>
            </w:r>
            <w:proofErr w:type="spellEnd"/>
            <w:r w:rsidRPr="00F60553">
              <w:rPr>
                <w:rFonts w:ascii="Garamond" w:hAnsi="Garamond"/>
                <w:b/>
                <w:sz w:val="20"/>
                <w:szCs w:val="20"/>
                <w:lang w:val="pt-PT"/>
              </w:rPr>
              <w:t xml:space="preserve"> da Abordagem de Género</w:t>
            </w:r>
          </w:p>
        </w:tc>
      </w:tr>
      <w:tr w:rsidR="00F60553" w:rsidRPr="005808D4" w14:paraId="77D21D9D" w14:textId="77777777" w:rsidTr="00F60553">
        <w:trPr>
          <w:jc w:val="center"/>
        </w:trPr>
        <w:tc>
          <w:tcPr>
            <w:tcW w:w="1637" w:type="dxa"/>
            <w:vMerge w:val="restart"/>
            <w:vAlign w:val="center"/>
          </w:tcPr>
          <w:p w14:paraId="3DC0664D" w14:textId="77777777" w:rsidR="00F60553" w:rsidRPr="00F60553" w:rsidRDefault="00F60553" w:rsidP="003455F1">
            <w:pPr>
              <w:rPr>
                <w:rFonts w:ascii="Garamond" w:hAnsi="Garamond" w:cs="Times New Roman"/>
                <w:bCs/>
                <w:sz w:val="20"/>
                <w:szCs w:val="20"/>
                <w:lang w:val="pt-PT"/>
              </w:rPr>
            </w:pPr>
            <w:r w:rsidRPr="00F60553">
              <w:rPr>
                <w:rFonts w:ascii="Garamond" w:hAnsi="Garamond"/>
                <w:bCs/>
                <w:sz w:val="20"/>
                <w:szCs w:val="20"/>
                <w:lang w:val="pt-PT"/>
              </w:rPr>
              <w:t>Contribuir para a institucionalização da abordagem de género e uma cultura promotora da igualdade de género, a nível sectorial e local</w:t>
            </w:r>
          </w:p>
        </w:tc>
        <w:tc>
          <w:tcPr>
            <w:tcW w:w="2652" w:type="dxa"/>
            <w:vAlign w:val="center"/>
          </w:tcPr>
          <w:p w14:paraId="19216407"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6a Taxa de </w:t>
            </w:r>
            <w:r w:rsidRPr="00F60553">
              <w:rPr>
                <w:rFonts w:ascii="Garamond" w:hAnsi="Garamond"/>
                <w:sz w:val="20"/>
                <w:szCs w:val="20"/>
                <w:lang w:val="pt-PT"/>
              </w:rPr>
              <w:t xml:space="preserve">implementação física do </w:t>
            </w:r>
            <w:proofErr w:type="spellStart"/>
            <w:r w:rsidRPr="00F60553">
              <w:rPr>
                <w:rFonts w:ascii="Garamond" w:hAnsi="Garamond"/>
                <w:sz w:val="20"/>
                <w:szCs w:val="20"/>
                <w:lang w:val="pt-PT"/>
              </w:rPr>
              <w:t>PNIG</w:t>
            </w:r>
            <w:proofErr w:type="spellEnd"/>
            <w:r w:rsidRPr="00F60553">
              <w:rPr>
                <w:rFonts w:ascii="Garamond" w:hAnsi="Garamond"/>
                <w:sz w:val="20"/>
                <w:szCs w:val="20"/>
                <w:lang w:val="pt-PT"/>
              </w:rPr>
              <w:t xml:space="preserve"> (% de medidas sectoriais e locais previstas implementadas)</w:t>
            </w:r>
          </w:p>
        </w:tc>
        <w:tc>
          <w:tcPr>
            <w:tcW w:w="3332" w:type="dxa"/>
            <w:vAlign w:val="center"/>
          </w:tcPr>
          <w:p w14:paraId="31072208"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0%</w:t>
            </w:r>
          </w:p>
        </w:tc>
        <w:tc>
          <w:tcPr>
            <w:tcW w:w="896" w:type="dxa"/>
            <w:vAlign w:val="center"/>
          </w:tcPr>
          <w:p w14:paraId="79B15D4D"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2019</w:t>
            </w:r>
          </w:p>
        </w:tc>
        <w:tc>
          <w:tcPr>
            <w:tcW w:w="1832" w:type="dxa"/>
            <w:vAlign w:val="center"/>
          </w:tcPr>
          <w:p w14:paraId="24554F5B"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Comissão de Género - relatórios de implementação</w:t>
            </w:r>
          </w:p>
        </w:tc>
      </w:tr>
      <w:tr w:rsidR="00F60553" w:rsidRPr="005808D4" w14:paraId="0E3D2A43" w14:textId="77777777" w:rsidTr="00F60553">
        <w:trPr>
          <w:jc w:val="center"/>
        </w:trPr>
        <w:tc>
          <w:tcPr>
            <w:tcW w:w="1637" w:type="dxa"/>
            <w:vMerge/>
            <w:vAlign w:val="center"/>
          </w:tcPr>
          <w:p w14:paraId="52C6FBC8" w14:textId="77777777" w:rsidR="00F60553" w:rsidRPr="00F60553" w:rsidRDefault="00F60553" w:rsidP="003455F1">
            <w:pPr>
              <w:jc w:val="both"/>
              <w:rPr>
                <w:rFonts w:ascii="Garamond" w:hAnsi="Garamond" w:cs="Times New Roman"/>
                <w:bCs/>
                <w:sz w:val="20"/>
                <w:szCs w:val="20"/>
                <w:lang w:val="pt-PT"/>
              </w:rPr>
            </w:pPr>
          </w:p>
        </w:tc>
        <w:tc>
          <w:tcPr>
            <w:tcW w:w="2652" w:type="dxa"/>
            <w:vAlign w:val="center"/>
          </w:tcPr>
          <w:p w14:paraId="36B6094A" w14:textId="77777777" w:rsidR="00F60553" w:rsidRPr="00F60553" w:rsidRDefault="00F60553" w:rsidP="003455F1">
            <w:pPr>
              <w:rPr>
                <w:rFonts w:ascii="Garamond" w:hAnsi="Garamond" w:cs="Times New Roman"/>
                <w:bCs/>
                <w:sz w:val="20"/>
                <w:szCs w:val="20"/>
                <w:lang w:val="pt-PT"/>
              </w:rPr>
            </w:pPr>
            <w:r w:rsidRPr="00F60553">
              <w:rPr>
                <w:rFonts w:ascii="Garamond" w:hAnsi="Garamond"/>
                <w:sz w:val="20"/>
                <w:szCs w:val="20"/>
                <w:lang w:val="pt-PT"/>
              </w:rPr>
              <w:t xml:space="preserve">6c Número de </w:t>
            </w:r>
            <w:proofErr w:type="spellStart"/>
            <w:r w:rsidRPr="00F60553">
              <w:rPr>
                <w:rFonts w:ascii="Garamond" w:hAnsi="Garamond"/>
                <w:sz w:val="20"/>
                <w:szCs w:val="20"/>
                <w:lang w:val="pt-PT"/>
              </w:rPr>
              <w:t>projetos</w:t>
            </w:r>
            <w:proofErr w:type="spellEnd"/>
            <w:r w:rsidRPr="00F60553">
              <w:rPr>
                <w:rFonts w:ascii="Garamond" w:hAnsi="Garamond"/>
                <w:sz w:val="20"/>
                <w:szCs w:val="20"/>
                <w:lang w:val="pt-PT"/>
              </w:rPr>
              <w:t xml:space="preserve"> do </w:t>
            </w:r>
            <w:proofErr w:type="spellStart"/>
            <w:r w:rsidRPr="00F60553">
              <w:rPr>
                <w:rFonts w:ascii="Garamond" w:hAnsi="Garamond"/>
                <w:sz w:val="20"/>
                <w:szCs w:val="20"/>
                <w:lang w:val="pt-PT"/>
              </w:rPr>
              <w:t>PEDS</w:t>
            </w:r>
            <w:proofErr w:type="spellEnd"/>
            <w:r w:rsidRPr="00F60553">
              <w:rPr>
                <w:rFonts w:ascii="Garamond" w:hAnsi="Garamond"/>
                <w:sz w:val="20"/>
                <w:szCs w:val="20"/>
                <w:lang w:val="pt-PT"/>
              </w:rPr>
              <w:t xml:space="preserve"> que melhoram a sua classificação no marcador de género (por </w:t>
            </w:r>
            <w:proofErr w:type="spellStart"/>
            <w:r w:rsidRPr="00F60553">
              <w:rPr>
                <w:rFonts w:ascii="Garamond" w:hAnsi="Garamond"/>
                <w:sz w:val="20"/>
                <w:szCs w:val="20"/>
                <w:lang w:val="pt-PT"/>
              </w:rPr>
              <w:t>setor</w:t>
            </w:r>
            <w:proofErr w:type="spellEnd"/>
            <w:r w:rsidRPr="00F60553">
              <w:rPr>
                <w:rFonts w:ascii="Garamond" w:hAnsi="Garamond"/>
                <w:sz w:val="20"/>
                <w:szCs w:val="20"/>
                <w:lang w:val="pt-PT"/>
              </w:rPr>
              <w:t>)</w:t>
            </w:r>
          </w:p>
        </w:tc>
        <w:tc>
          <w:tcPr>
            <w:tcW w:w="3332" w:type="dxa"/>
            <w:vAlign w:val="center"/>
          </w:tcPr>
          <w:p w14:paraId="008F295D"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ND</w:t>
            </w:r>
          </w:p>
        </w:tc>
        <w:tc>
          <w:tcPr>
            <w:tcW w:w="896" w:type="dxa"/>
            <w:vAlign w:val="center"/>
          </w:tcPr>
          <w:p w14:paraId="0F328139" w14:textId="77777777" w:rsidR="00F60553" w:rsidRPr="0033186A" w:rsidRDefault="00F60553" w:rsidP="003455F1">
            <w:pPr>
              <w:jc w:val="center"/>
              <w:rPr>
                <w:rFonts w:ascii="Garamond" w:hAnsi="Garamond" w:cs="Times New Roman"/>
                <w:bCs/>
                <w:sz w:val="20"/>
                <w:szCs w:val="20"/>
              </w:rPr>
            </w:pPr>
            <w:r>
              <w:rPr>
                <w:rFonts w:ascii="Garamond" w:hAnsi="Garamond" w:cs="Times New Roman"/>
                <w:bCs/>
                <w:sz w:val="20"/>
                <w:szCs w:val="20"/>
              </w:rPr>
              <w:t>2019</w:t>
            </w:r>
          </w:p>
        </w:tc>
        <w:tc>
          <w:tcPr>
            <w:tcW w:w="1832" w:type="dxa"/>
            <w:vAlign w:val="center"/>
          </w:tcPr>
          <w:p w14:paraId="1F94102C" w14:textId="77777777" w:rsidR="00F60553" w:rsidRPr="00F60553" w:rsidRDefault="00F60553" w:rsidP="003455F1">
            <w:pPr>
              <w:rPr>
                <w:rFonts w:ascii="Garamond" w:hAnsi="Garamond" w:cs="Times New Roman"/>
                <w:bCs/>
                <w:sz w:val="20"/>
                <w:szCs w:val="20"/>
                <w:lang w:val="pt-PT"/>
              </w:rPr>
            </w:pPr>
            <w:r w:rsidRPr="00F60553">
              <w:rPr>
                <w:rFonts w:ascii="Garamond" w:hAnsi="Garamond" w:cs="Times New Roman"/>
                <w:bCs/>
                <w:sz w:val="20"/>
                <w:szCs w:val="20"/>
                <w:lang w:val="pt-PT"/>
              </w:rPr>
              <w:t xml:space="preserve">Sistema de seguimento do </w:t>
            </w:r>
            <w:proofErr w:type="spellStart"/>
            <w:r w:rsidRPr="00F60553">
              <w:rPr>
                <w:rFonts w:ascii="Garamond" w:hAnsi="Garamond" w:cs="Times New Roman"/>
                <w:bCs/>
                <w:sz w:val="20"/>
                <w:szCs w:val="20"/>
                <w:lang w:val="pt-PT"/>
              </w:rPr>
              <w:t>PEDS</w:t>
            </w:r>
            <w:proofErr w:type="spellEnd"/>
            <w:r w:rsidRPr="00F60553">
              <w:rPr>
                <w:rFonts w:ascii="Garamond" w:hAnsi="Garamond" w:cs="Times New Roman"/>
                <w:bCs/>
                <w:sz w:val="20"/>
                <w:szCs w:val="20"/>
                <w:lang w:val="pt-PT"/>
              </w:rPr>
              <w:t xml:space="preserve"> / </w:t>
            </w:r>
            <w:proofErr w:type="spellStart"/>
            <w:r w:rsidRPr="00F60553">
              <w:rPr>
                <w:rFonts w:ascii="Garamond" w:hAnsi="Garamond" w:cs="Times New Roman"/>
                <w:bCs/>
                <w:sz w:val="20"/>
                <w:szCs w:val="20"/>
                <w:lang w:val="pt-PT"/>
              </w:rPr>
              <w:t>DNP</w:t>
            </w:r>
            <w:proofErr w:type="spellEnd"/>
          </w:p>
        </w:tc>
      </w:tr>
    </w:tbl>
    <w:p w14:paraId="416B3A01" w14:textId="77777777" w:rsidR="001401FB" w:rsidRDefault="001401FB" w:rsidP="001535DE">
      <w:pPr>
        <w:spacing w:after="160" w:line="259" w:lineRule="auto"/>
        <w:jc w:val="both"/>
        <w:rPr>
          <w:rFonts w:ascii="Garamond" w:hAnsi="Garamond"/>
          <w:lang w:val="pt-PT"/>
        </w:rPr>
      </w:pPr>
    </w:p>
    <w:p w14:paraId="499D0337" w14:textId="6F90F4AE" w:rsidR="001401FB" w:rsidRDefault="001401FB" w:rsidP="001401FB">
      <w:pPr>
        <w:pStyle w:val="Ttulo3"/>
        <w:rPr>
          <w:rFonts w:ascii="Garamond" w:hAnsi="Garamond" w:cs="Times New Roman"/>
          <w:b/>
          <w:color w:val="auto"/>
          <w:lang w:val="pt-PT"/>
        </w:rPr>
      </w:pPr>
      <w:bookmarkStart w:id="118" w:name="_Toc32858139"/>
      <w:r w:rsidRPr="00461002">
        <w:rPr>
          <w:rFonts w:ascii="Garamond" w:hAnsi="Garamond" w:cs="Times New Roman"/>
          <w:b/>
          <w:color w:val="auto"/>
          <w:lang w:val="pt-PT"/>
        </w:rPr>
        <w:t xml:space="preserve">Matriz de seguimento e avaliação dos resultados </w:t>
      </w:r>
      <w:r w:rsidR="000417DE">
        <w:rPr>
          <w:rFonts w:ascii="Garamond" w:hAnsi="Garamond" w:cs="Times New Roman"/>
          <w:b/>
          <w:color w:val="auto"/>
          <w:lang w:val="pt-PT"/>
        </w:rPr>
        <w:t xml:space="preserve">de </w:t>
      </w:r>
      <w:r w:rsidRPr="00461002">
        <w:rPr>
          <w:rFonts w:ascii="Garamond" w:hAnsi="Garamond" w:cs="Times New Roman"/>
          <w:b/>
          <w:color w:val="auto"/>
          <w:lang w:val="pt-PT"/>
        </w:rPr>
        <w:t>nível dos efeitos</w:t>
      </w:r>
      <w:bookmarkEnd w:id="118"/>
    </w:p>
    <w:p w14:paraId="2707A4AF" w14:textId="6B458F95" w:rsidR="000417DE" w:rsidRDefault="000417DE" w:rsidP="000417DE">
      <w:pPr>
        <w:rPr>
          <w:lang w:val="pt-PT"/>
        </w:rPr>
      </w:pPr>
    </w:p>
    <w:p w14:paraId="7ABCB7DE" w14:textId="0258A7BE" w:rsidR="000417DE" w:rsidRDefault="000417DE" w:rsidP="009F6506">
      <w:pPr>
        <w:rPr>
          <w:rFonts w:ascii="Garamond" w:hAnsi="Garamond"/>
          <w:b/>
          <w:sz w:val="20"/>
          <w:szCs w:val="20"/>
          <w:lang w:val="pt-PT"/>
        </w:rPr>
      </w:pPr>
      <w:r w:rsidRPr="000417DE">
        <w:rPr>
          <w:rFonts w:ascii="Garamond" w:hAnsi="Garamond"/>
          <w:b/>
          <w:sz w:val="20"/>
          <w:szCs w:val="20"/>
          <w:lang w:val="pt-PT"/>
        </w:rPr>
        <w:t>Eixo 1 - Empoderamento económico e igualdade no trabalho</w:t>
      </w:r>
    </w:p>
    <w:p w14:paraId="1E27CD03" w14:textId="77777777" w:rsidR="009F6506" w:rsidRPr="000417DE" w:rsidRDefault="009F6506" w:rsidP="009F6506">
      <w:pPr>
        <w:rPr>
          <w:rFonts w:ascii="Garamond" w:hAnsi="Garamond" w:cs="Times New Roman"/>
          <w:b/>
          <w:lang w:val="pt-PT"/>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4820"/>
        <w:gridCol w:w="1417"/>
        <w:gridCol w:w="851"/>
        <w:gridCol w:w="1701"/>
      </w:tblGrid>
      <w:tr w:rsidR="000417DE" w:rsidRPr="00D21977" w14:paraId="7DD0B91D" w14:textId="77777777" w:rsidTr="00D27497">
        <w:trPr>
          <w:trHeight w:val="444"/>
          <w:tblHeader/>
          <w:jc w:val="center"/>
        </w:trPr>
        <w:tc>
          <w:tcPr>
            <w:tcW w:w="1626" w:type="dxa"/>
            <w:shd w:val="clear" w:color="auto" w:fill="DEEAF6" w:themeFill="accent5" w:themeFillTint="33"/>
            <w:vAlign w:val="center"/>
          </w:tcPr>
          <w:p w14:paraId="34E6B031"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820" w:type="dxa"/>
            <w:shd w:val="clear" w:color="auto" w:fill="DEEAF6" w:themeFill="accent5" w:themeFillTint="33"/>
            <w:vAlign w:val="center"/>
          </w:tcPr>
          <w:p w14:paraId="11021B0D"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417" w:type="dxa"/>
            <w:shd w:val="clear" w:color="auto" w:fill="DEEAF6" w:themeFill="accent5" w:themeFillTint="33"/>
            <w:vAlign w:val="center"/>
          </w:tcPr>
          <w:p w14:paraId="18D46DA2"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851" w:type="dxa"/>
            <w:shd w:val="clear" w:color="auto" w:fill="DEEAF6" w:themeFill="accent5" w:themeFillTint="33"/>
            <w:vAlign w:val="center"/>
          </w:tcPr>
          <w:p w14:paraId="287EA443"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shd w:val="clear" w:color="auto" w:fill="DEEAF6" w:themeFill="accent5" w:themeFillTint="33"/>
            <w:vAlign w:val="center"/>
          </w:tcPr>
          <w:p w14:paraId="1D7071F6"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5808D4" w14:paraId="62778E18" w14:textId="77777777" w:rsidTr="00D27497">
        <w:trPr>
          <w:trHeight w:val="615"/>
          <w:jc w:val="center"/>
        </w:trPr>
        <w:tc>
          <w:tcPr>
            <w:tcW w:w="1626" w:type="dxa"/>
            <w:vMerge w:val="restart"/>
            <w:shd w:val="clear" w:color="auto" w:fill="FFFFFF" w:themeFill="background1"/>
          </w:tcPr>
          <w:p w14:paraId="4B5A8A11"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1.1. Aumentada a participação das mulheres em </w:t>
            </w:r>
            <w:proofErr w:type="spellStart"/>
            <w:r w:rsidRPr="00D27497">
              <w:rPr>
                <w:rFonts w:ascii="Garamond" w:hAnsi="Garamond"/>
                <w:sz w:val="20"/>
                <w:szCs w:val="20"/>
                <w:lang w:val="pt-PT"/>
              </w:rPr>
              <w:t>setores</w:t>
            </w:r>
            <w:proofErr w:type="spellEnd"/>
            <w:r w:rsidRPr="00D27497">
              <w:rPr>
                <w:rFonts w:ascii="Garamond" w:hAnsi="Garamond"/>
                <w:sz w:val="20"/>
                <w:szCs w:val="20"/>
                <w:lang w:val="pt-PT"/>
              </w:rPr>
              <w:t xml:space="preserve"> </w:t>
            </w:r>
            <w:proofErr w:type="gramStart"/>
            <w:r w:rsidRPr="00D27497">
              <w:rPr>
                <w:rFonts w:ascii="Garamond" w:hAnsi="Garamond"/>
                <w:sz w:val="20"/>
                <w:szCs w:val="20"/>
                <w:lang w:val="pt-PT"/>
              </w:rPr>
              <w:t>económicos chave</w:t>
            </w:r>
            <w:proofErr w:type="gramEnd"/>
            <w:r w:rsidRPr="00D27497">
              <w:rPr>
                <w:rFonts w:ascii="Garamond" w:hAnsi="Garamond"/>
                <w:sz w:val="20"/>
                <w:szCs w:val="20"/>
                <w:lang w:val="pt-PT"/>
              </w:rPr>
              <w:t xml:space="preserve"> e em áreas tecnológicas de ponta</w:t>
            </w:r>
          </w:p>
        </w:tc>
        <w:tc>
          <w:tcPr>
            <w:tcW w:w="4820" w:type="dxa"/>
            <w:shd w:val="clear" w:color="auto" w:fill="FFFFFF" w:themeFill="background1"/>
            <w:vAlign w:val="center"/>
          </w:tcPr>
          <w:p w14:paraId="6B6F83D1"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1.1a Nº de medidas implementadas nos programas de dinamização de sectores chave da economia que contribuem para o empoderamento económico das mulheres</w:t>
            </w:r>
          </w:p>
          <w:p w14:paraId="3020DA5E" w14:textId="77777777" w:rsidR="000417DE" w:rsidRPr="00D27497" w:rsidRDefault="000417DE" w:rsidP="003455F1">
            <w:pPr>
              <w:rPr>
                <w:rFonts w:ascii="Garamond" w:hAnsi="Garamond"/>
                <w:i/>
                <w:iCs/>
                <w:sz w:val="20"/>
                <w:szCs w:val="20"/>
                <w:lang w:val="pt-PT"/>
              </w:rPr>
            </w:pPr>
            <w:r w:rsidRPr="00D27497">
              <w:rPr>
                <w:rFonts w:ascii="Garamond" w:hAnsi="Garamond"/>
                <w:i/>
                <w:iCs/>
                <w:sz w:val="20"/>
                <w:szCs w:val="20"/>
                <w:lang w:val="pt-PT"/>
              </w:rPr>
              <w:t xml:space="preserve">Turismo e áreas conexas – agronegócios, indústrias criativas; economia azul, economia verde energia, economia digital  </w:t>
            </w:r>
          </w:p>
        </w:tc>
        <w:tc>
          <w:tcPr>
            <w:tcW w:w="1417" w:type="dxa"/>
            <w:shd w:val="clear" w:color="auto" w:fill="FFFFFF" w:themeFill="background1"/>
            <w:vAlign w:val="center"/>
          </w:tcPr>
          <w:p w14:paraId="77662249" w14:textId="77777777" w:rsidR="000417DE" w:rsidRPr="00D21977" w:rsidRDefault="000417DE" w:rsidP="003455F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243E3811" w14:textId="77777777" w:rsidR="000417DE" w:rsidRPr="00D21977" w:rsidRDefault="000417DE" w:rsidP="003455F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01F9AD3C" w14:textId="77777777" w:rsidR="000417DE" w:rsidRPr="00D27497" w:rsidRDefault="000417DE" w:rsidP="003455F1">
            <w:pPr>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Relatórios da Comissão de Género</w:t>
            </w:r>
          </w:p>
        </w:tc>
      </w:tr>
      <w:tr w:rsidR="000417DE" w:rsidRPr="00D21977" w14:paraId="003AF73F" w14:textId="77777777" w:rsidTr="00D27497">
        <w:trPr>
          <w:trHeight w:val="615"/>
          <w:jc w:val="center"/>
        </w:trPr>
        <w:tc>
          <w:tcPr>
            <w:tcW w:w="1626" w:type="dxa"/>
            <w:vMerge/>
            <w:shd w:val="clear" w:color="auto" w:fill="FFFFFF" w:themeFill="background1"/>
          </w:tcPr>
          <w:p w14:paraId="1F930A83" w14:textId="77777777" w:rsidR="000417DE" w:rsidRPr="00D27497" w:rsidRDefault="000417DE" w:rsidP="003455F1">
            <w:pPr>
              <w:rPr>
                <w:rFonts w:ascii="Garamond" w:hAnsi="Garamond"/>
                <w:sz w:val="20"/>
                <w:szCs w:val="20"/>
                <w:lang w:val="pt-PT"/>
              </w:rPr>
            </w:pPr>
          </w:p>
        </w:tc>
        <w:tc>
          <w:tcPr>
            <w:tcW w:w="4820" w:type="dxa"/>
            <w:shd w:val="clear" w:color="auto" w:fill="FFFFFF" w:themeFill="background1"/>
            <w:vAlign w:val="center"/>
          </w:tcPr>
          <w:p w14:paraId="6706FB4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1.1b </w:t>
            </w:r>
            <w:r w:rsidRPr="00D27497">
              <w:rPr>
                <w:rFonts w:ascii="Garamond" w:eastAsia="Times New Roman" w:hAnsi="Garamond" w:cs="Tahoma"/>
                <w:bCs/>
                <w:sz w:val="20"/>
                <w:szCs w:val="20"/>
                <w:lang w:val="pt-PT" w:eastAsia="pt-PT"/>
              </w:rPr>
              <w:t xml:space="preserve">Disponibilidade de dados desagregadas e indicadores específicos de género no sistema de </w:t>
            </w:r>
            <w:proofErr w:type="spellStart"/>
            <w:r w:rsidRPr="00D27497">
              <w:rPr>
                <w:rFonts w:ascii="Garamond" w:eastAsia="Times New Roman" w:hAnsi="Garamond" w:cs="Tahoma"/>
                <w:bCs/>
                <w:sz w:val="20"/>
                <w:szCs w:val="20"/>
                <w:lang w:val="pt-PT" w:eastAsia="pt-PT"/>
              </w:rPr>
              <w:t>S&amp;A</w:t>
            </w:r>
            <w:proofErr w:type="spellEnd"/>
            <w:r w:rsidRPr="00D27497">
              <w:rPr>
                <w:rFonts w:ascii="Garamond" w:eastAsia="Times New Roman" w:hAnsi="Garamond" w:cs="Tahoma"/>
                <w:bCs/>
                <w:sz w:val="20"/>
                <w:szCs w:val="20"/>
                <w:lang w:val="pt-PT" w:eastAsia="pt-PT"/>
              </w:rPr>
              <w:t xml:space="preserve"> e relatórios de implementação das políticas de emprego</w:t>
            </w:r>
          </w:p>
        </w:tc>
        <w:tc>
          <w:tcPr>
            <w:tcW w:w="1417" w:type="dxa"/>
            <w:shd w:val="clear" w:color="auto" w:fill="FFFFFF" w:themeFill="background1"/>
            <w:vAlign w:val="center"/>
          </w:tcPr>
          <w:p w14:paraId="11E2119C" w14:textId="77777777" w:rsidR="000417DE" w:rsidRPr="00D21977" w:rsidRDefault="000417DE" w:rsidP="003455F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28CA401A" w14:textId="77777777" w:rsidR="000417DE" w:rsidRPr="00D21977" w:rsidRDefault="000417DE" w:rsidP="003455F1">
            <w:pPr>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209E249" w14:textId="77777777" w:rsidR="000417DE" w:rsidRPr="00D21977" w:rsidRDefault="000417DE" w:rsidP="003455F1">
            <w:pPr>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DGEFPEP</w:t>
            </w:r>
            <w:proofErr w:type="spellEnd"/>
          </w:p>
        </w:tc>
      </w:tr>
      <w:tr w:rsidR="000417DE" w:rsidRPr="00D21977" w14:paraId="68F9A5FD" w14:textId="77777777" w:rsidTr="00D27497">
        <w:trPr>
          <w:trHeight w:val="615"/>
          <w:jc w:val="center"/>
        </w:trPr>
        <w:tc>
          <w:tcPr>
            <w:tcW w:w="1626" w:type="dxa"/>
            <w:vMerge w:val="restart"/>
            <w:shd w:val="clear" w:color="auto" w:fill="FFFFFF" w:themeFill="background1"/>
          </w:tcPr>
          <w:p w14:paraId="712BCE93"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1.2. Ampliado o acesso das mulheres a políticas </w:t>
            </w:r>
            <w:proofErr w:type="spellStart"/>
            <w:r w:rsidRPr="00D27497">
              <w:rPr>
                <w:rFonts w:ascii="Garamond" w:hAnsi="Garamond"/>
                <w:sz w:val="20"/>
                <w:szCs w:val="20"/>
                <w:lang w:val="pt-PT"/>
              </w:rPr>
              <w:t>ativas</w:t>
            </w:r>
            <w:proofErr w:type="spellEnd"/>
            <w:r w:rsidRPr="00D27497">
              <w:rPr>
                <w:rFonts w:ascii="Garamond" w:hAnsi="Garamond"/>
                <w:sz w:val="20"/>
                <w:szCs w:val="20"/>
                <w:lang w:val="pt-PT"/>
              </w:rPr>
              <w:t xml:space="preserve"> de emprego que são sensíveis ao género</w:t>
            </w:r>
          </w:p>
        </w:tc>
        <w:tc>
          <w:tcPr>
            <w:tcW w:w="4820" w:type="dxa"/>
            <w:shd w:val="clear" w:color="auto" w:fill="FFFFFF" w:themeFill="background1"/>
            <w:vAlign w:val="center"/>
          </w:tcPr>
          <w:p w14:paraId="38A0E16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1.2a Nº de mulheres e homens que beneficiam de políticas </w:t>
            </w:r>
            <w:proofErr w:type="spellStart"/>
            <w:r w:rsidRPr="00D27497">
              <w:rPr>
                <w:rFonts w:ascii="Garamond" w:hAnsi="Garamond"/>
                <w:sz w:val="20"/>
                <w:szCs w:val="20"/>
                <w:lang w:val="pt-PT"/>
              </w:rPr>
              <w:t>ativas</w:t>
            </w:r>
            <w:proofErr w:type="spellEnd"/>
            <w:r w:rsidRPr="00D27497">
              <w:rPr>
                <w:rFonts w:ascii="Garamond" w:hAnsi="Garamond"/>
                <w:sz w:val="20"/>
                <w:szCs w:val="20"/>
                <w:lang w:val="pt-PT"/>
              </w:rPr>
              <w:t xml:space="preserve"> de emprego (estágio profissional, iniciativas locais e regionais de emprego, empreendedorismo, etc.)  </w:t>
            </w:r>
          </w:p>
        </w:tc>
        <w:tc>
          <w:tcPr>
            <w:tcW w:w="1417" w:type="dxa"/>
            <w:shd w:val="clear" w:color="auto" w:fill="FFFFFF" w:themeFill="background1"/>
            <w:vAlign w:val="center"/>
          </w:tcPr>
          <w:p w14:paraId="0EF4FCC6" w14:textId="77777777" w:rsidR="000417DE" w:rsidRPr="00394AFA"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6791FA2A"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6370CF9"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IEFP</w:t>
            </w:r>
          </w:p>
        </w:tc>
      </w:tr>
      <w:tr w:rsidR="000417DE" w:rsidRPr="00D21977" w14:paraId="5E146700" w14:textId="77777777" w:rsidTr="00D27497">
        <w:trPr>
          <w:trHeight w:val="615"/>
          <w:jc w:val="center"/>
        </w:trPr>
        <w:tc>
          <w:tcPr>
            <w:tcW w:w="1626" w:type="dxa"/>
            <w:vMerge/>
            <w:shd w:val="clear" w:color="auto" w:fill="FFFFFF" w:themeFill="background1"/>
          </w:tcPr>
          <w:p w14:paraId="4C61CC93" w14:textId="77777777" w:rsidR="000417DE" w:rsidRPr="00D21977" w:rsidRDefault="000417DE" w:rsidP="003455F1">
            <w:pPr>
              <w:rPr>
                <w:rFonts w:ascii="Garamond" w:hAnsi="Garamond"/>
                <w:sz w:val="20"/>
                <w:szCs w:val="20"/>
              </w:rPr>
            </w:pPr>
          </w:p>
        </w:tc>
        <w:tc>
          <w:tcPr>
            <w:tcW w:w="4820" w:type="dxa"/>
            <w:shd w:val="clear" w:color="auto" w:fill="FFFFFF" w:themeFill="background1"/>
            <w:vAlign w:val="center"/>
          </w:tcPr>
          <w:p w14:paraId="5EF2124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1.2b Percentagem de financiamento canalizado para a promoção de negócios de mulheres e homens </w:t>
            </w:r>
          </w:p>
        </w:tc>
        <w:tc>
          <w:tcPr>
            <w:tcW w:w="1417" w:type="dxa"/>
            <w:shd w:val="clear" w:color="auto" w:fill="FFFFFF" w:themeFill="background1"/>
            <w:vAlign w:val="center"/>
          </w:tcPr>
          <w:p w14:paraId="07B4C0DC"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3C5763D5"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F9DA6C9"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Pro-</w:t>
            </w:r>
            <w:proofErr w:type="spellStart"/>
            <w:r>
              <w:rPr>
                <w:rFonts w:ascii="Garamond" w:eastAsia="Times New Roman" w:hAnsi="Garamond" w:cs="Times New Roman"/>
                <w:color w:val="000000"/>
                <w:sz w:val="20"/>
                <w:szCs w:val="20"/>
                <w:lang w:eastAsia="es-ES"/>
              </w:rPr>
              <w:t>Empresa</w:t>
            </w:r>
            <w:proofErr w:type="spellEnd"/>
          </w:p>
        </w:tc>
      </w:tr>
      <w:tr w:rsidR="000417DE" w:rsidRPr="00D21977" w14:paraId="3772B5FE" w14:textId="77777777" w:rsidTr="00D27497">
        <w:trPr>
          <w:trHeight w:val="615"/>
          <w:jc w:val="center"/>
        </w:trPr>
        <w:tc>
          <w:tcPr>
            <w:tcW w:w="1626" w:type="dxa"/>
            <w:vMerge/>
            <w:shd w:val="clear" w:color="auto" w:fill="FFFFFF" w:themeFill="background1"/>
          </w:tcPr>
          <w:p w14:paraId="4FC0601D" w14:textId="77777777" w:rsidR="000417DE" w:rsidRPr="00D21977" w:rsidRDefault="000417DE" w:rsidP="003455F1">
            <w:pPr>
              <w:rPr>
                <w:rFonts w:ascii="Garamond" w:hAnsi="Garamond"/>
                <w:sz w:val="20"/>
                <w:szCs w:val="20"/>
              </w:rPr>
            </w:pPr>
          </w:p>
        </w:tc>
        <w:tc>
          <w:tcPr>
            <w:tcW w:w="4820" w:type="dxa"/>
            <w:shd w:val="clear" w:color="auto" w:fill="FFFFFF" w:themeFill="background1"/>
            <w:vAlign w:val="center"/>
          </w:tcPr>
          <w:p w14:paraId="22340EB4"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1.2c Número de mulheres e homens que beneficiam de intermediação laboral inseridos no mercado de trabalho  </w:t>
            </w:r>
          </w:p>
        </w:tc>
        <w:tc>
          <w:tcPr>
            <w:tcW w:w="1417" w:type="dxa"/>
            <w:shd w:val="clear" w:color="auto" w:fill="FFFFFF" w:themeFill="background1"/>
            <w:vAlign w:val="center"/>
          </w:tcPr>
          <w:p w14:paraId="4224E4E2"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1C6D959C"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3113D8A"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IEFP</w:t>
            </w:r>
          </w:p>
        </w:tc>
      </w:tr>
      <w:tr w:rsidR="000417DE" w:rsidRPr="005808D4" w14:paraId="59A1AAA7" w14:textId="77777777" w:rsidTr="00D27497">
        <w:trPr>
          <w:trHeight w:val="921"/>
          <w:jc w:val="center"/>
        </w:trPr>
        <w:tc>
          <w:tcPr>
            <w:tcW w:w="1626" w:type="dxa"/>
            <w:vMerge w:val="restart"/>
            <w:shd w:val="clear" w:color="auto" w:fill="FFFFFF" w:themeFill="background1"/>
          </w:tcPr>
          <w:p w14:paraId="46BCA977" w14:textId="77777777" w:rsidR="000417DE" w:rsidRPr="00D27497" w:rsidRDefault="000417DE" w:rsidP="003455F1">
            <w:pPr>
              <w:rPr>
                <w:rFonts w:ascii="Garamond" w:hAnsi="Garamond" w:cs="Times New Roman"/>
                <w:sz w:val="20"/>
                <w:szCs w:val="20"/>
                <w:lang w:val="pt-PT"/>
              </w:rPr>
            </w:pPr>
            <w:r w:rsidRPr="00D27497">
              <w:rPr>
                <w:rFonts w:ascii="Garamond" w:hAnsi="Garamond" w:cs="Times New Roman"/>
                <w:sz w:val="20"/>
                <w:szCs w:val="20"/>
                <w:lang w:val="pt-PT"/>
              </w:rPr>
              <w:t>1.3. Atenuada a pobreza de tempo das mulheres e melhoradas as condições de conciliação da vida pessoal, laboral e familiar</w:t>
            </w:r>
          </w:p>
        </w:tc>
        <w:tc>
          <w:tcPr>
            <w:tcW w:w="4820" w:type="dxa"/>
            <w:shd w:val="clear" w:color="auto" w:fill="FFFFFF" w:themeFill="background1"/>
            <w:vAlign w:val="center"/>
          </w:tcPr>
          <w:p w14:paraId="4EBE0C0D"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1.3a Taxa de cobertura da rede de suporte para crianças de (i) 3-4 anos e de (ii) 0-2 anos </w:t>
            </w:r>
          </w:p>
        </w:tc>
        <w:tc>
          <w:tcPr>
            <w:tcW w:w="1417" w:type="dxa"/>
            <w:shd w:val="clear" w:color="auto" w:fill="FFFFFF" w:themeFill="background1"/>
            <w:vAlign w:val="center"/>
          </w:tcPr>
          <w:p w14:paraId="6BE1360C"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39E356B5"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1822A67"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Relatórios Plano Nacional de Cuidados</w:t>
            </w:r>
          </w:p>
        </w:tc>
      </w:tr>
      <w:tr w:rsidR="000417DE" w:rsidRPr="005808D4" w14:paraId="11FFC269" w14:textId="77777777" w:rsidTr="00D27497">
        <w:trPr>
          <w:trHeight w:val="977"/>
          <w:jc w:val="center"/>
        </w:trPr>
        <w:tc>
          <w:tcPr>
            <w:tcW w:w="1626" w:type="dxa"/>
            <w:vMerge/>
            <w:shd w:val="clear" w:color="auto" w:fill="FFFFFF" w:themeFill="background1"/>
          </w:tcPr>
          <w:p w14:paraId="2A1C9E76" w14:textId="77777777" w:rsidR="000417DE" w:rsidRPr="00D27497" w:rsidRDefault="000417DE" w:rsidP="003455F1">
            <w:pPr>
              <w:rPr>
                <w:rFonts w:ascii="Garamond" w:hAnsi="Garamond" w:cs="Times New Roman"/>
                <w:sz w:val="20"/>
                <w:szCs w:val="20"/>
                <w:lang w:val="pt-PT"/>
              </w:rPr>
            </w:pPr>
          </w:p>
        </w:tc>
        <w:tc>
          <w:tcPr>
            <w:tcW w:w="4820" w:type="dxa"/>
            <w:shd w:val="clear" w:color="auto" w:fill="FFFFFF" w:themeFill="background1"/>
            <w:vAlign w:val="center"/>
          </w:tcPr>
          <w:p w14:paraId="26F7EDE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1.3b Número de cuidadores formados para o atendimento a adultos cuidado-dependentes</w:t>
            </w:r>
          </w:p>
        </w:tc>
        <w:tc>
          <w:tcPr>
            <w:tcW w:w="1417" w:type="dxa"/>
            <w:shd w:val="clear" w:color="auto" w:fill="FFFFFF" w:themeFill="background1"/>
            <w:vAlign w:val="center"/>
          </w:tcPr>
          <w:p w14:paraId="106DC8DA"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105</w:t>
            </w:r>
          </w:p>
        </w:tc>
        <w:tc>
          <w:tcPr>
            <w:tcW w:w="851" w:type="dxa"/>
            <w:shd w:val="clear" w:color="auto" w:fill="FFFFFF" w:themeFill="background1"/>
            <w:vAlign w:val="center"/>
          </w:tcPr>
          <w:p w14:paraId="5EBF0D30"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269DAE7"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Relatório do Plano Nacional de Cuidados </w:t>
            </w:r>
            <w:proofErr w:type="spellStart"/>
            <w:r w:rsidRPr="00D27497">
              <w:rPr>
                <w:rFonts w:ascii="Garamond" w:eastAsia="Times New Roman" w:hAnsi="Garamond" w:cs="Times New Roman"/>
                <w:color w:val="000000"/>
                <w:sz w:val="20"/>
                <w:szCs w:val="20"/>
                <w:lang w:val="pt-PT" w:eastAsia="es-ES"/>
              </w:rPr>
              <w:t>DGIS</w:t>
            </w:r>
            <w:proofErr w:type="spellEnd"/>
          </w:p>
        </w:tc>
      </w:tr>
      <w:tr w:rsidR="000417DE" w:rsidRPr="00C44552" w14:paraId="1F2D2F16" w14:textId="77777777" w:rsidTr="00D27497">
        <w:trPr>
          <w:trHeight w:val="615"/>
          <w:jc w:val="center"/>
        </w:trPr>
        <w:tc>
          <w:tcPr>
            <w:tcW w:w="1626" w:type="dxa"/>
            <w:vMerge w:val="restart"/>
            <w:shd w:val="clear" w:color="auto" w:fill="FFFFFF" w:themeFill="background1"/>
          </w:tcPr>
          <w:p w14:paraId="1BD1FE9A" w14:textId="77777777" w:rsidR="000417DE" w:rsidRPr="00D27497" w:rsidRDefault="000417DE" w:rsidP="003455F1">
            <w:pPr>
              <w:rPr>
                <w:rFonts w:ascii="Garamond" w:hAnsi="Garamond" w:cs="Times New Roman"/>
                <w:color w:val="000000" w:themeColor="text1"/>
                <w:sz w:val="20"/>
                <w:szCs w:val="20"/>
                <w:lang w:val="pt-PT"/>
              </w:rPr>
            </w:pPr>
            <w:r w:rsidRPr="00D27497">
              <w:rPr>
                <w:rFonts w:ascii="Garamond" w:hAnsi="Garamond" w:cs="Times New Roman"/>
                <w:color w:val="000000" w:themeColor="text1"/>
                <w:sz w:val="20"/>
                <w:szCs w:val="20"/>
                <w:lang w:val="pt-PT"/>
              </w:rPr>
              <w:t>1.4. Aumentadas as oportunidades e segurança económica para mulheres em situação de pobreza no meio rural e urbano</w:t>
            </w:r>
          </w:p>
        </w:tc>
        <w:tc>
          <w:tcPr>
            <w:tcW w:w="4820" w:type="dxa"/>
            <w:shd w:val="clear" w:color="auto" w:fill="FFFFFF" w:themeFill="background1"/>
            <w:vAlign w:val="center"/>
          </w:tcPr>
          <w:p w14:paraId="62212638" w14:textId="77777777" w:rsidR="000417DE" w:rsidRPr="00D21977" w:rsidRDefault="000417DE" w:rsidP="003455F1">
            <w:pPr>
              <w:rPr>
                <w:rFonts w:ascii="Garamond" w:hAnsi="Garamond" w:cs="Arial"/>
                <w:sz w:val="20"/>
                <w:szCs w:val="20"/>
                <w:lang w:val="pt-BR"/>
              </w:rPr>
            </w:pPr>
            <w:r>
              <w:rPr>
                <w:rFonts w:ascii="Garamond" w:hAnsi="Garamond" w:cs="Arial"/>
                <w:sz w:val="20"/>
                <w:szCs w:val="20"/>
                <w:lang w:val="pt-BR"/>
              </w:rPr>
              <w:t>1.4a Número de mulheres e homens beneficiados por p</w:t>
            </w:r>
            <w:r w:rsidRPr="00471007">
              <w:rPr>
                <w:rFonts w:ascii="Garamond" w:hAnsi="Garamond" w:cs="Arial"/>
                <w:sz w:val="20"/>
                <w:szCs w:val="20"/>
                <w:lang w:val="pt-BR"/>
              </w:rPr>
              <w:t xml:space="preserve">rojectos agrícolas e projetos estruturantes </w:t>
            </w:r>
            <w:r>
              <w:rPr>
                <w:rFonts w:ascii="Garamond" w:hAnsi="Garamond" w:cs="Arial"/>
                <w:sz w:val="20"/>
                <w:szCs w:val="20"/>
                <w:lang w:val="pt-BR"/>
              </w:rPr>
              <w:t>(</w:t>
            </w:r>
            <w:r w:rsidRPr="00471007">
              <w:rPr>
                <w:rFonts w:ascii="Garamond" w:hAnsi="Garamond" w:cs="Arial"/>
                <w:sz w:val="20"/>
                <w:szCs w:val="20"/>
                <w:lang w:val="pt-BR"/>
              </w:rPr>
              <w:t>acesso à água</w:t>
            </w:r>
            <w:r>
              <w:rPr>
                <w:rFonts w:ascii="Garamond" w:hAnsi="Garamond" w:cs="Arial"/>
                <w:sz w:val="20"/>
                <w:szCs w:val="20"/>
                <w:lang w:val="pt-BR"/>
              </w:rPr>
              <w:t>,</w:t>
            </w:r>
            <w:r w:rsidRPr="00471007">
              <w:rPr>
                <w:rFonts w:ascii="Garamond" w:hAnsi="Garamond" w:cs="Arial"/>
                <w:sz w:val="20"/>
                <w:szCs w:val="20"/>
                <w:lang w:val="pt-BR"/>
              </w:rPr>
              <w:t xml:space="preserve"> tecnologias</w:t>
            </w:r>
            <w:r>
              <w:rPr>
                <w:rFonts w:ascii="Garamond" w:hAnsi="Garamond" w:cs="Arial"/>
                <w:sz w:val="20"/>
                <w:szCs w:val="20"/>
                <w:lang w:val="pt-BR"/>
              </w:rPr>
              <w:t xml:space="preserve">, </w:t>
            </w:r>
            <w:r w:rsidRPr="00471007">
              <w:rPr>
                <w:rFonts w:ascii="Garamond" w:hAnsi="Garamond" w:cs="Arial"/>
                <w:sz w:val="20"/>
                <w:szCs w:val="20"/>
                <w:lang w:val="pt-BR"/>
              </w:rPr>
              <w:t>práticas agrícolas e de criação modernas</w:t>
            </w:r>
            <w:r>
              <w:rPr>
                <w:rFonts w:ascii="Garamond" w:hAnsi="Garamond" w:cs="Arial"/>
                <w:sz w:val="20"/>
                <w:szCs w:val="20"/>
                <w:lang w:val="pt-BR"/>
              </w:rPr>
              <w:t>)</w:t>
            </w:r>
          </w:p>
        </w:tc>
        <w:tc>
          <w:tcPr>
            <w:tcW w:w="1417" w:type="dxa"/>
            <w:shd w:val="clear" w:color="auto" w:fill="FFFFFF" w:themeFill="background1"/>
            <w:vAlign w:val="center"/>
          </w:tcPr>
          <w:p w14:paraId="2CC42F1A"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7D4FBC7A"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6FE91D2"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MAA</w:t>
            </w:r>
          </w:p>
        </w:tc>
      </w:tr>
      <w:tr w:rsidR="000417DE" w:rsidRPr="005808D4" w14:paraId="4721590E" w14:textId="77777777" w:rsidTr="00D27497">
        <w:trPr>
          <w:trHeight w:val="615"/>
          <w:jc w:val="center"/>
        </w:trPr>
        <w:tc>
          <w:tcPr>
            <w:tcW w:w="1626" w:type="dxa"/>
            <w:vMerge/>
            <w:shd w:val="clear" w:color="auto" w:fill="FFFFFF" w:themeFill="background1"/>
          </w:tcPr>
          <w:p w14:paraId="237413F8" w14:textId="77777777" w:rsidR="000417DE" w:rsidRPr="00C44552" w:rsidRDefault="000417DE" w:rsidP="003455F1">
            <w:pPr>
              <w:rPr>
                <w:rFonts w:ascii="Garamond" w:hAnsi="Garamond"/>
                <w:sz w:val="20"/>
                <w:szCs w:val="20"/>
              </w:rPr>
            </w:pPr>
          </w:p>
        </w:tc>
        <w:tc>
          <w:tcPr>
            <w:tcW w:w="4820" w:type="dxa"/>
            <w:shd w:val="clear" w:color="auto" w:fill="FFFFFF" w:themeFill="background1"/>
            <w:vAlign w:val="center"/>
          </w:tcPr>
          <w:p w14:paraId="372ED4AE" w14:textId="77777777" w:rsidR="000417DE" w:rsidRDefault="000417DE" w:rsidP="003455F1">
            <w:pPr>
              <w:rPr>
                <w:rFonts w:ascii="Garamond" w:hAnsi="Garamond" w:cs="Arial"/>
                <w:sz w:val="20"/>
                <w:szCs w:val="20"/>
                <w:lang w:val="pt-BR"/>
              </w:rPr>
            </w:pPr>
            <w:r>
              <w:rPr>
                <w:rFonts w:ascii="Garamond" w:hAnsi="Garamond" w:cs="Arial"/>
                <w:sz w:val="20"/>
                <w:szCs w:val="20"/>
                <w:lang w:val="pt-BR"/>
              </w:rPr>
              <w:t xml:space="preserve">1.4b Número de projetos de género dos </w:t>
            </w:r>
            <w:r w:rsidRPr="00D21977">
              <w:rPr>
                <w:rFonts w:ascii="Garamond" w:hAnsi="Garamond" w:cs="Arial"/>
                <w:sz w:val="20"/>
                <w:szCs w:val="20"/>
                <w:lang w:val="pt-BR"/>
              </w:rPr>
              <w:t xml:space="preserve">PEMDS </w:t>
            </w:r>
            <w:r>
              <w:rPr>
                <w:rFonts w:ascii="Garamond" w:hAnsi="Garamond" w:cs="Arial"/>
                <w:sz w:val="20"/>
                <w:szCs w:val="20"/>
                <w:lang w:val="pt-BR"/>
              </w:rPr>
              <w:t xml:space="preserve">implementados (nos municípios onde a probreza afeta mais os </w:t>
            </w:r>
            <w:r w:rsidRPr="00E01B0C">
              <w:rPr>
                <w:rFonts w:ascii="Garamond" w:hAnsi="Garamond" w:cs="Arial"/>
                <w:sz w:val="20"/>
                <w:szCs w:val="20"/>
                <w:lang w:val="pt-BR"/>
              </w:rPr>
              <w:t>agregados representados por mulheres e as mulheres</w:t>
            </w:r>
            <w:r>
              <w:rPr>
                <w:rFonts w:ascii="Garamond" w:hAnsi="Garamond" w:cs="Arial"/>
                <w:sz w:val="20"/>
                <w:szCs w:val="20"/>
                <w:lang w:val="pt-BR"/>
              </w:rPr>
              <w:t>)</w:t>
            </w:r>
          </w:p>
          <w:p w14:paraId="1AA1EAE9" w14:textId="77777777" w:rsidR="000417DE" w:rsidRPr="00E01B0C" w:rsidRDefault="000417DE" w:rsidP="003455F1">
            <w:pPr>
              <w:rPr>
                <w:rFonts w:ascii="Garamond" w:hAnsi="Garamond" w:cs="Arial"/>
                <w:i/>
                <w:iCs/>
                <w:sz w:val="18"/>
                <w:szCs w:val="18"/>
                <w:lang w:val="pt-BR"/>
              </w:rPr>
            </w:pPr>
            <w:r w:rsidRPr="00E01B0C">
              <w:rPr>
                <w:rFonts w:ascii="Garamond" w:hAnsi="Garamond" w:cs="Arial"/>
                <w:i/>
                <w:iCs/>
                <w:sz w:val="18"/>
                <w:szCs w:val="18"/>
                <w:lang w:val="pt-BR"/>
              </w:rPr>
              <w:t>Santiago (todos), Santo Antão (Porto Novo, Paul), São Nicolau (Tarrafal de São Nicolau), Fogo (São Filipe, Mosteiros)</w:t>
            </w:r>
            <w:r>
              <w:rPr>
                <w:rFonts w:ascii="Garamond" w:hAnsi="Garamond" w:cs="Arial"/>
                <w:i/>
                <w:iCs/>
                <w:sz w:val="18"/>
                <w:szCs w:val="18"/>
                <w:lang w:val="pt-BR"/>
              </w:rPr>
              <w:t xml:space="preserve">, </w:t>
            </w:r>
            <w:r w:rsidRPr="00E01B0C">
              <w:rPr>
                <w:rFonts w:ascii="Garamond" w:hAnsi="Garamond" w:cs="Arial"/>
                <w:i/>
                <w:iCs/>
                <w:sz w:val="18"/>
                <w:szCs w:val="18"/>
                <w:lang w:val="pt-BR"/>
              </w:rPr>
              <w:t>Brava</w:t>
            </w:r>
            <w:r>
              <w:rPr>
                <w:rFonts w:ascii="Garamond" w:hAnsi="Garamond" w:cs="Arial"/>
                <w:i/>
                <w:iCs/>
                <w:sz w:val="18"/>
                <w:szCs w:val="18"/>
                <w:lang w:val="pt-BR"/>
              </w:rPr>
              <w:t>, São Vicente</w:t>
            </w:r>
            <w:r w:rsidRPr="00E01B0C">
              <w:rPr>
                <w:rFonts w:ascii="Garamond" w:hAnsi="Garamond" w:cs="Arial"/>
                <w:i/>
                <w:iCs/>
                <w:sz w:val="18"/>
                <w:szCs w:val="18"/>
                <w:lang w:val="pt-BR"/>
              </w:rPr>
              <w:t xml:space="preserve"> </w:t>
            </w:r>
          </w:p>
        </w:tc>
        <w:tc>
          <w:tcPr>
            <w:tcW w:w="1417" w:type="dxa"/>
            <w:shd w:val="clear" w:color="auto" w:fill="FFFFFF" w:themeFill="background1"/>
            <w:vAlign w:val="center"/>
          </w:tcPr>
          <w:p w14:paraId="50BD9C00"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851" w:type="dxa"/>
            <w:shd w:val="clear" w:color="auto" w:fill="FFFFFF" w:themeFill="background1"/>
            <w:vAlign w:val="center"/>
          </w:tcPr>
          <w:p w14:paraId="15167E0D" w14:textId="77777777" w:rsidR="000417DE" w:rsidRPr="00C44552"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AEE683B"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Relatórios </w:t>
            </w:r>
            <w:proofErr w:type="spellStart"/>
            <w:r w:rsidRPr="00D27497">
              <w:rPr>
                <w:rFonts w:ascii="Garamond" w:eastAsia="Times New Roman" w:hAnsi="Garamond" w:cs="Times New Roman"/>
                <w:color w:val="000000"/>
                <w:sz w:val="20"/>
                <w:szCs w:val="20"/>
                <w:lang w:val="pt-PT" w:eastAsia="es-ES"/>
              </w:rPr>
              <w:t>Projeto</w:t>
            </w:r>
            <w:proofErr w:type="spellEnd"/>
            <w:r w:rsidRPr="00D27497">
              <w:rPr>
                <w:rFonts w:ascii="Garamond" w:eastAsia="Times New Roman" w:hAnsi="Garamond" w:cs="Times New Roman"/>
                <w:color w:val="000000"/>
                <w:sz w:val="20"/>
                <w:szCs w:val="20"/>
                <w:lang w:val="pt-PT" w:eastAsia="es-ES"/>
              </w:rPr>
              <w:t xml:space="preserve"> Plataformas para a Localização dos </w:t>
            </w:r>
            <w:proofErr w:type="spellStart"/>
            <w:r w:rsidRPr="00D27497">
              <w:rPr>
                <w:rFonts w:ascii="Garamond" w:eastAsia="Times New Roman" w:hAnsi="Garamond" w:cs="Times New Roman"/>
                <w:color w:val="000000"/>
                <w:sz w:val="20"/>
                <w:szCs w:val="20"/>
                <w:lang w:val="pt-PT" w:eastAsia="es-ES"/>
              </w:rPr>
              <w:t>ODS</w:t>
            </w:r>
            <w:proofErr w:type="spellEnd"/>
          </w:p>
        </w:tc>
      </w:tr>
      <w:tr w:rsidR="000417DE" w:rsidRPr="005808D4" w14:paraId="5D23FDAA" w14:textId="77777777" w:rsidTr="00D27497">
        <w:trPr>
          <w:trHeight w:val="615"/>
          <w:jc w:val="center"/>
        </w:trPr>
        <w:tc>
          <w:tcPr>
            <w:tcW w:w="1626" w:type="dxa"/>
            <w:vMerge/>
            <w:shd w:val="clear" w:color="auto" w:fill="FFFFFF" w:themeFill="background1"/>
          </w:tcPr>
          <w:p w14:paraId="65623BB6" w14:textId="77777777" w:rsidR="000417DE" w:rsidRPr="00D27497" w:rsidRDefault="000417DE" w:rsidP="003455F1">
            <w:pPr>
              <w:rPr>
                <w:rFonts w:ascii="Garamond" w:hAnsi="Garamond"/>
                <w:sz w:val="20"/>
                <w:szCs w:val="20"/>
                <w:lang w:val="pt-PT"/>
              </w:rPr>
            </w:pPr>
          </w:p>
        </w:tc>
        <w:tc>
          <w:tcPr>
            <w:tcW w:w="4820" w:type="dxa"/>
            <w:shd w:val="clear" w:color="auto" w:fill="FFFFFF" w:themeFill="background1"/>
            <w:vAlign w:val="center"/>
          </w:tcPr>
          <w:p w14:paraId="049995DB" w14:textId="77777777" w:rsidR="000417DE" w:rsidRPr="00D27497" w:rsidRDefault="000417DE" w:rsidP="003455F1">
            <w:pPr>
              <w:rPr>
                <w:rFonts w:ascii="Garamond" w:eastAsia="Times New Roman" w:hAnsi="Garamond" w:cs="Times New Roman"/>
                <w:color w:val="000000"/>
                <w:sz w:val="20"/>
                <w:szCs w:val="20"/>
                <w:lang w:val="pt-PT" w:eastAsia="es-ES"/>
              </w:rPr>
            </w:pPr>
            <w:r>
              <w:rPr>
                <w:rFonts w:ascii="Garamond" w:hAnsi="Garamond" w:cs="Arial"/>
                <w:sz w:val="20"/>
                <w:szCs w:val="20"/>
                <w:lang w:val="pt-BR"/>
              </w:rPr>
              <w:t>1.4c Número de boas práticas de inclusão das mulheres em situação de pobreza (rural e urbano) pelo rendimento (i) identificadas e (ii) replicadas</w:t>
            </w:r>
          </w:p>
        </w:tc>
        <w:tc>
          <w:tcPr>
            <w:tcW w:w="1417" w:type="dxa"/>
            <w:shd w:val="clear" w:color="auto" w:fill="FFFFFF" w:themeFill="background1"/>
            <w:vAlign w:val="center"/>
          </w:tcPr>
          <w:p w14:paraId="131692C8"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851" w:type="dxa"/>
            <w:shd w:val="clear" w:color="auto" w:fill="FFFFFF" w:themeFill="background1"/>
            <w:vAlign w:val="center"/>
          </w:tcPr>
          <w:p w14:paraId="6409BA2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6438410A"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proofErr w:type="spellStart"/>
            <w:r w:rsidRPr="00D27497">
              <w:rPr>
                <w:rFonts w:ascii="Garamond" w:eastAsia="Times New Roman" w:hAnsi="Garamond" w:cs="Times New Roman"/>
                <w:color w:val="000000"/>
                <w:sz w:val="20"/>
                <w:szCs w:val="20"/>
                <w:lang w:val="pt-PT" w:eastAsia="es-ES"/>
              </w:rPr>
              <w:t>DGIS</w:t>
            </w:r>
            <w:proofErr w:type="spellEnd"/>
            <w:r w:rsidRPr="00D27497">
              <w:rPr>
                <w:rFonts w:ascii="Garamond" w:eastAsia="Times New Roman" w:hAnsi="Garamond" w:cs="Times New Roman"/>
                <w:color w:val="000000"/>
                <w:sz w:val="20"/>
                <w:szCs w:val="20"/>
                <w:lang w:val="pt-PT" w:eastAsia="es-ES"/>
              </w:rPr>
              <w:t xml:space="preserve"> relatórios do Programa RIS</w:t>
            </w:r>
          </w:p>
        </w:tc>
      </w:tr>
      <w:tr w:rsidR="000417DE" w:rsidRPr="00471007" w14:paraId="1D3D78E5" w14:textId="77777777" w:rsidTr="00D27497">
        <w:trPr>
          <w:trHeight w:val="823"/>
          <w:jc w:val="center"/>
        </w:trPr>
        <w:tc>
          <w:tcPr>
            <w:tcW w:w="1626" w:type="dxa"/>
            <w:vMerge w:val="restart"/>
            <w:shd w:val="clear" w:color="auto" w:fill="FFFFFF" w:themeFill="background1"/>
          </w:tcPr>
          <w:p w14:paraId="48C74537"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1.5. Melhorado o acesso ao emprego e condições de trabalho de grupos específicos de mulheres (mulheres no emprego doméstico, mulheres do </w:t>
            </w:r>
            <w:proofErr w:type="spellStart"/>
            <w:r w:rsidRPr="00D27497">
              <w:rPr>
                <w:rFonts w:ascii="Garamond" w:hAnsi="Garamond"/>
                <w:sz w:val="20"/>
                <w:szCs w:val="20"/>
                <w:lang w:val="pt-PT"/>
              </w:rPr>
              <w:t>setor</w:t>
            </w:r>
            <w:proofErr w:type="spellEnd"/>
            <w:r w:rsidRPr="00D27497">
              <w:rPr>
                <w:rFonts w:ascii="Garamond" w:hAnsi="Garamond"/>
                <w:sz w:val="20"/>
                <w:szCs w:val="20"/>
                <w:lang w:val="pt-PT"/>
              </w:rPr>
              <w:t xml:space="preserve"> informal, mulheres com deficiência)</w:t>
            </w:r>
          </w:p>
        </w:tc>
        <w:tc>
          <w:tcPr>
            <w:tcW w:w="4820" w:type="dxa"/>
            <w:shd w:val="clear" w:color="auto" w:fill="FFFFFF" w:themeFill="background1"/>
            <w:vAlign w:val="center"/>
          </w:tcPr>
          <w:p w14:paraId="1FB71C62" w14:textId="77777777" w:rsidR="000417DE" w:rsidRPr="00D27497" w:rsidRDefault="000417DE" w:rsidP="003455F1">
            <w:pP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 xml:space="preserve">1.5a Percentagem de empregadas(os) domésticas(os) inscritas(os) no </w:t>
            </w:r>
            <w:proofErr w:type="spellStart"/>
            <w:r w:rsidRPr="00D27497">
              <w:rPr>
                <w:rFonts w:ascii="Garamond" w:eastAsia="Times New Roman" w:hAnsi="Garamond" w:cs="Times New Roman"/>
                <w:sz w:val="20"/>
                <w:szCs w:val="20"/>
                <w:lang w:val="pt-PT" w:eastAsia="es-ES"/>
              </w:rPr>
              <w:t>INPS</w:t>
            </w:r>
            <w:proofErr w:type="spellEnd"/>
          </w:p>
        </w:tc>
        <w:tc>
          <w:tcPr>
            <w:tcW w:w="1417" w:type="dxa"/>
            <w:shd w:val="clear" w:color="auto" w:fill="FFFFFF" w:themeFill="background1"/>
            <w:vAlign w:val="center"/>
          </w:tcPr>
          <w:p w14:paraId="4EC8A76E" w14:textId="77777777" w:rsidR="000417DE" w:rsidRPr="00471007" w:rsidRDefault="000417DE" w:rsidP="003455F1">
            <w:pPr>
              <w:spacing w:before="60" w:after="60"/>
              <w:jc w:val="center"/>
              <w:rPr>
                <w:rFonts w:ascii="Garamond" w:hAnsi="Garamond"/>
                <w:sz w:val="20"/>
                <w:szCs w:val="20"/>
              </w:rPr>
            </w:pPr>
            <w:r w:rsidRPr="00471007">
              <w:rPr>
                <w:rFonts w:ascii="Garamond" w:hAnsi="Garamond"/>
                <w:sz w:val="20"/>
                <w:szCs w:val="20"/>
              </w:rPr>
              <w:t>17,5%</w:t>
            </w:r>
          </w:p>
        </w:tc>
        <w:tc>
          <w:tcPr>
            <w:tcW w:w="851" w:type="dxa"/>
            <w:shd w:val="clear" w:color="auto" w:fill="FFFFFF" w:themeFill="background1"/>
            <w:vAlign w:val="center"/>
          </w:tcPr>
          <w:p w14:paraId="02CBF9E9"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2018</w:t>
            </w:r>
          </w:p>
        </w:tc>
        <w:tc>
          <w:tcPr>
            <w:tcW w:w="1701" w:type="dxa"/>
            <w:shd w:val="clear" w:color="auto" w:fill="FFFFFF" w:themeFill="background1"/>
            <w:vAlign w:val="center"/>
          </w:tcPr>
          <w:p w14:paraId="663F160A"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 xml:space="preserve">Dados do </w:t>
            </w:r>
            <w:proofErr w:type="spellStart"/>
            <w:r w:rsidRPr="00471007">
              <w:rPr>
                <w:rFonts w:ascii="Garamond" w:eastAsia="Times New Roman" w:hAnsi="Garamond" w:cs="Times New Roman"/>
                <w:sz w:val="20"/>
                <w:szCs w:val="20"/>
                <w:lang w:eastAsia="es-ES"/>
              </w:rPr>
              <w:t>INPS</w:t>
            </w:r>
            <w:proofErr w:type="spellEnd"/>
            <w:r w:rsidRPr="00471007">
              <w:rPr>
                <w:rFonts w:ascii="Garamond" w:eastAsia="Times New Roman" w:hAnsi="Garamond" w:cs="Times New Roman"/>
                <w:sz w:val="20"/>
                <w:szCs w:val="20"/>
                <w:lang w:eastAsia="es-ES"/>
              </w:rPr>
              <w:t xml:space="preserve"> &amp; IMC</w:t>
            </w:r>
          </w:p>
        </w:tc>
      </w:tr>
      <w:tr w:rsidR="000417DE" w:rsidRPr="00471007" w14:paraId="7C88E439" w14:textId="77777777" w:rsidTr="00D27497">
        <w:trPr>
          <w:trHeight w:val="1045"/>
          <w:jc w:val="center"/>
        </w:trPr>
        <w:tc>
          <w:tcPr>
            <w:tcW w:w="1626" w:type="dxa"/>
            <w:vMerge/>
            <w:shd w:val="clear" w:color="auto" w:fill="FFFFFF" w:themeFill="background1"/>
          </w:tcPr>
          <w:p w14:paraId="5A53ABF4" w14:textId="77777777" w:rsidR="000417DE" w:rsidRPr="00471007" w:rsidRDefault="000417DE" w:rsidP="003455F1">
            <w:pPr>
              <w:rPr>
                <w:rFonts w:ascii="Garamond" w:hAnsi="Garamond"/>
                <w:sz w:val="20"/>
                <w:szCs w:val="20"/>
              </w:rPr>
            </w:pPr>
          </w:p>
        </w:tc>
        <w:tc>
          <w:tcPr>
            <w:tcW w:w="4820" w:type="dxa"/>
            <w:shd w:val="clear" w:color="auto" w:fill="FFFFFF" w:themeFill="background1"/>
            <w:vAlign w:val="center"/>
          </w:tcPr>
          <w:p w14:paraId="56F88369" w14:textId="77777777" w:rsidR="000417DE" w:rsidRPr="00D27497" w:rsidRDefault="000417DE" w:rsidP="003455F1">
            <w:pP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 xml:space="preserve">1.5b </w:t>
            </w:r>
            <w:r w:rsidRPr="00D27497">
              <w:rPr>
                <w:rFonts w:ascii="Garamond" w:hAnsi="Garamond"/>
                <w:sz w:val="20"/>
                <w:szCs w:val="20"/>
                <w:lang w:val="pt-PT"/>
              </w:rPr>
              <w:t>Nº de beneficiárias(os) de programas de apoio à transição para o formal</w:t>
            </w:r>
          </w:p>
        </w:tc>
        <w:tc>
          <w:tcPr>
            <w:tcW w:w="1417" w:type="dxa"/>
            <w:shd w:val="clear" w:color="auto" w:fill="FFFFFF" w:themeFill="background1"/>
            <w:vAlign w:val="center"/>
          </w:tcPr>
          <w:p w14:paraId="16D62FD5"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0</w:t>
            </w:r>
          </w:p>
        </w:tc>
        <w:tc>
          <w:tcPr>
            <w:tcW w:w="851" w:type="dxa"/>
            <w:shd w:val="clear" w:color="auto" w:fill="FFFFFF" w:themeFill="background1"/>
            <w:vAlign w:val="center"/>
          </w:tcPr>
          <w:p w14:paraId="31F5CC4E"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2018</w:t>
            </w:r>
          </w:p>
        </w:tc>
        <w:tc>
          <w:tcPr>
            <w:tcW w:w="1701" w:type="dxa"/>
            <w:shd w:val="clear" w:color="auto" w:fill="FFFFFF" w:themeFill="background1"/>
            <w:vAlign w:val="center"/>
          </w:tcPr>
          <w:p w14:paraId="3DABA294" w14:textId="77777777" w:rsidR="000417DE" w:rsidRPr="00471007" w:rsidRDefault="000417DE" w:rsidP="003455F1">
            <w:pPr>
              <w:spacing w:before="60" w:after="60"/>
              <w:jc w:val="center"/>
              <w:rPr>
                <w:rFonts w:ascii="Garamond" w:eastAsia="Times New Roman" w:hAnsi="Garamond" w:cs="Times New Roman"/>
                <w:sz w:val="20"/>
                <w:szCs w:val="20"/>
                <w:lang w:eastAsia="es-ES"/>
              </w:rPr>
            </w:pPr>
            <w:proofErr w:type="spellStart"/>
            <w:r w:rsidRPr="00471007">
              <w:rPr>
                <w:rFonts w:ascii="Garamond" w:eastAsia="Times New Roman" w:hAnsi="Garamond" w:cs="Times New Roman"/>
                <w:sz w:val="20"/>
                <w:szCs w:val="20"/>
                <w:lang w:eastAsia="es-ES"/>
              </w:rPr>
              <w:t>Relatórios</w:t>
            </w:r>
            <w:proofErr w:type="spellEnd"/>
            <w:r w:rsidRPr="00471007">
              <w:rPr>
                <w:rFonts w:ascii="Garamond" w:eastAsia="Times New Roman" w:hAnsi="Garamond" w:cs="Times New Roman"/>
                <w:sz w:val="20"/>
                <w:szCs w:val="20"/>
                <w:lang w:eastAsia="es-ES"/>
              </w:rPr>
              <w:t xml:space="preserve"> do </w:t>
            </w:r>
            <w:proofErr w:type="spellStart"/>
            <w:r w:rsidRPr="00471007">
              <w:rPr>
                <w:rFonts w:ascii="Garamond" w:eastAsia="Times New Roman" w:hAnsi="Garamond" w:cs="Times New Roman"/>
                <w:sz w:val="20"/>
                <w:szCs w:val="20"/>
                <w:lang w:eastAsia="es-ES"/>
              </w:rPr>
              <w:t>GETIF</w:t>
            </w:r>
            <w:proofErr w:type="spellEnd"/>
          </w:p>
        </w:tc>
      </w:tr>
      <w:tr w:rsidR="000417DE" w:rsidRPr="00471007" w14:paraId="207D1D29" w14:textId="77777777" w:rsidTr="00D27497">
        <w:trPr>
          <w:trHeight w:val="615"/>
          <w:jc w:val="center"/>
        </w:trPr>
        <w:tc>
          <w:tcPr>
            <w:tcW w:w="1626" w:type="dxa"/>
            <w:vMerge/>
            <w:shd w:val="clear" w:color="auto" w:fill="FFFFFF" w:themeFill="background1"/>
          </w:tcPr>
          <w:p w14:paraId="2AA86475" w14:textId="77777777" w:rsidR="000417DE" w:rsidRPr="00471007" w:rsidRDefault="000417DE" w:rsidP="003455F1">
            <w:pPr>
              <w:rPr>
                <w:rFonts w:ascii="Garamond" w:hAnsi="Garamond"/>
                <w:sz w:val="20"/>
                <w:szCs w:val="20"/>
              </w:rPr>
            </w:pPr>
          </w:p>
        </w:tc>
        <w:tc>
          <w:tcPr>
            <w:tcW w:w="4820" w:type="dxa"/>
            <w:shd w:val="clear" w:color="auto" w:fill="FFFFFF" w:themeFill="background1"/>
            <w:vAlign w:val="center"/>
          </w:tcPr>
          <w:p w14:paraId="192298D3" w14:textId="77777777" w:rsidR="000417DE" w:rsidRPr="00D27497" w:rsidRDefault="000417DE" w:rsidP="003455F1">
            <w:pPr>
              <w:rPr>
                <w:rFonts w:ascii="Garamond" w:hAnsi="Garamond"/>
                <w:sz w:val="20"/>
                <w:szCs w:val="20"/>
                <w:lang w:val="pt-PT"/>
              </w:rPr>
            </w:pPr>
            <w:r w:rsidRPr="00D27497">
              <w:rPr>
                <w:rFonts w:ascii="Garamond" w:eastAsia="Times New Roman" w:hAnsi="Garamond" w:cs="Times New Roman"/>
                <w:sz w:val="20"/>
                <w:szCs w:val="20"/>
                <w:lang w:val="pt-PT" w:eastAsia="es-ES"/>
              </w:rPr>
              <w:t xml:space="preserve">1.5c Nº de </w:t>
            </w:r>
            <w:r w:rsidRPr="00D27497">
              <w:rPr>
                <w:rFonts w:ascii="Garamond" w:hAnsi="Garamond"/>
                <w:sz w:val="20"/>
                <w:szCs w:val="20"/>
                <w:lang w:val="pt-PT"/>
              </w:rPr>
              <w:t>mulheres e homens com deficiência que trabalham na Administração Pública</w:t>
            </w:r>
          </w:p>
        </w:tc>
        <w:tc>
          <w:tcPr>
            <w:tcW w:w="1417" w:type="dxa"/>
            <w:shd w:val="clear" w:color="auto" w:fill="FFFFFF" w:themeFill="background1"/>
            <w:vAlign w:val="center"/>
          </w:tcPr>
          <w:p w14:paraId="5F4D9298"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ND</w:t>
            </w:r>
          </w:p>
        </w:tc>
        <w:tc>
          <w:tcPr>
            <w:tcW w:w="851" w:type="dxa"/>
            <w:shd w:val="clear" w:color="auto" w:fill="FFFFFF" w:themeFill="background1"/>
            <w:vAlign w:val="center"/>
          </w:tcPr>
          <w:p w14:paraId="3DFDB70C"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Pr>
                <w:rFonts w:ascii="Garamond" w:eastAsia="Times New Roman" w:hAnsi="Garamond" w:cs="Times New Roman"/>
                <w:sz w:val="20"/>
                <w:szCs w:val="20"/>
                <w:lang w:eastAsia="es-ES"/>
              </w:rPr>
              <w:t>2019</w:t>
            </w:r>
          </w:p>
        </w:tc>
        <w:tc>
          <w:tcPr>
            <w:tcW w:w="1701" w:type="dxa"/>
            <w:shd w:val="clear" w:color="auto" w:fill="FFFFFF" w:themeFill="background1"/>
            <w:vAlign w:val="center"/>
          </w:tcPr>
          <w:p w14:paraId="49641B6E"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Pr>
                <w:rFonts w:ascii="Garamond" w:eastAsia="Times New Roman" w:hAnsi="Garamond" w:cs="Times New Roman"/>
                <w:sz w:val="20"/>
                <w:szCs w:val="20"/>
                <w:lang w:eastAsia="es-ES"/>
              </w:rPr>
              <w:t xml:space="preserve">Sistema de </w:t>
            </w:r>
            <w:proofErr w:type="spellStart"/>
            <w:r>
              <w:rPr>
                <w:rFonts w:ascii="Garamond" w:eastAsia="Times New Roman" w:hAnsi="Garamond" w:cs="Times New Roman"/>
                <w:sz w:val="20"/>
                <w:szCs w:val="20"/>
                <w:lang w:eastAsia="es-ES"/>
              </w:rPr>
              <w:t>seguimento</w:t>
            </w:r>
            <w:proofErr w:type="spellEnd"/>
            <w:r>
              <w:rPr>
                <w:rFonts w:ascii="Garamond" w:eastAsia="Times New Roman" w:hAnsi="Garamond" w:cs="Times New Roman"/>
                <w:sz w:val="20"/>
                <w:szCs w:val="20"/>
                <w:lang w:eastAsia="es-ES"/>
              </w:rPr>
              <w:t xml:space="preserve"> </w:t>
            </w:r>
            <w:proofErr w:type="spellStart"/>
            <w:r w:rsidRPr="00471007">
              <w:rPr>
                <w:rFonts w:ascii="Garamond" w:eastAsia="Times New Roman" w:hAnsi="Garamond" w:cs="Times New Roman"/>
                <w:sz w:val="20"/>
                <w:szCs w:val="20"/>
                <w:lang w:eastAsia="es-ES"/>
              </w:rPr>
              <w:t>DNAP</w:t>
            </w:r>
            <w:proofErr w:type="spellEnd"/>
          </w:p>
        </w:tc>
      </w:tr>
      <w:tr w:rsidR="000417DE" w:rsidRPr="00471007" w14:paraId="797AF0B6" w14:textId="77777777" w:rsidTr="00D27497">
        <w:trPr>
          <w:trHeight w:val="686"/>
          <w:jc w:val="center"/>
        </w:trPr>
        <w:tc>
          <w:tcPr>
            <w:tcW w:w="1626" w:type="dxa"/>
            <w:vMerge w:val="restart"/>
            <w:shd w:val="clear" w:color="auto" w:fill="FFFFFF" w:themeFill="background1"/>
          </w:tcPr>
          <w:p w14:paraId="7AD46B55" w14:textId="77777777" w:rsidR="000417DE" w:rsidRPr="00D27497" w:rsidRDefault="000417DE" w:rsidP="003455F1">
            <w:pPr>
              <w:rPr>
                <w:rFonts w:ascii="Garamond" w:hAnsi="Garamond" w:cs="Times New Roman"/>
                <w:sz w:val="20"/>
                <w:szCs w:val="20"/>
                <w:lang w:val="pt-PT"/>
              </w:rPr>
            </w:pPr>
            <w:r w:rsidRPr="00D27497">
              <w:rPr>
                <w:rFonts w:ascii="Garamond" w:hAnsi="Garamond" w:cs="Times New Roman"/>
                <w:sz w:val="20"/>
                <w:szCs w:val="20"/>
                <w:lang w:val="pt-PT"/>
              </w:rPr>
              <w:t>1.6. Aumentada a visibilidade e respostas a formas menos visíveis de discriminação de género no contexto laboral, tais como a discriminação salarial e o assédio sexual</w:t>
            </w:r>
          </w:p>
        </w:tc>
        <w:tc>
          <w:tcPr>
            <w:tcW w:w="4820" w:type="dxa"/>
            <w:shd w:val="clear" w:color="auto" w:fill="FFFFFF" w:themeFill="background1"/>
            <w:vAlign w:val="center"/>
          </w:tcPr>
          <w:p w14:paraId="422699F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1.6a Estudo sobre a discriminação salarial em razão do género disponível</w:t>
            </w:r>
          </w:p>
        </w:tc>
        <w:tc>
          <w:tcPr>
            <w:tcW w:w="1417" w:type="dxa"/>
            <w:shd w:val="clear" w:color="auto" w:fill="FFFFFF" w:themeFill="background1"/>
            <w:vAlign w:val="center"/>
          </w:tcPr>
          <w:p w14:paraId="5DEE26FF" w14:textId="77777777" w:rsidR="000417DE" w:rsidRPr="00471007" w:rsidRDefault="000417DE" w:rsidP="003455F1">
            <w:pPr>
              <w:spacing w:before="60" w:after="60"/>
              <w:jc w:val="center"/>
              <w:rPr>
                <w:rFonts w:ascii="Garamond" w:eastAsia="Times New Roman" w:hAnsi="Garamond" w:cs="Times New Roman"/>
                <w:sz w:val="20"/>
                <w:szCs w:val="20"/>
                <w:lang w:eastAsia="es-ES"/>
              </w:rPr>
            </w:pPr>
            <w:proofErr w:type="spellStart"/>
            <w:r w:rsidRPr="00471007">
              <w:rPr>
                <w:rFonts w:ascii="Garamond" w:eastAsia="Times New Roman" w:hAnsi="Garamond" w:cs="Times New Roman"/>
                <w:sz w:val="20"/>
                <w:szCs w:val="20"/>
                <w:lang w:eastAsia="es-ES"/>
              </w:rPr>
              <w:t>Não</w:t>
            </w:r>
            <w:proofErr w:type="spellEnd"/>
          </w:p>
        </w:tc>
        <w:tc>
          <w:tcPr>
            <w:tcW w:w="851" w:type="dxa"/>
            <w:shd w:val="clear" w:color="auto" w:fill="FFFFFF" w:themeFill="background1"/>
            <w:vAlign w:val="center"/>
          </w:tcPr>
          <w:p w14:paraId="145AE54C"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2019</w:t>
            </w:r>
          </w:p>
        </w:tc>
        <w:tc>
          <w:tcPr>
            <w:tcW w:w="1701" w:type="dxa"/>
            <w:shd w:val="clear" w:color="auto" w:fill="FFFFFF" w:themeFill="background1"/>
            <w:vAlign w:val="center"/>
          </w:tcPr>
          <w:p w14:paraId="7E1B5438" w14:textId="77777777" w:rsidR="000417DE" w:rsidRPr="00471007"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sidRPr="00471007">
              <w:rPr>
                <w:rFonts w:ascii="Garamond" w:eastAsia="Times New Roman" w:hAnsi="Garamond" w:cs="Times New Roman"/>
                <w:sz w:val="20"/>
                <w:szCs w:val="20"/>
                <w:lang w:eastAsia="es-ES"/>
              </w:rPr>
              <w:t>ICIEG</w:t>
            </w:r>
            <w:proofErr w:type="spellEnd"/>
          </w:p>
        </w:tc>
      </w:tr>
      <w:tr w:rsidR="000417DE" w:rsidRPr="005808D4" w14:paraId="357F0FBB" w14:textId="77777777" w:rsidTr="00D27497">
        <w:trPr>
          <w:trHeight w:val="615"/>
          <w:jc w:val="center"/>
        </w:trPr>
        <w:tc>
          <w:tcPr>
            <w:tcW w:w="1626" w:type="dxa"/>
            <w:vMerge/>
            <w:shd w:val="clear" w:color="auto" w:fill="FFFFFF" w:themeFill="background1"/>
          </w:tcPr>
          <w:p w14:paraId="7C71666E" w14:textId="77777777" w:rsidR="000417DE" w:rsidRPr="00471007" w:rsidRDefault="000417DE" w:rsidP="003455F1">
            <w:pPr>
              <w:rPr>
                <w:rFonts w:ascii="Garamond" w:hAnsi="Garamond" w:cs="Times New Roman"/>
                <w:sz w:val="20"/>
                <w:szCs w:val="20"/>
              </w:rPr>
            </w:pPr>
          </w:p>
        </w:tc>
        <w:tc>
          <w:tcPr>
            <w:tcW w:w="4820" w:type="dxa"/>
            <w:shd w:val="clear" w:color="auto" w:fill="FFFFFF" w:themeFill="background1"/>
            <w:vAlign w:val="center"/>
          </w:tcPr>
          <w:p w14:paraId="257394F4"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1.6b. Princípio de salário igual por trabalho de igual valor integrado no Código Laboral</w:t>
            </w:r>
          </w:p>
        </w:tc>
        <w:tc>
          <w:tcPr>
            <w:tcW w:w="1417" w:type="dxa"/>
            <w:shd w:val="clear" w:color="auto" w:fill="FFFFFF" w:themeFill="background1"/>
            <w:vAlign w:val="center"/>
          </w:tcPr>
          <w:p w14:paraId="5E262C61" w14:textId="77777777" w:rsidR="000417DE" w:rsidRPr="00471007" w:rsidRDefault="000417DE" w:rsidP="003455F1">
            <w:pPr>
              <w:spacing w:before="60" w:after="60"/>
              <w:jc w:val="center"/>
              <w:rPr>
                <w:rFonts w:ascii="Garamond" w:eastAsia="Times New Roman" w:hAnsi="Garamond" w:cs="Times New Roman"/>
                <w:sz w:val="20"/>
                <w:szCs w:val="20"/>
                <w:lang w:eastAsia="es-ES"/>
              </w:rPr>
            </w:pPr>
            <w:proofErr w:type="spellStart"/>
            <w:r w:rsidRPr="00471007">
              <w:rPr>
                <w:rFonts w:ascii="Garamond" w:eastAsia="Times New Roman" w:hAnsi="Garamond" w:cs="Times New Roman"/>
                <w:sz w:val="20"/>
                <w:szCs w:val="20"/>
                <w:lang w:eastAsia="es-ES"/>
              </w:rPr>
              <w:t>Não</w:t>
            </w:r>
            <w:proofErr w:type="spellEnd"/>
          </w:p>
        </w:tc>
        <w:tc>
          <w:tcPr>
            <w:tcW w:w="851" w:type="dxa"/>
            <w:shd w:val="clear" w:color="auto" w:fill="FFFFFF" w:themeFill="background1"/>
            <w:vAlign w:val="center"/>
          </w:tcPr>
          <w:p w14:paraId="798179F9"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2019</w:t>
            </w:r>
          </w:p>
        </w:tc>
        <w:tc>
          <w:tcPr>
            <w:tcW w:w="1701" w:type="dxa"/>
            <w:shd w:val="clear" w:color="auto" w:fill="FFFFFF" w:themeFill="background1"/>
          </w:tcPr>
          <w:p w14:paraId="77314582"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 xml:space="preserve">Relatório </w:t>
            </w:r>
            <w:proofErr w:type="spellStart"/>
            <w:r w:rsidRPr="00D27497">
              <w:rPr>
                <w:rFonts w:ascii="Garamond" w:eastAsia="Times New Roman" w:hAnsi="Garamond" w:cs="Times New Roman"/>
                <w:sz w:val="20"/>
                <w:szCs w:val="20"/>
                <w:lang w:val="pt-PT" w:eastAsia="es-ES"/>
              </w:rPr>
              <w:t>CEDAW</w:t>
            </w:r>
            <w:proofErr w:type="spellEnd"/>
          </w:p>
          <w:p w14:paraId="38447667"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w:t>
            </w:r>
            <w:proofErr w:type="spellStart"/>
            <w:r w:rsidRPr="00D27497">
              <w:rPr>
                <w:rFonts w:ascii="Garamond" w:eastAsia="Times New Roman" w:hAnsi="Garamond" w:cs="Times New Roman"/>
                <w:sz w:val="20"/>
                <w:szCs w:val="20"/>
                <w:lang w:val="pt-PT" w:eastAsia="es-ES"/>
              </w:rPr>
              <w:t>BO</w:t>
            </w:r>
            <w:proofErr w:type="spellEnd"/>
            <w:r w:rsidRPr="00D27497">
              <w:rPr>
                <w:rFonts w:ascii="Garamond" w:eastAsia="Times New Roman" w:hAnsi="Garamond" w:cs="Times New Roman"/>
                <w:sz w:val="20"/>
                <w:szCs w:val="20"/>
                <w:lang w:val="pt-PT" w:eastAsia="es-ES"/>
              </w:rPr>
              <w:t xml:space="preserve"> c/ alteração)</w:t>
            </w:r>
            <w:r>
              <w:rPr>
                <w:rStyle w:val="Refdenotaderodap"/>
                <w:rFonts w:ascii="Garamond" w:eastAsia="Times New Roman" w:hAnsi="Garamond" w:cs="Times New Roman"/>
                <w:sz w:val="20"/>
                <w:szCs w:val="20"/>
                <w:lang w:eastAsia="es-ES"/>
              </w:rPr>
              <w:footnoteReference w:id="132"/>
            </w:r>
          </w:p>
        </w:tc>
      </w:tr>
      <w:tr w:rsidR="000417DE" w:rsidRPr="005808D4" w14:paraId="1C41A9F8" w14:textId="77777777" w:rsidTr="00D27497">
        <w:trPr>
          <w:trHeight w:val="615"/>
          <w:jc w:val="center"/>
        </w:trPr>
        <w:tc>
          <w:tcPr>
            <w:tcW w:w="1626" w:type="dxa"/>
            <w:vMerge/>
            <w:shd w:val="clear" w:color="auto" w:fill="FFFFFF" w:themeFill="background1"/>
          </w:tcPr>
          <w:p w14:paraId="668B4941" w14:textId="77777777" w:rsidR="000417DE" w:rsidRPr="00D27497" w:rsidRDefault="000417DE" w:rsidP="003455F1">
            <w:pPr>
              <w:rPr>
                <w:rFonts w:ascii="Garamond" w:hAnsi="Garamond" w:cs="Times New Roman"/>
                <w:sz w:val="20"/>
                <w:szCs w:val="20"/>
                <w:lang w:val="pt-PT"/>
              </w:rPr>
            </w:pPr>
          </w:p>
        </w:tc>
        <w:tc>
          <w:tcPr>
            <w:tcW w:w="4820" w:type="dxa"/>
            <w:shd w:val="clear" w:color="auto" w:fill="FFFFFF" w:themeFill="background1"/>
            <w:vAlign w:val="center"/>
          </w:tcPr>
          <w:p w14:paraId="08863808"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1.6c Nº de instituições e empresas que aderem à campanha de prevenção do assédio sexual no local de trabalho</w:t>
            </w:r>
          </w:p>
        </w:tc>
        <w:tc>
          <w:tcPr>
            <w:tcW w:w="1417" w:type="dxa"/>
            <w:shd w:val="clear" w:color="auto" w:fill="FFFFFF" w:themeFill="background1"/>
            <w:vAlign w:val="center"/>
          </w:tcPr>
          <w:p w14:paraId="20203039"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0</w:t>
            </w:r>
          </w:p>
        </w:tc>
        <w:tc>
          <w:tcPr>
            <w:tcW w:w="851" w:type="dxa"/>
            <w:shd w:val="clear" w:color="auto" w:fill="FFFFFF" w:themeFill="background1"/>
            <w:vAlign w:val="center"/>
          </w:tcPr>
          <w:p w14:paraId="0DE6BFB8" w14:textId="77777777" w:rsidR="000417DE" w:rsidRPr="00471007" w:rsidRDefault="000417DE" w:rsidP="003455F1">
            <w:pPr>
              <w:spacing w:before="60" w:after="60"/>
              <w:jc w:val="center"/>
              <w:rPr>
                <w:rFonts w:ascii="Garamond" w:eastAsia="Times New Roman" w:hAnsi="Garamond" w:cs="Times New Roman"/>
                <w:sz w:val="20"/>
                <w:szCs w:val="20"/>
                <w:lang w:eastAsia="es-ES"/>
              </w:rPr>
            </w:pPr>
            <w:r w:rsidRPr="00471007">
              <w:rPr>
                <w:rFonts w:ascii="Garamond" w:eastAsia="Times New Roman" w:hAnsi="Garamond" w:cs="Times New Roman"/>
                <w:sz w:val="20"/>
                <w:szCs w:val="20"/>
                <w:lang w:eastAsia="es-ES"/>
              </w:rPr>
              <w:t>2019</w:t>
            </w:r>
          </w:p>
        </w:tc>
        <w:tc>
          <w:tcPr>
            <w:tcW w:w="1701" w:type="dxa"/>
            <w:vMerge w:val="restart"/>
            <w:shd w:val="clear" w:color="auto" w:fill="FFFFFF" w:themeFill="background1"/>
            <w:vAlign w:val="center"/>
          </w:tcPr>
          <w:p w14:paraId="6855B47B"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 xml:space="preserve">Relatórios </w:t>
            </w:r>
            <w:proofErr w:type="spellStart"/>
            <w:r w:rsidRPr="00D27497">
              <w:rPr>
                <w:rFonts w:ascii="Garamond" w:eastAsia="Times New Roman" w:hAnsi="Garamond" w:cs="Times New Roman"/>
                <w:sz w:val="20"/>
                <w:szCs w:val="20"/>
                <w:lang w:val="pt-PT" w:eastAsia="es-ES"/>
              </w:rPr>
              <w:t>ICIEG</w:t>
            </w:r>
            <w:proofErr w:type="spellEnd"/>
            <w:r w:rsidRPr="00D27497">
              <w:rPr>
                <w:rFonts w:ascii="Garamond" w:eastAsia="Times New Roman" w:hAnsi="Garamond" w:cs="Times New Roman"/>
                <w:sz w:val="20"/>
                <w:szCs w:val="20"/>
                <w:lang w:val="pt-PT" w:eastAsia="es-ES"/>
              </w:rPr>
              <w:t xml:space="preserve"> </w:t>
            </w:r>
          </w:p>
          <w:p w14:paraId="3AF9CD31"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Relatórios de implementação da Campanha</w:t>
            </w:r>
          </w:p>
        </w:tc>
      </w:tr>
      <w:tr w:rsidR="000417DE" w:rsidRPr="00D21977" w14:paraId="4C5B30DF" w14:textId="77777777" w:rsidTr="00D27497">
        <w:trPr>
          <w:trHeight w:val="615"/>
          <w:jc w:val="center"/>
        </w:trPr>
        <w:tc>
          <w:tcPr>
            <w:tcW w:w="1626" w:type="dxa"/>
            <w:vMerge/>
            <w:shd w:val="clear" w:color="auto" w:fill="FFFFFF" w:themeFill="background1"/>
          </w:tcPr>
          <w:p w14:paraId="1E22486B" w14:textId="77777777" w:rsidR="000417DE" w:rsidRPr="00D27497" w:rsidRDefault="000417DE" w:rsidP="003455F1">
            <w:pPr>
              <w:rPr>
                <w:rFonts w:ascii="Garamond" w:hAnsi="Garamond" w:cs="Times New Roman"/>
                <w:sz w:val="20"/>
                <w:szCs w:val="20"/>
                <w:lang w:val="pt-PT"/>
              </w:rPr>
            </w:pPr>
          </w:p>
        </w:tc>
        <w:tc>
          <w:tcPr>
            <w:tcW w:w="4820" w:type="dxa"/>
            <w:shd w:val="clear" w:color="auto" w:fill="FFFFFF" w:themeFill="background1"/>
            <w:vAlign w:val="center"/>
          </w:tcPr>
          <w:p w14:paraId="2440E2A0"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1.6d Nº de chefias e trabalhadores/as sensibilizados/formados no local de trabalho</w:t>
            </w:r>
          </w:p>
        </w:tc>
        <w:tc>
          <w:tcPr>
            <w:tcW w:w="1417" w:type="dxa"/>
            <w:shd w:val="clear" w:color="auto" w:fill="FFFFFF" w:themeFill="background1"/>
            <w:vAlign w:val="center"/>
          </w:tcPr>
          <w:p w14:paraId="6842DEFA"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851" w:type="dxa"/>
            <w:shd w:val="clear" w:color="auto" w:fill="FFFFFF" w:themeFill="background1"/>
            <w:vAlign w:val="center"/>
          </w:tcPr>
          <w:p w14:paraId="68710844" w14:textId="77777777" w:rsidR="000417DE" w:rsidRPr="00D21977"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vMerge/>
            <w:shd w:val="clear" w:color="auto" w:fill="FFFFFF" w:themeFill="background1"/>
            <w:vAlign w:val="center"/>
          </w:tcPr>
          <w:p w14:paraId="535704A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
        </w:tc>
      </w:tr>
    </w:tbl>
    <w:p w14:paraId="700F56A6" w14:textId="77777777" w:rsidR="009F6506" w:rsidRDefault="009F6506" w:rsidP="009F6506">
      <w:pPr>
        <w:rPr>
          <w:rFonts w:ascii="Garamond" w:hAnsi="Garamond"/>
          <w:b/>
          <w:sz w:val="20"/>
          <w:szCs w:val="20"/>
          <w:lang w:val="pt-PT"/>
        </w:rPr>
      </w:pPr>
    </w:p>
    <w:p w14:paraId="6F116162" w14:textId="3FF689C0" w:rsidR="000417DE" w:rsidRDefault="000417DE" w:rsidP="009F6506">
      <w:pPr>
        <w:rPr>
          <w:rFonts w:ascii="Garamond" w:hAnsi="Garamond"/>
          <w:b/>
          <w:sz w:val="20"/>
          <w:szCs w:val="20"/>
          <w:lang w:val="pt-PT"/>
        </w:rPr>
      </w:pPr>
      <w:r w:rsidRPr="00D27497">
        <w:rPr>
          <w:rFonts w:ascii="Garamond" w:hAnsi="Garamond"/>
          <w:b/>
          <w:sz w:val="20"/>
          <w:szCs w:val="20"/>
          <w:lang w:val="pt-PT"/>
        </w:rPr>
        <w:t>Eixo</w:t>
      </w:r>
      <w:r w:rsidR="009F6506">
        <w:rPr>
          <w:rFonts w:ascii="Garamond" w:hAnsi="Garamond"/>
          <w:b/>
          <w:sz w:val="20"/>
          <w:szCs w:val="20"/>
          <w:lang w:val="pt-PT"/>
        </w:rPr>
        <w:t xml:space="preserve"> estratégico</w:t>
      </w:r>
      <w:r w:rsidRPr="00D27497">
        <w:rPr>
          <w:rFonts w:ascii="Garamond" w:hAnsi="Garamond"/>
          <w:b/>
          <w:sz w:val="20"/>
          <w:szCs w:val="20"/>
          <w:lang w:val="pt-PT"/>
        </w:rPr>
        <w:t xml:space="preserve"> 2 - Violência Baseada no Género</w:t>
      </w:r>
    </w:p>
    <w:p w14:paraId="26088FC3" w14:textId="77777777" w:rsidR="00D27497" w:rsidRPr="00D27497" w:rsidRDefault="00D27497" w:rsidP="000417DE">
      <w:pPr>
        <w:rPr>
          <w:lang w:val="pt-PT"/>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2"/>
        <w:gridCol w:w="4394"/>
        <w:gridCol w:w="1134"/>
        <w:gridCol w:w="1134"/>
        <w:gridCol w:w="1701"/>
      </w:tblGrid>
      <w:tr w:rsidR="000417DE" w:rsidRPr="00D21977" w14:paraId="33366D1E" w14:textId="77777777" w:rsidTr="00D27497">
        <w:trPr>
          <w:trHeight w:val="444"/>
          <w:tblHeader/>
          <w:jc w:val="center"/>
        </w:trPr>
        <w:tc>
          <w:tcPr>
            <w:tcW w:w="2052" w:type="dxa"/>
            <w:shd w:val="clear" w:color="auto" w:fill="DEEAF6" w:themeFill="accent5" w:themeFillTint="33"/>
            <w:vAlign w:val="center"/>
          </w:tcPr>
          <w:p w14:paraId="08D1D67B"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394" w:type="dxa"/>
            <w:shd w:val="clear" w:color="auto" w:fill="DEEAF6" w:themeFill="accent5" w:themeFillTint="33"/>
            <w:vAlign w:val="center"/>
          </w:tcPr>
          <w:p w14:paraId="751DD31E"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134" w:type="dxa"/>
            <w:shd w:val="clear" w:color="auto" w:fill="DEEAF6" w:themeFill="accent5" w:themeFillTint="33"/>
            <w:vAlign w:val="center"/>
          </w:tcPr>
          <w:p w14:paraId="14392D12"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1134" w:type="dxa"/>
            <w:shd w:val="clear" w:color="auto" w:fill="DEEAF6" w:themeFill="accent5" w:themeFillTint="33"/>
            <w:vAlign w:val="center"/>
          </w:tcPr>
          <w:p w14:paraId="7082D916"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shd w:val="clear" w:color="auto" w:fill="DEEAF6" w:themeFill="accent5" w:themeFillTint="33"/>
            <w:vAlign w:val="center"/>
          </w:tcPr>
          <w:p w14:paraId="66CF211E"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D21977" w14:paraId="7A4627E4" w14:textId="77777777" w:rsidTr="00D27497">
        <w:trPr>
          <w:trHeight w:val="783"/>
          <w:jc w:val="center"/>
        </w:trPr>
        <w:tc>
          <w:tcPr>
            <w:tcW w:w="2052" w:type="dxa"/>
            <w:vMerge w:val="restart"/>
            <w:shd w:val="clear" w:color="auto" w:fill="FFFFFF" w:themeFill="background1"/>
          </w:tcPr>
          <w:p w14:paraId="4A04DCF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2.1. Melhorada a disponibilidade de dados abrangentes e análises sobre a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e de informação sobre a gestão dos casos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no sistema policial e judicial, bem como o seu uso para aperfeiçoar intervenções e serviços em matéria de </w:t>
            </w:r>
            <w:proofErr w:type="spellStart"/>
            <w:r w:rsidRPr="00D27497">
              <w:rPr>
                <w:rFonts w:ascii="Garamond" w:hAnsi="Garamond"/>
                <w:sz w:val="20"/>
                <w:szCs w:val="20"/>
                <w:lang w:val="pt-PT"/>
              </w:rPr>
              <w:t>VBG</w:t>
            </w:r>
            <w:proofErr w:type="spellEnd"/>
          </w:p>
        </w:tc>
        <w:tc>
          <w:tcPr>
            <w:tcW w:w="4394" w:type="dxa"/>
            <w:shd w:val="clear" w:color="auto" w:fill="FFFFFF" w:themeFill="background1"/>
            <w:vAlign w:val="center"/>
          </w:tcPr>
          <w:p w14:paraId="379E7528"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2.1a Estudo e recomendações sobre vítimas mortais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disponíveis</w:t>
            </w:r>
          </w:p>
        </w:tc>
        <w:tc>
          <w:tcPr>
            <w:tcW w:w="1134" w:type="dxa"/>
            <w:shd w:val="clear" w:color="auto" w:fill="FFFFFF" w:themeFill="background1"/>
            <w:vAlign w:val="center"/>
          </w:tcPr>
          <w:p w14:paraId="55014F8E"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1134" w:type="dxa"/>
            <w:shd w:val="clear" w:color="auto" w:fill="FFFFFF" w:themeFill="background1"/>
            <w:vAlign w:val="center"/>
          </w:tcPr>
          <w:p w14:paraId="2E55D42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2DB7ABC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2BFF0DFD" w14:textId="77777777" w:rsidTr="00D27497">
        <w:trPr>
          <w:trHeight w:val="1005"/>
          <w:jc w:val="center"/>
        </w:trPr>
        <w:tc>
          <w:tcPr>
            <w:tcW w:w="2052" w:type="dxa"/>
            <w:vMerge/>
            <w:shd w:val="clear" w:color="auto" w:fill="FFFFFF" w:themeFill="background1"/>
          </w:tcPr>
          <w:p w14:paraId="707548EA"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5E7B3935"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2.1b Nº de análises das tendências da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disponíveis e divulgadas por ano</w:t>
            </w:r>
          </w:p>
        </w:tc>
        <w:tc>
          <w:tcPr>
            <w:tcW w:w="1134" w:type="dxa"/>
            <w:shd w:val="clear" w:color="auto" w:fill="FFFFFF" w:themeFill="background1"/>
            <w:vAlign w:val="center"/>
          </w:tcPr>
          <w:p w14:paraId="384E9E5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1</w:t>
            </w:r>
          </w:p>
        </w:tc>
        <w:tc>
          <w:tcPr>
            <w:tcW w:w="1134" w:type="dxa"/>
            <w:shd w:val="clear" w:color="auto" w:fill="FFFFFF" w:themeFill="background1"/>
            <w:vAlign w:val="center"/>
          </w:tcPr>
          <w:p w14:paraId="3B1E362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10FF38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Apresentação</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INE</w:t>
            </w:r>
            <w:proofErr w:type="spellEnd"/>
            <w:r>
              <w:rPr>
                <w:rFonts w:ascii="Garamond" w:eastAsia="Times New Roman" w:hAnsi="Garamond" w:cs="Times New Roman"/>
                <w:color w:val="000000"/>
                <w:sz w:val="20"/>
                <w:szCs w:val="20"/>
                <w:lang w:eastAsia="es-ES"/>
              </w:rPr>
              <w:t xml:space="preserve"> dados </w:t>
            </w:r>
            <w:proofErr w:type="spellStart"/>
            <w:r>
              <w:rPr>
                <w:rFonts w:ascii="Garamond" w:eastAsia="Times New Roman" w:hAnsi="Garamond" w:cs="Times New Roman"/>
                <w:color w:val="000000"/>
                <w:sz w:val="20"/>
                <w:szCs w:val="20"/>
                <w:lang w:eastAsia="es-ES"/>
              </w:rPr>
              <w:t>VBG</w:t>
            </w:r>
            <w:proofErr w:type="spellEnd"/>
            <w:r>
              <w:rPr>
                <w:rFonts w:ascii="Garamond" w:eastAsia="Times New Roman" w:hAnsi="Garamond" w:cs="Times New Roman"/>
                <w:color w:val="000000"/>
                <w:sz w:val="20"/>
                <w:szCs w:val="20"/>
                <w:lang w:eastAsia="es-ES"/>
              </w:rPr>
              <w:t xml:space="preserve"> </w:t>
            </w:r>
          </w:p>
        </w:tc>
      </w:tr>
      <w:tr w:rsidR="000417DE" w:rsidRPr="005808D4" w14:paraId="510070DD" w14:textId="77777777" w:rsidTr="00D27497">
        <w:trPr>
          <w:trHeight w:val="615"/>
          <w:jc w:val="center"/>
        </w:trPr>
        <w:tc>
          <w:tcPr>
            <w:tcW w:w="2052" w:type="dxa"/>
            <w:vMerge/>
            <w:shd w:val="clear" w:color="auto" w:fill="FFFFFF" w:themeFill="background1"/>
          </w:tcPr>
          <w:p w14:paraId="72C86B5D"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0DCBC16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2.1c Qualidade da operacionalização das informações relevantes para a igualdade de género no </w:t>
            </w:r>
            <w:proofErr w:type="spellStart"/>
            <w:r w:rsidRPr="00D27497">
              <w:rPr>
                <w:rFonts w:ascii="Garamond" w:hAnsi="Garamond"/>
                <w:sz w:val="20"/>
                <w:szCs w:val="20"/>
                <w:lang w:val="pt-PT"/>
              </w:rPr>
              <w:t>SIJ</w:t>
            </w:r>
            <w:proofErr w:type="spellEnd"/>
            <w:r w:rsidRPr="00D27497">
              <w:rPr>
                <w:rFonts w:ascii="Garamond" w:hAnsi="Garamond"/>
                <w:sz w:val="20"/>
                <w:szCs w:val="20"/>
                <w:lang w:val="pt-PT"/>
              </w:rPr>
              <w:t xml:space="preserve"> e SIGO </w:t>
            </w:r>
          </w:p>
        </w:tc>
        <w:tc>
          <w:tcPr>
            <w:tcW w:w="1134" w:type="dxa"/>
            <w:shd w:val="clear" w:color="auto" w:fill="FFFFFF" w:themeFill="background1"/>
            <w:vAlign w:val="center"/>
          </w:tcPr>
          <w:p w14:paraId="5CC8492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0AAABC0E"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2FD0D9F"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Estudo </w:t>
            </w:r>
            <w:r w:rsidRPr="00D27497">
              <w:rPr>
                <w:rFonts w:ascii="Garamond" w:eastAsia="Times New Roman" w:hAnsi="Garamond" w:cs="Times New Roman"/>
                <w:color w:val="000000"/>
                <w:sz w:val="16"/>
                <w:szCs w:val="16"/>
                <w:lang w:val="pt-PT" w:eastAsia="es-ES"/>
              </w:rPr>
              <w:t xml:space="preserve">(necessidades de informação sobre </w:t>
            </w:r>
            <w:proofErr w:type="spellStart"/>
            <w:r w:rsidRPr="00D27497">
              <w:rPr>
                <w:rFonts w:ascii="Garamond" w:eastAsia="Times New Roman" w:hAnsi="Garamond" w:cs="Times New Roman"/>
                <w:color w:val="000000"/>
                <w:sz w:val="16"/>
                <w:szCs w:val="16"/>
                <w:lang w:val="pt-PT" w:eastAsia="es-ES"/>
              </w:rPr>
              <w:t>VBG</w:t>
            </w:r>
            <w:proofErr w:type="spellEnd"/>
            <w:r w:rsidRPr="00D27497">
              <w:rPr>
                <w:rFonts w:ascii="Garamond" w:eastAsia="Times New Roman" w:hAnsi="Garamond" w:cs="Times New Roman"/>
                <w:color w:val="000000"/>
                <w:sz w:val="16"/>
                <w:szCs w:val="16"/>
                <w:lang w:val="pt-PT" w:eastAsia="es-ES"/>
              </w:rPr>
              <w:t xml:space="preserve"> cobertas)</w:t>
            </w:r>
          </w:p>
        </w:tc>
      </w:tr>
      <w:tr w:rsidR="000417DE" w:rsidRPr="00D21977" w14:paraId="4C570272" w14:textId="77777777" w:rsidTr="00D27497">
        <w:trPr>
          <w:trHeight w:val="615"/>
          <w:jc w:val="center"/>
        </w:trPr>
        <w:tc>
          <w:tcPr>
            <w:tcW w:w="2052" w:type="dxa"/>
            <w:vMerge w:val="restart"/>
            <w:shd w:val="clear" w:color="auto" w:fill="FFFFFF" w:themeFill="background1"/>
          </w:tcPr>
          <w:p w14:paraId="18F6C1E7"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2.2. Reforçada a compreensão da sociedade, em particular dos homens, quanto aos valores, crenças e estereótipos que sustentam e perpetuam a violência nas relações íntimas/ conjugais e demais formas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e aumentada a adesão à sua prevenção e denúncia</w:t>
            </w:r>
          </w:p>
        </w:tc>
        <w:tc>
          <w:tcPr>
            <w:tcW w:w="4394" w:type="dxa"/>
            <w:shd w:val="clear" w:color="auto" w:fill="FFFFFF" w:themeFill="background1"/>
            <w:vAlign w:val="center"/>
          </w:tcPr>
          <w:p w14:paraId="4D7978CF" w14:textId="77777777" w:rsidR="000417DE" w:rsidRPr="00D27497" w:rsidRDefault="000417DE" w:rsidP="003455F1">
            <w:pPr>
              <w:rPr>
                <w:rFonts w:ascii="Garamond" w:hAnsi="Garamond"/>
                <w:bCs/>
                <w:sz w:val="20"/>
                <w:szCs w:val="20"/>
                <w:lang w:val="pt-PT"/>
              </w:rPr>
            </w:pPr>
            <w:r w:rsidRPr="00D27497">
              <w:rPr>
                <w:rFonts w:ascii="Garamond" w:hAnsi="Garamond"/>
                <w:bCs/>
                <w:sz w:val="20"/>
                <w:szCs w:val="20"/>
                <w:lang w:val="pt-PT"/>
              </w:rPr>
              <w:t>2.2a Nº de Municípios com facilitadores formados para dinamizar Grupos de Homens de reflexão sobre questões de masculinidade</w:t>
            </w:r>
          </w:p>
        </w:tc>
        <w:tc>
          <w:tcPr>
            <w:tcW w:w="1134" w:type="dxa"/>
            <w:shd w:val="clear" w:color="auto" w:fill="FFFFFF" w:themeFill="background1"/>
            <w:vAlign w:val="center"/>
          </w:tcPr>
          <w:p w14:paraId="481C786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074349F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B79D7C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6F14C530" w14:textId="77777777" w:rsidTr="00D27497">
        <w:trPr>
          <w:trHeight w:val="615"/>
          <w:jc w:val="center"/>
        </w:trPr>
        <w:tc>
          <w:tcPr>
            <w:tcW w:w="2052" w:type="dxa"/>
            <w:vMerge/>
            <w:shd w:val="clear" w:color="auto" w:fill="FFFFFF" w:themeFill="background1"/>
          </w:tcPr>
          <w:p w14:paraId="4105A881"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111E3595"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2.2b Nº de Grupos de Homens de reflexão sobre questões de masculinidade realizados</w:t>
            </w:r>
          </w:p>
        </w:tc>
        <w:tc>
          <w:tcPr>
            <w:tcW w:w="1134" w:type="dxa"/>
            <w:shd w:val="clear" w:color="auto" w:fill="FFFFFF" w:themeFill="background1"/>
            <w:vAlign w:val="center"/>
          </w:tcPr>
          <w:p w14:paraId="4EFA4B0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731C2FD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B643A14"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5797E171" w14:textId="77777777" w:rsidTr="00D27497">
        <w:trPr>
          <w:trHeight w:val="615"/>
          <w:jc w:val="center"/>
        </w:trPr>
        <w:tc>
          <w:tcPr>
            <w:tcW w:w="2052" w:type="dxa"/>
            <w:vMerge/>
            <w:shd w:val="clear" w:color="auto" w:fill="FFFFFF" w:themeFill="background1"/>
          </w:tcPr>
          <w:p w14:paraId="0ADDBDEC"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77CBC765"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2.2c Nº chefias, responsáveis editoriais, e jornalistas formados em género, masculinidades e </w:t>
            </w:r>
            <w:proofErr w:type="spellStart"/>
            <w:r w:rsidRPr="00D27497">
              <w:rPr>
                <w:rFonts w:ascii="Garamond" w:hAnsi="Garamond"/>
                <w:bCs/>
                <w:sz w:val="20"/>
                <w:szCs w:val="20"/>
                <w:lang w:val="pt-PT"/>
              </w:rPr>
              <w:t>VBG</w:t>
            </w:r>
            <w:proofErr w:type="spellEnd"/>
            <w:r w:rsidRPr="00D27497">
              <w:rPr>
                <w:rFonts w:ascii="Garamond" w:hAnsi="Garamond"/>
                <w:bCs/>
                <w:sz w:val="20"/>
                <w:szCs w:val="20"/>
                <w:lang w:val="pt-PT"/>
              </w:rPr>
              <w:t xml:space="preserve"> na comunicação social</w:t>
            </w:r>
          </w:p>
        </w:tc>
        <w:tc>
          <w:tcPr>
            <w:tcW w:w="1134" w:type="dxa"/>
            <w:shd w:val="clear" w:color="auto" w:fill="FFFFFF" w:themeFill="background1"/>
            <w:vAlign w:val="center"/>
          </w:tcPr>
          <w:p w14:paraId="5FAD6487" w14:textId="77777777" w:rsidR="000417DE" w:rsidRDefault="000417DE" w:rsidP="003455F1">
            <w:pPr>
              <w:spacing w:before="60" w:after="60"/>
              <w:jc w:val="center"/>
              <w:rPr>
                <w:rFonts w:ascii="Garamond" w:eastAsia="Times New Roman" w:hAnsi="Garamond" w:cs="Times New Roman"/>
                <w:sz w:val="20"/>
                <w:szCs w:val="20"/>
                <w:lang w:eastAsia="es-ES"/>
              </w:rPr>
            </w:pPr>
            <w:r w:rsidRPr="00E379F6">
              <w:rPr>
                <w:rFonts w:ascii="Garamond" w:eastAsia="Times New Roman" w:hAnsi="Garamond" w:cs="Times New Roman"/>
                <w:sz w:val="20"/>
                <w:szCs w:val="20"/>
                <w:lang w:eastAsia="es-ES"/>
              </w:rPr>
              <w:t>67</w:t>
            </w:r>
          </w:p>
          <w:p w14:paraId="19F66C2E" w14:textId="77777777" w:rsidR="000417DE" w:rsidRPr="00E379F6" w:rsidRDefault="000417DE" w:rsidP="003455F1">
            <w:pPr>
              <w:spacing w:before="60" w:after="60"/>
              <w:jc w:val="center"/>
              <w:rPr>
                <w:rFonts w:ascii="Garamond" w:eastAsia="Times New Roman" w:hAnsi="Garamond" w:cs="Times New Roman"/>
                <w:sz w:val="20"/>
                <w:szCs w:val="20"/>
                <w:lang w:eastAsia="es-ES"/>
              </w:rPr>
            </w:pPr>
            <w:r>
              <w:rPr>
                <w:rFonts w:ascii="Garamond" w:eastAsia="Times New Roman" w:hAnsi="Garamond" w:cs="Times New Roman"/>
                <w:sz w:val="20"/>
                <w:szCs w:val="20"/>
                <w:lang w:eastAsia="es-ES"/>
              </w:rPr>
              <w:t>(</w:t>
            </w:r>
            <w:proofErr w:type="spellStart"/>
            <w:r>
              <w:rPr>
                <w:rFonts w:ascii="Garamond" w:eastAsia="Times New Roman" w:hAnsi="Garamond" w:cs="Times New Roman"/>
                <w:sz w:val="20"/>
                <w:szCs w:val="20"/>
                <w:lang w:eastAsia="es-ES"/>
              </w:rPr>
              <w:t>jornalistas</w:t>
            </w:r>
            <w:proofErr w:type="spellEnd"/>
            <w:r>
              <w:rPr>
                <w:rFonts w:ascii="Garamond" w:eastAsia="Times New Roman" w:hAnsi="Garamond" w:cs="Times New Roman"/>
                <w:sz w:val="20"/>
                <w:szCs w:val="20"/>
                <w:lang w:eastAsia="es-ES"/>
              </w:rPr>
              <w:t>)</w:t>
            </w:r>
          </w:p>
        </w:tc>
        <w:tc>
          <w:tcPr>
            <w:tcW w:w="1134" w:type="dxa"/>
            <w:shd w:val="clear" w:color="auto" w:fill="FFFFFF" w:themeFill="background1"/>
            <w:vAlign w:val="center"/>
          </w:tcPr>
          <w:p w14:paraId="1DA0F216" w14:textId="77777777" w:rsidR="000417DE" w:rsidRPr="00E379F6" w:rsidRDefault="000417DE" w:rsidP="003455F1">
            <w:pPr>
              <w:spacing w:before="60" w:after="60"/>
              <w:jc w:val="center"/>
              <w:rPr>
                <w:rFonts w:ascii="Garamond" w:eastAsia="Times New Roman" w:hAnsi="Garamond" w:cs="Times New Roman"/>
                <w:sz w:val="20"/>
                <w:szCs w:val="20"/>
                <w:lang w:eastAsia="es-ES"/>
              </w:rPr>
            </w:pPr>
            <w:r w:rsidRPr="00E379F6">
              <w:rPr>
                <w:rFonts w:ascii="Garamond" w:eastAsia="Times New Roman" w:hAnsi="Garamond" w:cs="Times New Roman"/>
                <w:sz w:val="20"/>
                <w:szCs w:val="20"/>
                <w:lang w:eastAsia="es-ES"/>
              </w:rPr>
              <w:t>2014</w:t>
            </w:r>
          </w:p>
        </w:tc>
        <w:tc>
          <w:tcPr>
            <w:tcW w:w="1701" w:type="dxa"/>
            <w:shd w:val="clear" w:color="auto" w:fill="FFFFFF" w:themeFill="background1"/>
            <w:vAlign w:val="center"/>
          </w:tcPr>
          <w:p w14:paraId="4273F382"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sidRPr="00471007">
              <w:rPr>
                <w:rFonts w:ascii="Garamond" w:eastAsia="Times New Roman" w:hAnsi="Garamond" w:cs="Times New Roman"/>
                <w:sz w:val="20"/>
                <w:szCs w:val="20"/>
                <w:lang w:eastAsia="es-ES"/>
              </w:rPr>
              <w:t>Relatório</w:t>
            </w:r>
            <w:proofErr w:type="spellEnd"/>
            <w:r w:rsidRPr="00471007">
              <w:rPr>
                <w:rFonts w:ascii="Garamond" w:eastAsia="Times New Roman" w:hAnsi="Garamond" w:cs="Times New Roman"/>
                <w:sz w:val="20"/>
                <w:szCs w:val="20"/>
                <w:lang w:eastAsia="es-ES"/>
              </w:rPr>
              <w:t xml:space="preserve"> </w:t>
            </w:r>
            <w:proofErr w:type="spellStart"/>
            <w:r w:rsidRPr="00471007">
              <w:rPr>
                <w:rFonts w:ascii="Garamond" w:eastAsia="Times New Roman" w:hAnsi="Garamond" w:cs="Times New Roman"/>
                <w:sz w:val="20"/>
                <w:szCs w:val="20"/>
                <w:lang w:eastAsia="es-ES"/>
              </w:rPr>
              <w:t>CEDAW</w:t>
            </w:r>
            <w:proofErr w:type="spellEnd"/>
          </w:p>
          <w:p w14:paraId="7551A0EF" w14:textId="77777777" w:rsidR="000417DE" w:rsidRPr="00046F8A" w:rsidRDefault="000417DE" w:rsidP="003455F1">
            <w:pPr>
              <w:spacing w:before="60" w:after="60"/>
              <w:jc w:val="center"/>
              <w:rPr>
                <w:rFonts w:ascii="Garamond" w:eastAsia="Times New Roman" w:hAnsi="Garamond" w:cs="Times New Roman"/>
                <w:sz w:val="20"/>
                <w:szCs w:val="20"/>
                <w:lang w:eastAsia="es-ES"/>
              </w:rPr>
            </w:pPr>
            <w:r>
              <w:rPr>
                <w:rFonts w:ascii="Garamond" w:eastAsia="Times New Roman" w:hAnsi="Garamond" w:cs="Times New Roman"/>
                <w:sz w:val="20"/>
                <w:szCs w:val="20"/>
                <w:lang w:eastAsia="es-ES"/>
              </w:rPr>
              <w:t>(</w:t>
            </w: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sz w:val="20"/>
                <w:szCs w:val="20"/>
                <w:lang w:eastAsia="es-ES"/>
              </w:rPr>
              <w:t>ICIEG</w:t>
            </w:r>
            <w:proofErr w:type="spellEnd"/>
            <w:r>
              <w:rPr>
                <w:rFonts w:ascii="Garamond" w:eastAsia="Times New Roman" w:hAnsi="Garamond" w:cs="Times New Roman"/>
                <w:sz w:val="20"/>
                <w:szCs w:val="20"/>
                <w:lang w:eastAsia="es-ES"/>
              </w:rPr>
              <w:t>)</w:t>
            </w:r>
          </w:p>
        </w:tc>
      </w:tr>
      <w:tr w:rsidR="000417DE" w:rsidRPr="00D21977" w14:paraId="484AC4DB" w14:textId="77777777" w:rsidTr="00D27497">
        <w:trPr>
          <w:trHeight w:val="615"/>
          <w:jc w:val="center"/>
        </w:trPr>
        <w:tc>
          <w:tcPr>
            <w:tcW w:w="2052" w:type="dxa"/>
            <w:vMerge/>
            <w:shd w:val="clear" w:color="auto" w:fill="FFFFFF" w:themeFill="background1"/>
          </w:tcPr>
          <w:p w14:paraId="78B08630"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2718CCFC"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2.2d Nº de chefias e funcionários(a)s da AP e CM formados em género, masculinidades e </w:t>
            </w:r>
            <w:proofErr w:type="spellStart"/>
            <w:r w:rsidRPr="00D27497">
              <w:rPr>
                <w:rFonts w:ascii="Garamond" w:hAnsi="Garamond"/>
                <w:bCs/>
                <w:sz w:val="20"/>
                <w:szCs w:val="20"/>
                <w:lang w:val="pt-PT"/>
              </w:rPr>
              <w:t>VBG</w:t>
            </w:r>
            <w:proofErr w:type="spellEnd"/>
            <w:r w:rsidRPr="00D27497">
              <w:rPr>
                <w:rFonts w:ascii="Garamond" w:hAnsi="Garamond"/>
                <w:bCs/>
                <w:sz w:val="20"/>
                <w:szCs w:val="20"/>
                <w:lang w:val="pt-PT"/>
              </w:rPr>
              <w:t>.</w:t>
            </w:r>
          </w:p>
        </w:tc>
        <w:tc>
          <w:tcPr>
            <w:tcW w:w="1134" w:type="dxa"/>
            <w:shd w:val="clear" w:color="auto" w:fill="FFFFFF" w:themeFill="background1"/>
            <w:vAlign w:val="center"/>
          </w:tcPr>
          <w:p w14:paraId="7D7CA89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325CF99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3E08B3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sz w:val="20"/>
                <w:szCs w:val="20"/>
                <w:lang w:eastAsia="es-ES"/>
              </w:rPr>
              <w:t>DNAP</w:t>
            </w:r>
            <w:proofErr w:type="spellEnd"/>
          </w:p>
        </w:tc>
      </w:tr>
      <w:tr w:rsidR="000417DE" w:rsidRPr="00D21977" w14:paraId="32AB7B43" w14:textId="77777777" w:rsidTr="00D27497">
        <w:trPr>
          <w:trHeight w:val="615"/>
          <w:jc w:val="center"/>
        </w:trPr>
        <w:tc>
          <w:tcPr>
            <w:tcW w:w="2052" w:type="dxa"/>
            <w:vMerge/>
            <w:shd w:val="clear" w:color="auto" w:fill="FFFFFF" w:themeFill="background1"/>
          </w:tcPr>
          <w:p w14:paraId="776EDEA5"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73605F04"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2.2e Nº de pessoas (</w:t>
            </w:r>
            <w:proofErr w:type="spellStart"/>
            <w:r w:rsidRPr="00D27497">
              <w:rPr>
                <w:rFonts w:ascii="Garamond" w:hAnsi="Garamond"/>
                <w:bCs/>
                <w:sz w:val="20"/>
                <w:szCs w:val="20"/>
                <w:lang w:val="pt-PT"/>
              </w:rPr>
              <w:t>McD</w:t>
            </w:r>
            <w:proofErr w:type="spellEnd"/>
            <w:r w:rsidRPr="00D27497">
              <w:rPr>
                <w:rFonts w:ascii="Garamond" w:hAnsi="Garamond"/>
                <w:bCs/>
                <w:sz w:val="20"/>
                <w:szCs w:val="20"/>
                <w:lang w:val="pt-PT"/>
              </w:rPr>
              <w:t xml:space="preserve">, </w:t>
            </w:r>
            <w:proofErr w:type="spellStart"/>
            <w:r w:rsidRPr="00D27497">
              <w:rPr>
                <w:rFonts w:ascii="Garamond" w:hAnsi="Garamond"/>
                <w:bCs/>
                <w:sz w:val="20"/>
                <w:szCs w:val="20"/>
                <w:lang w:val="pt-PT"/>
              </w:rPr>
              <w:t>HcD</w:t>
            </w:r>
            <w:proofErr w:type="spellEnd"/>
            <w:r w:rsidRPr="00D27497">
              <w:rPr>
                <w:rFonts w:ascii="Garamond" w:hAnsi="Garamond"/>
                <w:bCs/>
                <w:sz w:val="20"/>
                <w:szCs w:val="20"/>
                <w:lang w:val="pt-PT"/>
              </w:rPr>
              <w:t xml:space="preserve">, </w:t>
            </w:r>
            <w:proofErr w:type="spellStart"/>
            <w:r w:rsidRPr="00D27497">
              <w:rPr>
                <w:rFonts w:ascii="Garamond" w:hAnsi="Garamond"/>
                <w:bCs/>
                <w:sz w:val="20"/>
                <w:szCs w:val="20"/>
                <w:lang w:val="pt-PT"/>
              </w:rPr>
              <w:t>OSC</w:t>
            </w:r>
            <w:proofErr w:type="spellEnd"/>
            <w:r w:rsidRPr="00D27497">
              <w:rPr>
                <w:rFonts w:ascii="Garamond" w:hAnsi="Garamond"/>
                <w:bCs/>
                <w:sz w:val="20"/>
                <w:szCs w:val="20"/>
                <w:lang w:val="pt-PT"/>
              </w:rPr>
              <w:t xml:space="preserve"> de </w:t>
            </w:r>
            <w:proofErr w:type="spellStart"/>
            <w:r w:rsidRPr="00D27497">
              <w:rPr>
                <w:rFonts w:ascii="Garamond" w:hAnsi="Garamond"/>
                <w:bCs/>
                <w:sz w:val="20"/>
                <w:szCs w:val="20"/>
                <w:lang w:val="pt-PT"/>
              </w:rPr>
              <w:t>PcD</w:t>
            </w:r>
            <w:proofErr w:type="spellEnd"/>
            <w:r w:rsidRPr="00D27497">
              <w:rPr>
                <w:rFonts w:ascii="Garamond" w:hAnsi="Garamond"/>
                <w:bCs/>
                <w:sz w:val="20"/>
                <w:szCs w:val="20"/>
                <w:lang w:val="pt-PT"/>
              </w:rPr>
              <w:t xml:space="preserve">, </w:t>
            </w:r>
            <w:r w:rsidRPr="00D27497">
              <w:rPr>
                <w:rFonts w:ascii="Garamond" w:hAnsi="Garamond"/>
                <w:sz w:val="20"/>
                <w:szCs w:val="20"/>
                <w:lang w:val="pt-PT"/>
              </w:rPr>
              <w:t xml:space="preserve">famílias e cuidadores de </w:t>
            </w:r>
            <w:proofErr w:type="spellStart"/>
            <w:r w:rsidRPr="00D27497">
              <w:rPr>
                <w:rFonts w:ascii="Garamond" w:hAnsi="Garamond"/>
                <w:sz w:val="20"/>
                <w:szCs w:val="20"/>
                <w:lang w:val="pt-PT"/>
              </w:rPr>
              <w:t>PcD</w:t>
            </w:r>
            <w:proofErr w:type="spellEnd"/>
            <w:r w:rsidRPr="00D27497">
              <w:rPr>
                <w:rFonts w:ascii="Garamond" w:hAnsi="Garamond"/>
                <w:sz w:val="20"/>
                <w:szCs w:val="20"/>
                <w:lang w:val="pt-PT"/>
              </w:rPr>
              <w:t xml:space="preserve">, sensibilizadas/formadas </w:t>
            </w:r>
            <w:r w:rsidRPr="00D27497">
              <w:rPr>
                <w:rFonts w:ascii="Garamond" w:hAnsi="Garamond"/>
                <w:bCs/>
                <w:sz w:val="20"/>
                <w:szCs w:val="20"/>
                <w:lang w:val="pt-PT"/>
              </w:rPr>
              <w:t>sobre violência contra mulheres e homens com deficiência</w:t>
            </w:r>
          </w:p>
        </w:tc>
        <w:tc>
          <w:tcPr>
            <w:tcW w:w="1134" w:type="dxa"/>
            <w:shd w:val="clear" w:color="auto" w:fill="FFFFFF" w:themeFill="background1"/>
            <w:vAlign w:val="center"/>
          </w:tcPr>
          <w:p w14:paraId="532A1F0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11F626A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2B35312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sz w:val="20"/>
                <w:szCs w:val="20"/>
                <w:lang w:eastAsia="es-ES"/>
              </w:rPr>
              <w:t>ICIEG</w:t>
            </w:r>
            <w:proofErr w:type="spellEnd"/>
          </w:p>
        </w:tc>
      </w:tr>
      <w:tr w:rsidR="000417DE" w:rsidRPr="00D21977" w14:paraId="715621AE" w14:textId="77777777" w:rsidTr="00D27497">
        <w:trPr>
          <w:trHeight w:val="615"/>
          <w:jc w:val="center"/>
        </w:trPr>
        <w:tc>
          <w:tcPr>
            <w:tcW w:w="2052" w:type="dxa"/>
            <w:vMerge/>
            <w:shd w:val="clear" w:color="auto" w:fill="FFFFFF" w:themeFill="background1"/>
          </w:tcPr>
          <w:p w14:paraId="77A487DD"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7DFD10E8"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2.2f Nº de igrejas com líderes e facilitadores formados para o apoio, aconselhamento e referência de vítimas de </w:t>
            </w:r>
            <w:proofErr w:type="spellStart"/>
            <w:r w:rsidRPr="00D27497">
              <w:rPr>
                <w:rFonts w:ascii="Garamond" w:hAnsi="Garamond"/>
                <w:bCs/>
                <w:sz w:val="20"/>
                <w:szCs w:val="20"/>
                <w:lang w:val="pt-PT"/>
              </w:rPr>
              <w:t>VBG</w:t>
            </w:r>
            <w:proofErr w:type="spellEnd"/>
            <w:r w:rsidRPr="00D27497">
              <w:rPr>
                <w:rFonts w:ascii="Garamond" w:hAnsi="Garamond"/>
                <w:bCs/>
                <w:sz w:val="20"/>
                <w:szCs w:val="20"/>
                <w:lang w:val="pt-PT"/>
              </w:rPr>
              <w:t xml:space="preserve"> e autores para programas de acompanhamento e/ou reabilitação</w:t>
            </w:r>
          </w:p>
        </w:tc>
        <w:tc>
          <w:tcPr>
            <w:tcW w:w="1134" w:type="dxa"/>
            <w:shd w:val="clear" w:color="auto" w:fill="FFFFFF" w:themeFill="background1"/>
            <w:vAlign w:val="center"/>
          </w:tcPr>
          <w:p w14:paraId="707E9C9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44499CD4"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7123A5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293222A9" w14:textId="77777777" w:rsidTr="00D27497">
        <w:trPr>
          <w:trHeight w:val="615"/>
          <w:jc w:val="center"/>
        </w:trPr>
        <w:tc>
          <w:tcPr>
            <w:tcW w:w="2052" w:type="dxa"/>
            <w:vMerge w:val="restart"/>
            <w:shd w:val="clear" w:color="auto" w:fill="FFFFFF" w:themeFill="background1"/>
          </w:tcPr>
          <w:p w14:paraId="105701E1"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2.3. Ampliado o acesso das vítimas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a um atendimento qualificado e sensível ao género, bem como a medidas de </w:t>
            </w:r>
            <w:proofErr w:type="spellStart"/>
            <w:r w:rsidRPr="00D27497">
              <w:rPr>
                <w:rFonts w:ascii="Garamond" w:hAnsi="Garamond"/>
                <w:sz w:val="20"/>
                <w:szCs w:val="20"/>
                <w:lang w:val="pt-PT"/>
              </w:rPr>
              <w:t>proteção</w:t>
            </w:r>
            <w:proofErr w:type="spellEnd"/>
            <w:r w:rsidRPr="00D27497">
              <w:rPr>
                <w:rFonts w:ascii="Garamond" w:hAnsi="Garamond"/>
                <w:sz w:val="20"/>
                <w:szCs w:val="20"/>
                <w:lang w:val="pt-PT"/>
              </w:rPr>
              <w:t xml:space="preserve"> em situações emergenciais</w:t>
            </w:r>
          </w:p>
        </w:tc>
        <w:tc>
          <w:tcPr>
            <w:tcW w:w="4394" w:type="dxa"/>
            <w:shd w:val="clear" w:color="auto" w:fill="FFFFFF" w:themeFill="background1"/>
            <w:vAlign w:val="center"/>
          </w:tcPr>
          <w:p w14:paraId="74EFDD57"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2.3a Nº de vítimas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que beneficiam de serviços de apoio dos </w:t>
            </w:r>
            <w:proofErr w:type="spellStart"/>
            <w:r w:rsidRPr="00D27497">
              <w:rPr>
                <w:rFonts w:ascii="Garamond" w:hAnsi="Garamond"/>
                <w:sz w:val="20"/>
                <w:szCs w:val="20"/>
                <w:lang w:val="pt-PT"/>
              </w:rPr>
              <w:t>CAV</w:t>
            </w:r>
            <w:proofErr w:type="spellEnd"/>
            <w:r w:rsidRPr="00D27497">
              <w:rPr>
                <w:rFonts w:ascii="Garamond" w:hAnsi="Garamond"/>
                <w:sz w:val="20"/>
                <w:szCs w:val="20"/>
                <w:lang w:val="pt-PT"/>
              </w:rPr>
              <w:t xml:space="preserve"> e Rede SOL por ano</w:t>
            </w:r>
          </w:p>
        </w:tc>
        <w:tc>
          <w:tcPr>
            <w:tcW w:w="1134" w:type="dxa"/>
            <w:shd w:val="clear" w:color="auto" w:fill="FFFFFF" w:themeFill="background1"/>
            <w:vAlign w:val="center"/>
          </w:tcPr>
          <w:p w14:paraId="310B532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662</w:t>
            </w:r>
          </w:p>
        </w:tc>
        <w:tc>
          <w:tcPr>
            <w:tcW w:w="1134" w:type="dxa"/>
            <w:shd w:val="clear" w:color="auto" w:fill="FFFFFF" w:themeFill="background1"/>
            <w:vAlign w:val="center"/>
          </w:tcPr>
          <w:p w14:paraId="1A83003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2EAC75D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4E40AA20" w14:textId="77777777" w:rsidTr="00D27497">
        <w:trPr>
          <w:trHeight w:val="615"/>
          <w:jc w:val="center"/>
        </w:trPr>
        <w:tc>
          <w:tcPr>
            <w:tcW w:w="2052" w:type="dxa"/>
            <w:vMerge/>
            <w:shd w:val="clear" w:color="auto" w:fill="FFFFFF" w:themeFill="background1"/>
          </w:tcPr>
          <w:p w14:paraId="0368678B" w14:textId="77777777" w:rsidR="000417DE" w:rsidRPr="00356580" w:rsidRDefault="000417DE" w:rsidP="003455F1">
            <w:pPr>
              <w:rPr>
                <w:rFonts w:ascii="Garamond" w:hAnsi="Garamond" w:cs="Times New Roman"/>
                <w:color w:val="00B050"/>
                <w:sz w:val="20"/>
                <w:szCs w:val="20"/>
              </w:rPr>
            </w:pPr>
          </w:p>
        </w:tc>
        <w:tc>
          <w:tcPr>
            <w:tcW w:w="4394" w:type="dxa"/>
            <w:shd w:val="clear" w:color="auto" w:fill="FFFFFF" w:themeFill="background1"/>
            <w:vAlign w:val="center"/>
          </w:tcPr>
          <w:p w14:paraId="5758F12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2.3b Nº de gabinetes em hospitais e </w:t>
            </w:r>
            <w:proofErr w:type="spellStart"/>
            <w:r w:rsidRPr="00D27497">
              <w:rPr>
                <w:rFonts w:ascii="Garamond" w:hAnsi="Garamond"/>
                <w:sz w:val="20"/>
                <w:szCs w:val="20"/>
                <w:lang w:val="pt-PT"/>
              </w:rPr>
              <w:t>GAVs</w:t>
            </w:r>
            <w:proofErr w:type="spellEnd"/>
            <w:r w:rsidRPr="00D27497">
              <w:rPr>
                <w:rFonts w:ascii="Garamond" w:hAnsi="Garamond"/>
                <w:sz w:val="20"/>
                <w:szCs w:val="20"/>
                <w:lang w:val="pt-PT"/>
              </w:rPr>
              <w:t xml:space="preserve"> em esquadras de polícia operacionais e a funcionar com agentes formados(as) por ano</w:t>
            </w:r>
          </w:p>
        </w:tc>
        <w:tc>
          <w:tcPr>
            <w:tcW w:w="1134" w:type="dxa"/>
            <w:shd w:val="clear" w:color="auto" w:fill="FFFFFF" w:themeFill="background1"/>
            <w:vAlign w:val="center"/>
          </w:tcPr>
          <w:p w14:paraId="0A290F3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9</w:t>
            </w:r>
          </w:p>
        </w:tc>
        <w:tc>
          <w:tcPr>
            <w:tcW w:w="1134" w:type="dxa"/>
            <w:shd w:val="clear" w:color="auto" w:fill="FFFFFF" w:themeFill="background1"/>
            <w:vAlign w:val="center"/>
          </w:tcPr>
          <w:p w14:paraId="643A3A0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28CFFD9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PN</w:t>
            </w:r>
            <w:proofErr w:type="spellEnd"/>
          </w:p>
        </w:tc>
      </w:tr>
      <w:tr w:rsidR="000417DE" w:rsidRPr="00D21977" w14:paraId="34C8F5D2" w14:textId="77777777" w:rsidTr="00D27497">
        <w:trPr>
          <w:trHeight w:val="615"/>
          <w:jc w:val="center"/>
        </w:trPr>
        <w:tc>
          <w:tcPr>
            <w:tcW w:w="2052" w:type="dxa"/>
            <w:vMerge/>
            <w:shd w:val="clear" w:color="auto" w:fill="FFFFFF" w:themeFill="background1"/>
          </w:tcPr>
          <w:p w14:paraId="21CB7BC6" w14:textId="77777777" w:rsidR="000417DE" w:rsidRPr="00356580" w:rsidRDefault="000417DE" w:rsidP="003455F1">
            <w:pPr>
              <w:rPr>
                <w:rFonts w:ascii="Garamond" w:hAnsi="Garamond" w:cs="Times New Roman"/>
                <w:color w:val="00B050"/>
                <w:sz w:val="20"/>
                <w:szCs w:val="20"/>
              </w:rPr>
            </w:pPr>
          </w:p>
        </w:tc>
        <w:tc>
          <w:tcPr>
            <w:tcW w:w="4394" w:type="dxa"/>
            <w:shd w:val="clear" w:color="auto" w:fill="FFFFFF" w:themeFill="background1"/>
            <w:vAlign w:val="center"/>
          </w:tcPr>
          <w:p w14:paraId="16580ED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2.3c Nº de vítimas acolhidas em casas de abrigo ou espaços de passagem por ano</w:t>
            </w:r>
          </w:p>
        </w:tc>
        <w:tc>
          <w:tcPr>
            <w:tcW w:w="1134" w:type="dxa"/>
            <w:shd w:val="clear" w:color="auto" w:fill="FFFFFF" w:themeFill="background1"/>
            <w:vAlign w:val="center"/>
          </w:tcPr>
          <w:p w14:paraId="4B3EBCA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40D91FE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4A8A4D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6D64E179" w14:textId="77777777" w:rsidTr="00D27497">
        <w:trPr>
          <w:trHeight w:val="615"/>
          <w:jc w:val="center"/>
        </w:trPr>
        <w:tc>
          <w:tcPr>
            <w:tcW w:w="2052" w:type="dxa"/>
            <w:vMerge/>
            <w:shd w:val="clear" w:color="auto" w:fill="FFFFFF" w:themeFill="background1"/>
          </w:tcPr>
          <w:p w14:paraId="1C8B3CBA" w14:textId="77777777" w:rsidR="000417DE" w:rsidRPr="00356580" w:rsidRDefault="000417DE" w:rsidP="003455F1">
            <w:pPr>
              <w:rPr>
                <w:rFonts w:ascii="Garamond" w:hAnsi="Garamond" w:cs="Times New Roman"/>
                <w:color w:val="00B050"/>
                <w:sz w:val="20"/>
                <w:szCs w:val="20"/>
              </w:rPr>
            </w:pPr>
          </w:p>
        </w:tc>
        <w:tc>
          <w:tcPr>
            <w:tcW w:w="4394" w:type="dxa"/>
            <w:shd w:val="clear" w:color="auto" w:fill="FFFFFF" w:themeFill="background1"/>
            <w:vAlign w:val="center"/>
          </w:tcPr>
          <w:p w14:paraId="24A57155"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2.3d Nº de mulheres que beneficiam de apoio jurídico, por motivo, no âmbito dos protocolos entre MJ e CM</w:t>
            </w:r>
          </w:p>
        </w:tc>
        <w:tc>
          <w:tcPr>
            <w:tcW w:w="1134" w:type="dxa"/>
            <w:shd w:val="clear" w:color="auto" w:fill="FFFFFF" w:themeFill="background1"/>
            <w:vAlign w:val="center"/>
          </w:tcPr>
          <w:p w14:paraId="79F9817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73E8F69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4B49E86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r>
              <w:rPr>
                <w:rFonts w:ascii="Garamond" w:eastAsia="Times New Roman" w:hAnsi="Garamond" w:cs="Times New Roman"/>
                <w:color w:val="000000"/>
                <w:sz w:val="20"/>
                <w:szCs w:val="20"/>
                <w:lang w:eastAsia="es-ES"/>
              </w:rPr>
              <w:t>MJ</w:t>
            </w:r>
          </w:p>
        </w:tc>
      </w:tr>
      <w:tr w:rsidR="000417DE" w:rsidRPr="00D21977" w14:paraId="281AED3A" w14:textId="77777777" w:rsidTr="00D27497">
        <w:trPr>
          <w:trHeight w:val="803"/>
          <w:jc w:val="center"/>
        </w:trPr>
        <w:tc>
          <w:tcPr>
            <w:tcW w:w="2052" w:type="dxa"/>
            <w:vMerge w:val="restart"/>
            <w:shd w:val="clear" w:color="auto" w:fill="FFFFFF" w:themeFill="background1"/>
          </w:tcPr>
          <w:p w14:paraId="522AD20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2.4. Ampliado o acesso das vítimas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a uma justiça célere e sensível ao género e a assistência judiciária</w:t>
            </w:r>
          </w:p>
        </w:tc>
        <w:tc>
          <w:tcPr>
            <w:tcW w:w="4394" w:type="dxa"/>
            <w:shd w:val="clear" w:color="auto" w:fill="FFFFFF" w:themeFill="background1"/>
            <w:vAlign w:val="center"/>
          </w:tcPr>
          <w:p w14:paraId="4FC8F033"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2.4a Nº de processos por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(i) pendentes e (ii) arquivados (por motivo) nas Procuradorias (por ano judicial)</w:t>
            </w:r>
          </w:p>
        </w:tc>
        <w:tc>
          <w:tcPr>
            <w:tcW w:w="1134" w:type="dxa"/>
            <w:shd w:val="clear" w:color="auto" w:fill="FFFFFF" w:themeFill="background1"/>
            <w:vAlign w:val="center"/>
          </w:tcPr>
          <w:p w14:paraId="6AB3A632" w14:textId="77777777" w:rsidR="000417DE" w:rsidRDefault="000417DE" w:rsidP="003455F1">
            <w:pPr>
              <w:spacing w:before="60" w:after="60"/>
              <w:jc w:val="center"/>
              <w:rPr>
                <w:rFonts w:ascii="Garamond" w:eastAsia="Times New Roman" w:hAnsi="Garamond" w:cs="Times New Roman"/>
                <w:color w:val="000000"/>
                <w:sz w:val="16"/>
                <w:szCs w:val="16"/>
                <w:lang w:eastAsia="es-ES"/>
              </w:rPr>
            </w:pPr>
            <w:r w:rsidRPr="00D74900">
              <w:rPr>
                <w:rFonts w:ascii="Garamond" w:eastAsia="Times New Roman" w:hAnsi="Garamond" w:cs="Times New Roman"/>
                <w:color w:val="000000"/>
                <w:sz w:val="16"/>
                <w:szCs w:val="16"/>
                <w:lang w:eastAsia="es-ES"/>
              </w:rPr>
              <w:t>(</w:t>
            </w:r>
            <w:proofErr w:type="spellStart"/>
            <w:r w:rsidRPr="00D74900">
              <w:rPr>
                <w:rFonts w:ascii="Garamond" w:eastAsia="Times New Roman" w:hAnsi="Garamond" w:cs="Times New Roman"/>
                <w:color w:val="000000"/>
                <w:sz w:val="16"/>
                <w:szCs w:val="16"/>
                <w:lang w:eastAsia="es-ES"/>
              </w:rPr>
              <w:t>i</w:t>
            </w:r>
            <w:proofErr w:type="spellEnd"/>
            <w:r w:rsidRPr="00D74900">
              <w:rPr>
                <w:rFonts w:ascii="Garamond" w:eastAsia="Times New Roman" w:hAnsi="Garamond" w:cs="Times New Roman"/>
                <w:color w:val="000000"/>
                <w:sz w:val="16"/>
                <w:szCs w:val="16"/>
                <w:lang w:eastAsia="es-ES"/>
              </w:rPr>
              <w:t xml:space="preserve">) </w:t>
            </w:r>
            <w:r>
              <w:rPr>
                <w:rFonts w:ascii="Garamond" w:eastAsia="Times New Roman" w:hAnsi="Garamond" w:cs="Times New Roman"/>
                <w:color w:val="000000"/>
                <w:sz w:val="16"/>
                <w:szCs w:val="16"/>
                <w:lang w:eastAsia="es-ES"/>
              </w:rPr>
              <w:t>7.121</w:t>
            </w:r>
          </w:p>
          <w:p w14:paraId="08FBCBEC" w14:textId="77777777" w:rsidR="000417DE" w:rsidRPr="00D74900" w:rsidRDefault="000417DE" w:rsidP="003455F1">
            <w:pPr>
              <w:spacing w:before="60" w:after="60"/>
              <w:jc w:val="center"/>
              <w:rPr>
                <w:rFonts w:ascii="Garamond" w:eastAsia="Times New Roman" w:hAnsi="Garamond" w:cs="Times New Roman"/>
                <w:color w:val="000000"/>
                <w:sz w:val="16"/>
                <w:szCs w:val="16"/>
                <w:lang w:eastAsia="es-ES"/>
              </w:rPr>
            </w:pPr>
            <w:r>
              <w:rPr>
                <w:rFonts w:ascii="Garamond" w:eastAsia="Times New Roman" w:hAnsi="Garamond" w:cs="Times New Roman"/>
                <w:color w:val="000000"/>
                <w:sz w:val="16"/>
                <w:szCs w:val="16"/>
                <w:lang w:eastAsia="es-ES"/>
              </w:rPr>
              <w:t xml:space="preserve">(ii) </w:t>
            </w:r>
            <w:r w:rsidRPr="00D74900">
              <w:rPr>
                <w:rFonts w:ascii="Garamond" w:hAnsi="Garamond"/>
                <w:sz w:val="16"/>
                <w:szCs w:val="16"/>
              </w:rPr>
              <w:t>3.383 (</w:t>
            </w:r>
            <w:proofErr w:type="spellStart"/>
            <w:r w:rsidRPr="00D74900">
              <w:rPr>
                <w:rFonts w:ascii="Garamond" w:hAnsi="Garamond"/>
                <w:sz w:val="16"/>
                <w:szCs w:val="16"/>
              </w:rPr>
              <w:t>motivo</w:t>
            </w:r>
            <w:proofErr w:type="spellEnd"/>
            <w:r w:rsidRPr="00D74900">
              <w:rPr>
                <w:rFonts w:ascii="Garamond" w:hAnsi="Garamond"/>
                <w:sz w:val="16"/>
                <w:szCs w:val="16"/>
              </w:rPr>
              <w:t xml:space="preserve"> ND)</w:t>
            </w:r>
          </w:p>
        </w:tc>
        <w:tc>
          <w:tcPr>
            <w:tcW w:w="1134" w:type="dxa"/>
            <w:shd w:val="clear" w:color="auto" w:fill="FFFFFF" w:themeFill="background1"/>
            <w:vAlign w:val="center"/>
          </w:tcPr>
          <w:p w14:paraId="3ECAC499" w14:textId="77777777" w:rsidR="000417DE" w:rsidRDefault="000417DE" w:rsidP="003455F1">
            <w:pPr>
              <w:jc w:val="center"/>
              <w:rPr>
                <w:rFonts w:ascii="Garamond" w:hAnsi="Garamond" w:cs="Times New Roman"/>
                <w:bCs/>
                <w:sz w:val="16"/>
                <w:szCs w:val="16"/>
              </w:rPr>
            </w:pPr>
            <w:r w:rsidRPr="00F82E28">
              <w:rPr>
                <w:rFonts w:ascii="Garamond" w:hAnsi="Garamond" w:cs="Times New Roman"/>
                <w:bCs/>
                <w:sz w:val="16"/>
                <w:szCs w:val="16"/>
              </w:rPr>
              <w:t>2017/2018</w:t>
            </w:r>
            <w:r>
              <w:rPr>
                <w:rFonts w:ascii="Garamond" w:hAnsi="Garamond" w:cs="Times New Roman"/>
                <w:bCs/>
                <w:sz w:val="16"/>
                <w:szCs w:val="16"/>
              </w:rPr>
              <w:t xml:space="preserve"> </w:t>
            </w:r>
          </w:p>
          <w:p w14:paraId="03E4ED57" w14:textId="77777777" w:rsidR="000417DE" w:rsidRDefault="000417DE" w:rsidP="003455F1">
            <w:pPr>
              <w:jc w:val="center"/>
              <w:rPr>
                <w:rFonts w:ascii="Garamond" w:eastAsia="Times New Roman" w:hAnsi="Garamond" w:cs="Times New Roman"/>
                <w:color w:val="000000"/>
                <w:sz w:val="20"/>
                <w:szCs w:val="20"/>
                <w:lang w:eastAsia="es-ES"/>
              </w:rPr>
            </w:pPr>
            <w:proofErr w:type="spellStart"/>
            <w:r w:rsidRPr="00F82E28">
              <w:rPr>
                <w:rFonts w:ascii="Garamond" w:hAnsi="Garamond" w:cs="Times New Roman"/>
                <w:bCs/>
                <w:sz w:val="16"/>
                <w:szCs w:val="16"/>
              </w:rPr>
              <w:t>Ano</w:t>
            </w:r>
            <w:proofErr w:type="spellEnd"/>
            <w:r w:rsidRPr="00F82E28">
              <w:rPr>
                <w:rFonts w:ascii="Garamond" w:hAnsi="Garamond" w:cs="Times New Roman"/>
                <w:bCs/>
                <w:sz w:val="16"/>
                <w:szCs w:val="16"/>
              </w:rPr>
              <w:t xml:space="preserve"> Judicial</w:t>
            </w:r>
          </w:p>
        </w:tc>
        <w:tc>
          <w:tcPr>
            <w:tcW w:w="1701" w:type="dxa"/>
            <w:shd w:val="clear" w:color="auto" w:fill="FFFFFF" w:themeFill="background1"/>
            <w:vAlign w:val="center"/>
          </w:tcPr>
          <w:p w14:paraId="0071C83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sidRPr="00F82E28">
              <w:rPr>
                <w:rFonts w:ascii="Garamond" w:hAnsi="Garamond"/>
                <w:bCs/>
                <w:sz w:val="20"/>
                <w:szCs w:val="20"/>
              </w:rPr>
              <w:t>CSMP</w:t>
            </w:r>
            <w:proofErr w:type="spellEnd"/>
            <w:r w:rsidRPr="00F82E28">
              <w:rPr>
                <w:rFonts w:ascii="Garamond" w:hAnsi="Garamond"/>
                <w:bCs/>
                <w:sz w:val="20"/>
                <w:szCs w:val="20"/>
              </w:rPr>
              <w:t xml:space="preserve"> </w:t>
            </w:r>
          </w:p>
        </w:tc>
      </w:tr>
      <w:tr w:rsidR="000417DE" w:rsidRPr="00D21977" w14:paraId="6FD12F8C" w14:textId="77777777" w:rsidTr="00D27497">
        <w:trPr>
          <w:trHeight w:val="615"/>
          <w:jc w:val="center"/>
        </w:trPr>
        <w:tc>
          <w:tcPr>
            <w:tcW w:w="2052" w:type="dxa"/>
            <w:vMerge/>
            <w:shd w:val="clear" w:color="auto" w:fill="FFFFFF" w:themeFill="background1"/>
          </w:tcPr>
          <w:p w14:paraId="2C0B9E98" w14:textId="77777777" w:rsidR="000417DE" w:rsidRPr="0047711C" w:rsidRDefault="000417DE" w:rsidP="003455F1">
            <w:pPr>
              <w:rPr>
                <w:rFonts w:ascii="Garamond" w:hAnsi="Garamond"/>
                <w:sz w:val="20"/>
                <w:szCs w:val="20"/>
              </w:rPr>
            </w:pPr>
          </w:p>
        </w:tc>
        <w:tc>
          <w:tcPr>
            <w:tcW w:w="4394" w:type="dxa"/>
            <w:shd w:val="clear" w:color="auto" w:fill="FFFFFF" w:themeFill="background1"/>
            <w:vAlign w:val="center"/>
          </w:tcPr>
          <w:p w14:paraId="54CFE800"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2.4b Nº de mulheres e homens que beneficiam de patrocínio judiciário, por motivo e comarca</w:t>
            </w:r>
          </w:p>
        </w:tc>
        <w:tc>
          <w:tcPr>
            <w:tcW w:w="1134" w:type="dxa"/>
            <w:shd w:val="clear" w:color="auto" w:fill="FFFFFF" w:themeFill="background1"/>
            <w:vAlign w:val="center"/>
          </w:tcPr>
          <w:p w14:paraId="470421B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048EB6F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20CCAE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r>
              <w:rPr>
                <w:rFonts w:ascii="Garamond" w:eastAsia="Times New Roman" w:hAnsi="Garamond" w:cs="Times New Roman"/>
                <w:color w:val="000000"/>
                <w:sz w:val="20"/>
                <w:szCs w:val="20"/>
                <w:lang w:eastAsia="es-ES"/>
              </w:rPr>
              <w:t>MJ /</w:t>
            </w:r>
            <w:proofErr w:type="spellStart"/>
            <w:r>
              <w:rPr>
                <w:rFonts w:ascii="Garamond" w:eastAsia="Times New Roman" w:hAnsi="Garamond" w:cs="Times New Roman"/>
                <w:color w:val="000000"/>
                <w:sz w:val="20"/>
                <w:szCs w:val="20"/>
                <w:lang w:eastAsia="es-ES"/>
              </w:rPr>
              <w:t>AOCV</w:t>
            </w:r>
            <w:proofErr w:type="spellEnd"/>
          </w:p>
        </w:tc>
      </w:tr>
      <w:tr w:rsidR="000417DE" w:rsidRPr="005808D4" w14:paraId="713A1079" w14:textId="77777777" w:rsidTr="00D27497">
        <w:trPr>
          <w:trHeight w:val="615"/>
          <w:jc w:val="center"/>
        </w:trPr>
        <w:tc>
          <w:tcPr>
            <w:tcW w:w="2052" w:type="dxa"/>
            <w:vMerge w:val="restart"/>
            <w:shd w:val="clear" w:color="auto" w:fill="FFFFFF" w:themeFill="background1"/>
          </w:tcPr>
          <w:p w14:paraId="471A051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2.5. Prevenida a reincidência da </w:t>
            </w:r>
            <w:proofErr w:type="spellStart"/>
            <w:r w:rsidRPr="00D27497">
              <w:rPr>
                <w:rFonts w:ascii="Garamond" w:hAnsi="Garamond"/>
                <w:sz w:val="20"/>
                <w:szCs w:val="20"/>
                <w:lang w:val="pt-PT"/>
              </w:rPr>
              <w:t>VBG</w:t>
            </w:r>
            <w:proofErr w:type="spellEnd"/>
          </w:p>
        </w:tc>
        <w:tc>
          <w:tcPr>
            <w:tcW w:w="4394" w:type="dxa"/>
            <w:shd w:val="clear" w:color="auto" w:fill="FFFFFF" w:themeFill="background1"/>
            <w:vAlign w:val="center"/>
          </w:tcPr>
          <w:p w14:paraId="4C415D14"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2.5a Nº de autores de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que completam o Programa de Reabilitação (cumulativo)</w:t>
            </w:r>
          </w:p>
        </w:tc>
        <w:tc>
          <w:tcPr>
            <w:tcW w:w="1134" w:type="dxa"/>
            <w:shd w:val="clear" w:color="auto" w:fill="FFFFFF" w:themeFill="background1"/>
            <w:vAlign w:val="center"/>
          </w:tcPr>
          <w:p w14:paraId="029CA46E" w14:textId="77777777" w:rsidR="000417DE" w:rsidRPr="00CB365C" w:rsidRDefault="000417DE" w:rsidP="003455F1">
            <w:pPr>
              <w:spacing w:before="60" w:after="60"/>
              <w:jc w:val="center"/>
              <w:rPr>
                <w:rFonts w:ascii="Garamond" w:eastAsia="Times New Roman" w:hAnsi="Garamond" w:cs="Times New Roman"/>
                <w:color w:val="00B050"/>
                <w:sz w:val="20"/>
                <w:szCs w:val="20"/>
                <w:lang w:eastAsia="es-ES"/>
              </w:rPr>
            </w:pPr>
            <w:r>
              <w:rPr>
                <w:rFonts w:ascii="Garamond" w:eastAsia="Times New Roman" w:hAnsi="Garamond" w:cs="Times New Roman"/>
                <w:sz w:val="20"/>
                <w:szCs w:val="20"/>
                <w:lang w:eastAsia="es-ES"/>
              </w:rPr>
              <w:t>336</w:t>
            </w:r>
          </w:p>
        </w:tc>
        <w:tc>
          <w:tcPr>
            <w:tcW w:w="1134" w:type="dxa"/>
            <w:shd w:val="clear" w:color="auto" w:fill="FFFFFF" w:themeFill="background1"/>
            <w:vAlign w:val="center"/>
          </w:tcPr>
          <w:p w14:paraId="4E5CD379" w14:textId="77777777" w:rsidR="000417DE" w:rsidRPr="00CB365C" w:rsidRDefault="000417DE" w:rsidP="003455F1">
            <w:pPr>
              <w:spacing w:before="60" w:after="60"/>
              <w:jc w:val="center"/>
              <w:rPr>
                <w:rFonts w:ascii="Garamond" w:eastAsia="Times New Roman" w:hAnsi="Garamond" w:cs="Times New Roman"/>
                <w:color w:val="00B050"/>
                <w:sz w:val="20"/>
                <w:szCs w:val="20"/>
                <w:lang w:eastAsia="es-ES"/>
              </w:rPr>
            </w:pPr>
            <w:r>
              <w:rPr>
                <w:rFonts w:ascii="Garamond" w:eastAsia="Times New Roman" w:hAnsi="Garamond" w:cs="Times New Roman"/>
                <w:sz w:val="20"/>
                <w:szCs w:val="20"/>
                <w:lang w:eastAsia="es-ES"/>
              </w:rPr>
              <w:t xml:space="preserve">2017 a </w:t>
            </w:r>
            <w:proofErr w:type="spellStart"/>
            <w:r>
              <w:rPr>
                <w:rFonts w:ascii="Garamond" w:eastAsia="Times New Roman" w:hAnsi="Garamond" w:cs="Times New Roman"/>
                <w:sz w:val="20"/>
                <w:szCs w:val="20"/>
                <w:lang w:eastAsia="es-ES"/>
              </w:rPr>
              <w:t>fev</w:t>
            </w:r>
            <w:proofErr w:type="spellEnd"/>
            <w:r>
              <w:rPr>
                <w:rFonts w:ascii="Garamond" w:eastAsia="Times New Roman" w:hAnsi="Garamond" w:cs="Times New Roman"/>
                <w:sz w:val="20"/>
                <w:szCs w:val="20"/>
                <w:lang w:eastAsia="es-ES"/>
              </w:rPr>
              <w:t xml:space="preserve"> 2018</w:t>
            </w:r>
          </w:p>
        </w:tc>
        <w:tc>
          <w:tcPr>
            <w:tcW w:w="1701" w:type="dxa"/>
            <w:shd w:val="clear" w:color="auto" w:fill="FFFFFF" w:themeFill="background1"/>
            <w:vAlign w:val="center"/>
          </w:tcPr>
          <w:p w14:paraId="5A2995AF" w14:textId="77777777" w:rsidR="000417DE" w:rsidRPr="00D27497" w:rsidRDefault="000417DE" w:rsidP="003455F1">
            <w:pPr>
              <w:spacing w:before="60" w:after="60"/>
              <w:jc w:val="center"/>
              <w:rPr>
                <w:rFonts w:ascii="Garamond" w:eastAsia="Times New Roman" w:hAnsi="Garamond" w:cs="Times New Roman"/>
                <w:i/>
                <w:iCs/>
                <w:sz w:val="20"/>
                <w:szCs w:val="20"/>
                <w:lang w:val="pt-PT" w:eastAsia="es-ES"/>
              </w:rPr>
            </w:pPr>
            <w:r w:rsidRPr="00D27497">
              <w:rPr>
                <w:rFonts w:ascii="Garamond" w:eastAsia="Times New Roman" w:hAnsi="Garamond" w:cs="Times New Roman"/>
                <w:i/>
                <w:iCs/>
                <w:sz w:val="20"/>
                <w:szCs w:val="20"/>
                <w:lang w:val="pt-PT" w:eastAsia="es-ES"/>
              </w:rPr>
              <w:t>Relatório de Avaliação do Programa</w:t>
            </w:r>
          </w:p>
          <w:p w14:paraId="08604B6C"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proofErr w:type="spellStart"/>
            <w:r w:rsidRPr="00D27497">
              <w:rPr>
                <w:rFonts w:ascii="Garamond" w:eastAsia="Times New Roman" w:hAnsi="Garamond" w:cs="Times New Roman"/>
                <w:sz w:val="20"/>
                <w:szCs w:val="20"/>
                <w:lang w:val="pt-PT" w:eastAsia="es-ES"/>
              </w:rPr>
              <w:t>DGSPR</w:t>
            </w:r>
            <w:proofErr w:type="spellEnd"/>
          </w:p>
        </w:tc>
      </w:tr>
      <w:tr w:rsidR="000417DE" w:rsidRPr="005808D4" w14:paraId="6CCD8F7E" w14:textId="77777777" w:rsidTr="00D27497">
        <w:trPr>
          <w:trHeight w:val="615"/>
          <w:jc w:val="center"/>
        </w:trPr>
        <w:tc>
          <w:tcPr>
            <w:tcW w:w="2052" w:type="dxa"/>
            <w:vMerge/>
            <w:shd w:val="clear" w:color="auto" w:fill="FFFFFF" w:themeFill="background1"/>
          </w:tcPr>
          <w:p w14:paraId="5B96F288" w14:textId="77777777" w:rsidR="000417DE" w:rsidRPr="00D27497" w:rsidRDefault="000417DE" w:rsidP="003455F1">
            <w:pPr>
              <w:rPr>
                <w:rFonts w:ascii="Garamond" w:hAnsi="Garamond" w:cs="Times New Roman"/>
                <w:sz w:val="20"/>
                <w:szCs w:val="20"/>
                <w:lang w:val="pt-PT"/>
              </w:rPr>
            </w:pPr>
          </w:p>
        </w:tc>
        <w:tc>
          <w:tcPr>
            <w:tcW w:w="4394" w:type="dxa"/>
            <w:shd w:val="clear" w:color="auto" w:fill="FFFFFF" w:themeFill="background1"/>
            <w:vAlign w:val="center"/>
          </w:tcPr>
          <w:p w14:paraId="48E33FE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2.5b Taxa de reincidência da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entre os homens que completam o Programa de Reabilitação</w:t>
            </w:r>
          </w:p>
        </w:tc>
        <w:tc>
          <w:tcPr>
            <w:tcW w:w="1134" w:type="dxa"/>
            <w:shd w:val="clear" w:color="auto" w:fill="FFFFFF" w:themeFill="background1"/>
            <w:vAlign w:val="center"/>
          </w:tcPr>
          <w:p w14:paraId="51180585" w14:textId="77777777" w:rsidR="000417DE" w:rsidRPr="00CB365C" w:rsidRDefault="000417DE" w:rsidP="003455F1">
            <w:pPr>
              <w:spacing w:before="60" w:after="60"/>
              <w:jc w:val="center"/>
              <w:rPr>
                <w:rFonts w:ascii="Garamond" w:eastAsia="Times New Roman" w:hAnsi="Garamond" w:cs="Times New Roman"/>
                <w:color w:val="00B05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21988F6B" w14:textId="77777777" w:rsidR="000417DE" w:rsidRPr="00CB365C" w:rsidRDefault="000417DE" w:rsidP="003455F1">
            <w:pPr>
              <w:spacing w:before="60" w:after="60"/>
              <w:jc w:val="center"/>
              <w:rPr>
                <w:rFonts w:ascii="Garamond" w:eastAsia="Times New Roman" w:hAnsi="Garamond" w:cs="Times New Roman"/>
                <w:color w:val="00B050"/>
                <w:sz w:val="20"/>
                <w:szCs w:val="20"/>
                <w:lang w:eastAsia="es-ES"/>
              </w:rPr>
            </w:pPr>
            <w:r w:rsidRPr="005A0D01">
              <w:rPr>
                <w:rFonts w:ascii="Garamond" w:eastAsia="Times New Roman" w:hAnsi="Garamond" w:cs="Times New Roman"/>
                <w:sz w:val="20"/>
                <w:szCs w:val="20"/>
                <w:lang w:eastAsia="es-ES"/>
              </w:rPr>
              <w:t>2019</w:t>
            </w:r>
          </w:p>
        </w:tc>
        <w:tc>
          <w:tcPr>
            <w:tcW w:w="1701" w:type="dxa"/>
            <w:shd w:val="clear" w:color="auto" w:fill="FFFFFF" w:themeFill="background1"/>
            <w:vAlign w:val="center"/>
          </w:tcPr>
          <w:p w14:paraId="74C2B603" w14:textId="77777777" w:rsidR="000417DE" w:rsidRPr="00D27497" w:rsidRDefault="000417DE" w:rsidP="003455F1">
            <w:pPr>
              <w:spacing w:before="60" w:after="60"/>
              <w:jc w:val="center"/>
              <w:rPr>
                <w:rFonts w:ascii="Garamond" w:eastAsia="Times New Roman" w:hAnsi="Garamond" w:cs="Times New Roman"/>
                <w:color w:val="00B050"/>
                <w:sz w:val="20"/>
                <w:szCs w:val="20"/>
                <w:lang w:val="pt-PT" w:eastAsia="es-ES"/>
              </w:rPr>
            </w:pPr>
            <w:r w:rsidRPr="00D27497">
              <w:rPr>
                <w:rFonts w:ascii="Garamond" w:eastAsia="Times New Roman" w:hAnsi="Garamond" w:cs="Times New Roman"/>
                <w:sz w:val="20"/>
                <w:szCs w:val="20"/>
                <w:lang w:val="pt-PT" w:eastAsia="es-ES"/>
              </w:rPr>
              <w:t xml:space="preserve">Relatório </w:t>
            </w:r>
            <w:proofErr w:type="spellStart"/>
            <w:r w:rsidRPr="00D27497">
              <w:rPr>
                <w:rFonts w:ascii="Garamond" w:eastAsia="Times New Roman" w:hAnsi="Garamond" w:cs="Times New Roman"/>
                <w:sz w:val="20"/>
                <w:szCs w:val="20"/>
                <w:lang w:val="pt-PT" w:eastAsia="es-ES"/>
              </w:rPr>
              <w:t>SIJ</w:t>
            </w:r>
            <w:proofErr w:type="spellEnd"/>
            <w:r w:rsidRPr="00D27497">
              <w:rPr>
                <w:rFonts w:ascii="Garamond" w:eastAsia="Times New Roman" w:hAnsi="Garamond" w:cs="Times New Roman"/>
                <w:sz w:val="20"/>
                <w:szCs w:val="20"/>
                <w:lang w:val="pt-PT" w:eastAsia="es-ES"/>
              </w:rPr>
              <w:t xml:space="preserve"> ou </w:t>
            </w:r>
            <w:proofErr w:type="spellStart"/>
            <w:r w:rsidRPr="00D27497">
              <w:rPr>
                <w:rFonts w:ascii="Garamond" w:eastAsia="Times New Roman" w:hAnsi="Garamond" w:cs="Times New Roman"/>
                <w:sz w:val="20"/>
                <w:szCs w:val="20"/>
                <w:lang w:val="pt-PT" w:eastAsia="es-ES"/>
              </w:rPr>
              <w:t>DGSPR</w:t>
            </w:r>
            <w:proofErr w:type="spellEnd"/>
            <w:r w:rsidRPr="00D27497">
              <w:rPr>
                <w:rFonts w:ascii="Garamond" w:eastAsia="Times New Roman" w:hAnsi="Garamond" w:cs="Times New Roman"/>
                <w:sz w:val="20"/>
                <w:szCs w:val="20"/>
                <w:lang w:val="pt-PT" w:eastAsia="es-ES"/>
              </w:rPr>
              <w:t xml:space="preserve"> / </w:t>
            </w:r>
            <w:proofErr w:type="spellStart"/>
            <w:r w:rsidRPr="00D27497">
              <w:rPr>
                <w:rFonts w:ascii="Garamond" w:eastAsia="Times New Roman" w:hAnsi="Garamond" w:cs="Times New Roman"/>
                <w:sz w:val="20"/>
                <w:szCs w:val="20"/>
                <w:lang w:val="pt-PT" w:eastAsia="es-ES"/>
              </w:rPr>
              <w:t>CSMP</w:t>
            </w:r>
            <w:proofErr w:type="spellEnd"/>
          </w:p>
        </w:tc>
      </w:tr>
      <w:tr w:rsidR="000417DE" w:rsidRPr="00D21977" w14:paraId="57021F02" w14:textId="77777777" w:rsidTr="00D27497">
        <w:trPr>
          <w:trHeight w:val="615"/>
          <w:jc w:val="center"/>
        </w:trPr>
        <w:tc>
          <w:tcPr>
            <w:tcW w:w="2052" w:type="dxa"/>
            <w:vMerge w:val="restart"/>
            <w:shd w:val="clear" w:color="auto" w:fill="FFFFFF" w:themeFill="background1"/>
          </w:tcPr>
          <w:p w14:paraId="2506BF19" w14:textId="77777777" w:rsidR="000417DE" w:rsidRPr="00D27497" w:rsidRDefault="000417DE" w:rsidP="003455F1">
            <w:pPr>
              <w:shd w:val="clear" w:color="auto" w:fill="FFFFFF" w:themeFill="background1"/>
              <w:rPr>
                <w:rFonts w:ascii="Garamond" w:hAnsi="Garamond"/>
                <w:sz w:val="20"/>
                <w:szCs w:val="20"/>
                <w:lang w:val="pt-PT"/>
              </w:rPr>
            </w:pPr>
            <w:r w:rsidRPr="00D27497">
              <w:rPr>
                <w:rFonts w:ascii="Garamond" w:hAnsi="Garamond"/>
                <w:sz w:val="20"/>
                <w:szCs w:val="20"/>
                <w:lang w:val="pt-PT"/>
              </w:rPr>
              <w:t xml:space="preserve">2.6. Aumentada a visibilidade de formas de violência contra as mulheres menos visíveis, tais como a união precoce, </w:t>
            </w:r>
            <w:proofErr w:type="spellStart"/>
            <w:r w:rsidRPr="00D27497">
              <w:rPr>
                <w:rFonts w:ascii="Garamond" w:hAnsi="Garamond"/>
                <w:sz w:val="20"/>
                <w:szCs w:val="20"/>
                <w:lang w:val="pt-PT"/>
              </w:rPr>
              <w:t>MGF</w:t>
            </w:r>
            <w:proofErr w:type="spellEnd"/>
            <w:r w:rsidRPr="00D27497">
              <w:rPr>
                <w:rFonts w:ascii="Garamond" w:hAnsi="Garamond"/>
                <w:sz w:val="20"/>
                <w:szCs w:val="20"/>
                <w:lang w:val="pt-PT"/>
              </w:rPr>
              <w:t xml:space="preserve"> e </w:t>
            </w:r>
            <w:proofErr w:type="spellStart"/>
            <w:r w:rsidRPr="00D27497">
              <w:rPr>
                <w:rFonts w:ascii="Garamond" w:hAnsi="Garamond"/>
                <w:sz w:val="20"/>
                <w:szCs w:val="20"/>
                <w:lang w:val="pt-PT"/>
              </w:rPr>
              <w:t>TH</w:t>
            </w:r>
            <w:proofErr w:type="spellEnd"/>
            <w:r w:rsidRPr="00D27497">
              <w:rPr>
                <w:rFonts w:ascii="Garamond" w:hAnsi="Garamond"/>
                <w:sz w:val="20"/>
                <w:szCs w:val="20"/>
                <w:lang w:val="pt-PT"/>
              </w:rPr>
              <w:t>, e melhorado o seu tratamento</w:t>
            </w:r>
          </w:p>
        </w:tc>
        <w:tc>
          <w:tcPr>
            <w:tcW w:w="4394" w:type="dxa"/>
            <w:shd w:val="clear" w:color="auto" w:fill="FFFFFF" w:themeFill="background1"/>
            <w:vAlign w:val="center"/>
          </w:tcPr>
          <w:p w14:paraId="0EDDF255"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2.6a Nº mediadores comunitários formados em género,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e </w:t>
            </w:r>
            <w:proofErr w:type="spellStart"/>
            <w:r w:rsidRPr="00D27497">
              <w:rPr>
                <w:rFonts w:ascii="Garamond" w:hAnsi="Garamond"/>
                <w:sz w:val="20"/>
                <w:szCs w:val="20"/>
                <w:lang w:val="pt-PT"/>
              </w:rPr>
              <w:t>SSR</w:t>
            </w:r>
            <w:proofErr w:type="spellEnd"/>
            <w:r w:rsidRPr="00D27497">
              <w:rPr>
                <w:rFonts w:ascii="Garamond" w:hAnsi="Garamond"/>
                <w:sz w:val="20"/>
                <w:szCs w:val="20"/>
                <w:lang w:val="pt-PT"/>
              </w:rPr>
              <w:t xml:space="preserve"> para trabalhar com comunidades de imigrantes</w:t>
            </w:r>
          </w:p>
        </w:tc>
        <w:tc>
          <w:tcPr>
            <w:tcW w:w="1134" w:type="dxa"/>
            <w:shd w:val="clear" w:color="auto" w:fill="FFFFFF" w:themeFill="background1"/>
            <w:vAlign w:val="center"/>
          </w:tcPr>
          <w:p w14:paraId="73A66EF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52FBA32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AAF6D5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DGI</w:t>
            </w:r>
            <w:proofErr w:type="spellEnd"/>
          </w:p>
        </w:tc>
      </w:tr>
      <w:tr w:rsidR="000417DE" w:rsidRPr="00D21977" w14:paraId="2553CEC6" w14:textId="77777777" w:rsidTr="00D27497">
        <w:trPr>
          <w:trHeight w:val="615"/>
          <w:jc w:val="center"/>
        </w:trPr>
        <w:tc>
          <w:tcPr>
            <w:tcW w:w="2052" w:type="dxa"/>
            <w:vMerge/>
            <w:shd w:val="clear" w:color="auto" w:fill="FFFFFF" w:themeFill="background1"/>
          </w:tcPr>
          <w:p w14:paraId="076C745C"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66B89EB9"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2.6b Nº de homens, mulheres e jovens de ambos os sexos das comunidades de imigrantes sensibilizados/formados sobre género,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w:t>
            </w:r>
            <w:proofErr w:type="spellStart"/>
            <w:r w:rsidRPr="00D27497">
              <w:rPr>
                <w:rFonts w:ascii="Garamond" w:hAnsi="Garamond"/>
                <w:sz w:val="20"/>
                <w:szCs w:val="20"/>
                <w:lang w:val="pt-PT"/>
              </w:rPr>
              <w:t>MGF</w:t>
            </w:r>
            <w:proofErr w:type="spellEnd"/>
          </w:p>
        </w:tc>
        <w:tc>
          <w:tcPr>
            <w:tcW w:w="1134" w:type="dxa"/>
            <w:shd w:val="clear" w:color="auto" w:fill="FFFFFF" w:themeFill="background1"/>
            <w:vAlign w:val="center"/>
          </w:tcPr>
          <w:p w14:paraId="53AE0CF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5734B0A1"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B68FA3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DGI</w:t>
            </w:r>
            <w:proofErr w:type="spellEnd"/>
          </w:p>
        </w:tc>
      </w:tr>
      <w:tr w:rsidR="000417DE" w:rsidRPr="005808D4" w14:paraId="40D685FF" w14:textId="77777777" w:rsidTr="00D27497">
        <w:trPr>
          <w:trHeight w:val="615"/>
          <w:jc w:val="center"/>
        </w:trPr>
        <w:tc>
          <w:tcPr>
            <w:tcW w:w="2052" w:type="dxa"/>
            <w:vMerge/>
            <w:shd w:val="clear" w:color="auto" w:fill="FFFFFF" w:themeFill="background1"/>
          </w:tcPr>
          <w:p w14:paraId="1B303DA6" w14:textId="77777777" w:rsidR="000417DE" w:rsidRPr="00C44552" w:rsidRDefault="000417DE" w:rsidP="003455F1">
            <w:pPr>
              <w:rPr>
                <w:rFonts w:ascii="Garamond" w:hAnsi="Garamond" w:cs="Times New Roman"/>
                <w:sz w:val="20"/>
                <w:szCs w:val="20"/>
              </w:rPr>
            </w:pPr>
          </w:p>
        </w:tc>
        <w:tc>
          <w:tcPr>
            <w:tcW w:w="4394" w:type="dxa"/>
            <w:shd w:val="clear" w:color="auto" w:fill="FFFFFF" w:themeFill="background1"/>
            <w:vAlign w:val="center"/>
          </w:tcPr>
          <w:p w14:paraId="24B9DA3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2.6c Nº de vítimas de Tráfico Humano apoiadas</w:t>
            </w:r>
          </w:p>
        </w:tc>
        <w:tc>
          <w:tcPr>
            <w:tcW w:w="1134" w:type="dxa"/>
            <w:shd w:val="clear" w:color="auto" w:fill="FFFFFF" w:themeFill="background1"/>
            <w:vAlign w:val="center"/>
          </w:tcPr>
          <w:p w14:paraId="08F5C38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5759FCE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2494B32"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sz w:val="20"/>
                <w:szCs w:val="20"/>
                <w:lang w:val="pt-PT" w:eastAsia="es-ES"/>
              </w:rPr>
              <w:t xml:space="preserve">Relatórios </w:t>
            </w:r>
            <w:r w:rsidRPr="00D27497">
              <w:rPr>
                <w:rFonts w:ascii="Garamond" w:hAnsi="Garamond"/>
                <w:sz w:val="20"/>
                <w:szCs w:val="20"/>
                <w:lang w:val="pt-PT"/>
              </w:rPr>
              <w:t xml:space="preserve">Gabinete do </w:t>
            </w:r>
            <w:proofErr w:type="spellStart"/>
            <w:r w:rsidRPr="00D27497">
              <w:rPr>
                <w:rFonts w:ascii="Garamond" w:hAnsi="Garamond"/>
                <w:sz w:val="20"/>
                <w:szCs w:val="20"/>
                <w:lang w:val="pt-PT"/>
              </w:rPr>
              <w:t>PNCTP</w:t>
            </w:r>
            <w:proofErr w:type="spellEnd"/>
            <w:r w:rsidRPr="00D27497">
              <w:rPr>
                <w:rFonts w:ascii="Garamond" w:hAnsi="Garamond"/>
                <w:sz w:val="20"/>
                <w:szCs w:val="20"/>
                <w:lang w:val="pt-PT"/>
              </w:rPr>
              <w:t>/</w:t>
            </w:r>
            <w:r w:rsidRPr="00D27497">
              <w:rPr>
                <w:rFonts w:ascii="Garamond" w:eastAsia="Times New Roman" w:hAnsi="Garamond" w:cs="Times New Roman"/>
                <w:color w:val="000000"/>
                <w:sz w:val="20"/>
                <w:szCs w:val="20"/>
                <w:lang w:val="pt-PT" w:eastAsia="es-ES"/>
              </w:rPr>
              <w:t>MJ</w:t>
            </w:r>
          </w:p>
        </w:tc>
      </w:tr>
    </w:tbl>
    <w:p w14:paraId="00DF5065" w14:textId="77777777" w:rsidR="000417DE" w:rsidRPr="00D27497" w:rsidRDefault="000417DE" w:rsidP="000417DE">
      <w:pPr>
        <w:rPr>
          <w:rFonts w:ascii="Garamond" w:hAnsi="Garamond"/>
          <w:b/>
          <w:sz w:val="20"/>
          <w:szCs w:val="20"/>
          <w:lang w:val="pt-PT"/>
        </w:rPr>
      </w:pPr>
    </w:p>
    <w:p w14:paraId="121BF47B" w14:textId="73A6EE27" w:rsidR="000417DE" w:rsidRDefault="000417DE" w:rsidP="000417DE">
      <w:pPr>
        <w:rPr>
          <w:rFonts w:ascii="Garamond" w:hAnsi="Garamond"/>
          <w:b/>
          <w:sz w:val="20"/>
          <w:szCs w:val="20"/>
        </w:rPr>
      </w:pPr>
      <w:proofErr w:type="spellStart"/>
      <w:r>
        <w:rPr>
          <w:rFonts w:ascii="Garamond" w:hAnsi="Garamond"/>
          <w:b/>
          <w:sz w:val="20"/>
          <w:szCs w:val="20"/>
        </w:rPr>
        <w:t>Eixo</w:t>
      </w:r>
      <w:proofErr w:type="spellEnd"/>
      <w:r>
        <w:rPr>
          <w:rFonts w:ascii="Garamond" w:hAnsi="Garamond"/>
          <w:b/>
          <w:sz w:val="20"/>
          <w:szCs w:val="20"/>
        </w:rPr>
        <w:t xml:space="preserve"> 3 - </w:t>
      </w:r>
      <w:proofErr w:type="spellStart"/>
      <w:r w:rsidRPr="00B923BB">
        <w:rPr>
          <w:rFonts w:ascii="Garamond" w:hAnsi="Garamond"/>
          <w:b/>
          <w:sz w:val="20"/>
          <w:szCs w:val="20"/>
        </w:rPr>
        <w:t>Educação</w:t>
      </w:r>
      <w:proofErr w:type="spellEnd"/>
      <w:r w:rsidRPr="00B923BB">
        <w:rPr>
          <w:rFonts w:ascii="Garamond" w:hAnsi="Garamond"/>
          <w:b/>
          <w:sz w:val="20"/>
          <w:szCs w:val="20"/>
        </w:rPr>
        <w:t xml:space="preserve"> e </w:t>
      </w:r>
      <w:proofErr w:type="spellStart"/>
      <w:r w:rsidRPr="00B923BB">
        <w:rPr>
          <w:rFonts w:ascii="Garamond" w:hAnsi="Garamond"/>
          <w:b/>
          <w:sz w:val="20"/>
          <w:szCs w:val="20"/>
        </w:rPr>
        <w:t>formação</w:t>
      </w:r>
      <w:proofErr w:type="spellEnd"/>
      <w:r w:rsidRPr="00B923BB">
        <w:rPr>
          <w:rFonts w:ascii="Garamond" w:hAnsi="Garamond"/>
          <w:b/>
          <w:sz w:val="20"/>
          <w:szCs w:val="20"/>
        </w:rPr>
        <w:t xml:space="preserve"> </w:t>
      </w:r>
      <w:r w:rsidR="00D27497">
        <w:rPr>
          <w:rFonts w:ascii="Garamond" w:hAnsi="Garamond"/>
          <w:b/>
          <w:sz w:val="20"/>
          <w:szCs w:val="20"/>
        </w:rPr>
        <w:t>professional</w:t>
      </w:r>
    </w:p>
    <w:p w14:paraId="08439747" w14:textId="77777777" w:rsidR="00D27497" w:rsidRDefault="00D27497" w:rsidP="000417DE"/>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4536"/>
        <w:gridCol w:w="1134"/>
        <w:gridCol w:w="922"/>
        <w:gridCol w:w="1701"/>
      </w:tblGrid>
      <w:tr w:rsidR="000417DE" w:rsidRPr="00D21977" w14:paraId="5CB99EC4" w14:textId="77777777" w:rsidTr="00F7658F">
        <w:trPr>
          <w:trHeight w:val="444"/>
          <w:tblHeader/>
          <w:jc w:val="center"/>
        </w:trPr>
        <w:tc>
          <w:tcPr>
            <w:tcW w:w="2122" w:type="dxa"/>
            <w:shd w:val="clear" w:color="auto" w:fill="DEEAF6" w:themeFill="accent5" w:themeFillTint="33"/>
            <w:vAlign w:val="center"/>
          </w:tcPr>
          <w:p w14:paraId="557ED898"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536" w:type="dxa"/>
            <w:shd w:val="clear" w:color="auto" w:fill="DEEAF6" w:themeFill="accent5" w:themeFillTint="33"/>
            <w:vAlign w:val="center"/>
          </w:tcPr>
          <w:p w14:paraId="7E481040"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134" w:type="dxa"/>
            <w:shd w:val="clear" w:color="auto" w:fill="DEEAF6" w:themeFill="accent5" w:themeFillTint="33"/>
            <w:vAlign w:val="center"/>
          </w:tcPr>
          <w:p w14:paraId="2DA46548"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922" w:type="dxa"/>
            <w:shd w:val="clear" w:color="auto" w:fill="DEEAF6" w:themeFill="accent5" w:themeFillTint="33"/>
            <w:vAlign w:val="center"/>
          </w:tcPr>
          <w:p w14:paraId="16CE42B7"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shd w:val="clear" w:color="auto" w:fill="DEEAF6" w:themeFill="accent5" w:themeFillTint="33"/>
            <w:vAlign w:val="center"/>
          </w:tcPr>
          <w:p w14:paraId="01E22BDE"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D21977" w14:paraId="73CA0A4B" w14:textId="77777777" w:rsidTr="00F7658F">
        <w:trPr>
          <w:trHeight w:val="989"/>
          <w:jc w:val="center"/>
        </w:trPr>
        <w:tc>
          <w:tcPr>
            <w:tcW w:w="2122" w:type="dxa"/>
            <w:vMerge w:val="restart"/>
            <w:shd w:val="clear" w:color="auto" w:fill="FFFFFF" w:themeFill="background1"/>
          </w:tcPr>
          <w:p w14:paraId="580CAB1B"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3.1. Maior integração da igualdade de género, co-responsabilidade e não violência nas práticas educativas nos vários níveis de ensino (pré-escolar, básico, secundário, educação de adultos), ensino superior e formação profissional</w:t>
            </w:r>
          </w:p>
        </w:tc>
        <w:tc>
          <w:tcPr>
            <w:tcW w:w="4536" w:type="dxa"/>
            <w:shd w:val="clear" w:color="auto" w:fill="FFFFFF" w:themeFill="background1"/>
            <w:vAlign w:val="center"/>
          </w:tcPr>
          <w:p w14:paraId="790D1CD9"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3.1a Nº de cursos públicos e privados de graduação de docentes (todos os níveis) que integram o género no curriculum</w:t>
            </w:r>
          </w:p>
        </w:tc>
        <w:tc>
          <w:tcPr>
            <w:tcW w:w="1134" w:type="dxa"/>
            <w:shd w:val="clear" w:color="auto" w:fill="FFFFFF" w:themeFill="background1"/>
            <w:vAlign w:val="center"/>
          </w:tcPr>
          <w:p w14:paraId="07189C3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562D5BF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252E143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DGES</w:t>
            </w:r>
            <w:proofErr w:type="spellEnd"/>
          </w:p>
        </w:tc>
      </w:tr>
      <w:tr w:rsidR="000417DE" w:rsidRPr="00D21977" w14:paraId="665BA671" w14:textId="77777777" w:rsidTr="00F7658F">
        <w:trPr>
          <w:trHeight w:val="821"/>
          <w:jc w:val="center"/>
        </w:trPr>
        <w:tc>
          <w:tcPr>
            <w:tcW w:w="2122" w:type="dxa"/>
            <w:vMerge/>
            <w:shd w:val="clear" w:color="auto" w:fill="FFFFFF" w:themeFill="background1"/>
          </w:tcPr>
          <w:p w14:paraId="28F9E5AB" w14:textId="77777777" w:rsidR="000417DE" w:rsidRPr="00652714" w:rsidRDefault="000417DE" w:rsidP="003455F1">
            <w:pPr>
              <w:rPr>
                <w:rFonts w:ascii="Garamond" w:hAnsi="Garamond" w:cs="Times New Roman"/>
                <w:sz w:val="20"/>
                <w:szCs w:val="20"/>
              </w:rPr>
            </w:pPr>
          </w:p>
        </w:tc>
        <w:tc>
          <w:tcPr>
            <w:tcW w:w="4536" w:type="dxa"/>
            <w:shd w:val="clear" w:color="auto" w:fill="FFFFFF" w:themeFill="background1"/>
            <w:vAlign w:val="center"/>
          </w:tcPr>
          <w:p w14:paraId="15ECA5D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3.1b Nº de cursos superiores que que integram o género no curriculum</w:t>
            </w:r>
          </w:p>
        </w:tc>
        <w:tc>
          <w:tcPr>
            <w:tcW w:w="1134" w:type="dxa"/>
            <w:shd w:val="clear" w:color="auto" w:fill="FFFFFF" w:themeFill="background1"/>
            <w:vAlign w:val="center"/>
          </w:tcPr>
          <w:p w14:paraId="32A3F9D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57B4457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9D9749E"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DGES</w:t>
            </w:r>
            <w:proofErr w:type="spellEnd"/>
          </w:p>
        </w:tc>
      </w:tr>
      <w:tr w:rsidR="000417DE" w:rsidRPr="00D21977" w14:paraId="73694751" w14:textId="77777777" w:rsidTr="00F7658F">
        <w:trPr>
          <w:trHeight w:val="615"/>
          <w:jc w:val="center"/>
        </w:trPr>
        <w:tc>
          <w:tcPr>
            <w:tcW w:w="2122" w:type="dxa"/>
            <w:vMerge/>
            <w:shd w:val="clear" w:color="auto" w:fill="FFFFFF" w:themeFill="background1"/>
          </w:tcPr>
          <w:p w14:paraId="650D1D1B" w14:textId="77777777" w:rsidR="000417DE" w:rsidRPr="00652714" w:rsidRDefault="000417DE" w:rsidP="003455F1">
            <w:pPr>
              <w:rPr>
                <w:rFonts w:ascii="Garamond" w:hAnsi="Garamond" w:cs="Times New Roman"/>
                <w:sz w:val="20"/>
                <w:szCs w:val="20"/>
              </w:rPr>
            </w:pPr>
          </w:p>
        </w:tc>
        <w:tc>
          <w:tcPr>
            <w:tcW w:w="4536" w:type="dxa"/>
            <w:shd w:val="clear" w:color="auto" w:fill="FFFFFF" w:themeFill="background1"/>
            <w:vAlign w:val="center"/>
          </w:tcPr>
          <w:p w14:paraId="43228FC4"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3.1c Nº de cursos e módulos/programas da formação profissional que integram o género no curriculum</w:t>
            </w:r>
          </w:p>
        </w:tc>
        <w:tc>
          <w:tcPr>
            <w:tcW w:w="1134" w:type="dxa"/>
            <w:shd w:val="clear" w:color="auto" w:fill="FFFFFF" w:themeFill="background1"/>
            <w:vAlign w:val="center"/>
          </w:tcPr>
          <w:p w14:paraId="1FF22ED1"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28FACEE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8DF8E7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r>
              <w:rPr>
                <w:rFonts w:ascii="Garamond" w:eastAsia="Times New Roman" w:hAnsi="Garamond" w:cs="Times New Roman"/>
                <w:color w:val="000000"/>
                <w:sz w:val="20"/>
                <w:szCs w:val="20"/>
                <w:lang w:eastAsia="es-ES"/>
              </w:rPr>
              <w:t>IEFP</w:t>
            </w:r>
          </w:p>
        </w:tc>
      </w:tr>
      <w:tr w:rsidR="000417DE" w:rsidRPr="00D21977" w14:paraId="7C919F49" w14:textId="77777777" w:rsidTr="00F7658F">
        <w:trPr>
          <w:trHeight w:val="615"/>
          <w:jc w:val="center"/>
        </w:trPr>
        <w:tc>
          <w:tcPr>
            <w:tcW w:w="2122" w:type="dxa"/>
            <w:vMerge w:val="restart"/>
            <w:shd w:val="clear" w:color="auto" w:fill="FFFFFF" w:themeFill="background1"/>
          </w:tcPr>
          <w:p w14:paraId="28E1D155"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3.2. Escolhas vocacionais das meninas/ mulheres e dos meninos/ homens, diversificadas</w:t>
            </w:r>
          </w:p>
        </w:tc>
        <w:tc>
          <w:tcPr>
            <w:tcW w:w="4536" w:type="dxa"/>
            <w:shd w:val="clear" w:color="auto" w:fill="FFFFFF" w:themeFill="background1"/>
            <w:vAlign w:val="center"/>
          </w:tcPr>
          <w:p w14:paraId="7A287AB9" w14:textId="77777777" w:rsidR="000417DE" w:rsidRPr="00D27497" w:rsidRDefault="000417DE" w:rsidP="003455F1">
            <w:pPr>
              <w:rPr>
                <w:rFonts w:ascii="Garamond" w:hAnsi="Garamond"/>
                <w:color w:val="FF0000"/>
                <w:lang w:val="pt-PT"/>
              </w:rPr>
            </w:pPr>
            <w:r w:rsidRPr="00D27497">
              <w:rPr>
                <w:rFonts w:ascii="Garamond" w:hAnsi="Garamond"/>
                <w:sz w:val="20"/>
                <w:szCs w:val="20"/>
                <w:lang w:val="pt-PT"/>
              </w:rPr>
              <w:t xml:space="preserve">3.2.a Existência de um documento </w:t>
            </w:r>
            <w:r w:rsidRPr="00D27497">
              <w:rPr>
                <w:rFonts w:ascii="Garamond" w:hAnsi="Garamond"/>
                <w:lang w:val="pt-PT"/>
              </w:rPr>
              <w:t xml:space="preserve">analítico sobre meninas/meninos, mulheres/homens nas </w:t>
            </w:r>
            <w:proofErr w:type="spellStart"/>
            <w:r w:rsidRPr="00D27497">
              <w:rPr>
                <w:rFonts w:ascii="Garamond" w:hAnsi="Garamond"/>
                <w:lang w:val="pt-PT"/>
              </w:rPr>
              <w:t>STEM</w:t>
            </w:r>
            <w:proofErr w:type="spellEnd"/>
            <w:r w:rsidRPr="00D27497">
              <w:rPr>
                <w:rFonts w:ascii="Garamond" w:hAnsi="Garamond"/>
                <w:lang w:val="pt-PT"/>
              </w:rPr>
              <w:t xml:space="preserve"> e impactos na economia de Cabo Verde</w:t>
            </w:r>
          </w:p>
        </w:tc>
        <w:tc>
          <w:tcPr>
            <w:tcW w:w="1134" w:type="dxa"/>
            <w:shd w:val="clear" w:color="auto" w:fill="FFFFFF" w:themeFill="background1"/>
            <w:vAlign w:val="center"/>
          </w:tcPr>
          <w:p w14:paraId="7DF90B0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922" w:type="dxa"/>
            <w:shd w:val="clear" w:color="auto" w:fill="FFFFFF" w:themeFill="background1"/>
            <w:vAlign w:val="center"/>
          </w:tcPr>
          <w:p w14:paraId="56292D9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04C7B5A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CIGEF</w:t>
            </w:r>
            <w:proofErr w:type="spellEnd"/>
          </w:p>
        </w:tc>
      </w:tr>
      <w:tr w:rsidR="000417DE" w:rsidRPr="005808D4" w14:paraId="3D744A8D" w14:textId="77777777" w:rsidTr="00F7658F">
        <w:trPr>
          <w:trHeight w:val="615"/>
          <w:jc w:val="center"/>
        </w:trPr>
        <w:tc>
          <w:tcPr>
            <w:tcW w:w="2122" w:type="dxa"/>
            <w:vMerge/>
            <w:shd w:val="clear" w:color="auto" w:fill="FFFFFF" w:themeFill="background1"/>
          </w:tcPr>
          <w:p w14:paraId="7998B3DE" w14:textId="77777777" w:rsidR="000417DE" w:rsidRPr="00652714" w:rsidRDefault="000417DE" w:rsidP="003455F1">
            <w:pPr>
              <w:rPr>
                <w:rFonts w:ascii="Garamond" w:hAnsi="Garamond" w:cs="Times New Roman"/>
                <w:sz w:val="20"/>
                <w:szCs w:val="20"/>
              </w:rPr>
            </w:pPr>
          </w:p>
        </w:tc>
        <w:tc>
          <w:tcPr>
            <w:tcW w:w="4536" w:type="dxa"/>
            <w:shd w:val="clear" w:color="auto" w:fill="FFFFFF" w:themeFill="background1"/>
            <w:vAlign w:val="center"/>
          </w:tcPr>
          <w:p w14:paraId="723951B1"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3.2b Número de mulheres/meninas que beneficiam de medidas especiais temporárias (por tipo de medida) para aceder a formação/cursos em </w:t>
            </w:r>
            <w:proofErr w:type="spellStart"/>
            <w:r w:rsidRPr="00D27497">
              <w:rPr>
                <w:rFonts w:ascii="Garamond" w:hAnsi="Garamond"/>
                <w:sz w:val="20"/>
                <w:szCs w:val="20"/>
                <w:lang w:val="pt-PT"/>
              </w:rPr>
              <w:t>TICs</w:t>
            </w:r>
            <w:proofErr w:type="spellEnd"/>
            <w:r w:rsidRPr="00D27497">
              <w:rPr>
                <w:rFonts w:ascii="Garamond" w:hAnsi="Garamond"/>
                <w:sz w:val="20"/>
                <w:szCs w:val="20"/>
                <w:lang w:val="pt-PT"/>
              </w:rPr>
              <w:t xml:space="preserve">, </w:t>
            </w:r>
            <w:proofErr w:type="spellStart"/>
            <w:r w:rsidRPr="00D27497">
              <w:rPr>
                <w:rFonts w:ascii="Garamond" w:hAnsi="Garamond"/>
                <w:sz w:val="20"/>
                <w:szCs w:val="20"/>
                <w:lang w:val="pt-PT"/>
              </w:rPr>
              <w:t>STEM</w:t>
            </w:r>
            <w:proofErr w:type="spellEnd"/>
            <w:r w:rsidRPr="00D27497">
              <w:rPr>
                <w:rFonts w:ascii="Garamond" w:hAnsi="Garamond"/>
                <w:sz w:val="20"/>
                <w:szCs w:val="20"/>
                <w:lang w:val="pt-PT"/>
              </w:rPr>
              <w:t xml:space="preserve"> e áreas técnicas de ponta</w:t>
            </w:r>
          </w:p>
        </w:tc>
        <w:tc>
          <w:tcPr>
            <w:tcW w:w="1134" w:type="dxa"/>
            <w:shd w:val="clear" w:color="auto" w:fill="FFFFFF" w:themeFill="background1"/>
            <w:vAlign w:val="center"/>
          </w:tcPr>
          <w:p w14:paraId="1BFFF1D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44EE307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00C5C070"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sz w:val="20"/>
                <w:szCs w:val="20"/>
                <w:lang w:val="pt-PT" w:eastAsia="es-ES"/>
              </w:rPr>
              <w:t xml:space="preserve">Relatórios </w:t>
            </w:r>
            <w:proofErr w:type="spellStart"/>
            <w:r w:rsidRPr="00D27497">
              <w:rPr>
                <w:rFonts w:ascii="Garamond" w:eastAsia="Times New Roman" w:hAnsi="Garamond" w:cs="Times New Roman"/>
                <w:color w:val="000000"/>
                <w:sz w:val="20"/>
                <w:szCs w:val="20"/>
                <w:lang w:val="pt-PT" w:eastAsia="es-ES"/>
              </w:rPr>
              <w:t>IGIEG</w:t>
            </w:r>
            <w:proofErr w:type="spellEnd"/>
            <w:r w:rsidRPr="00D27497">
              <w:rPr>
                <w:rFonts w:ascii="Garamond" w:eastAsia="Times New Roman" w:hAnsi="Garamond" w:cs="Times New Roman"/>
                <w:color w:val="000000"/>
                <w:sz w:val="20"/>
                <w:szCs w:val="20"/>
                <w:lang w:val="pt-PT" w:eastAsia="es-ES"/>
              </w:rPr>
              <w:t xml:space="preserve"> / Instituições da EFE</w:t>
            </w:r>
          </w:p>
        </w:tc>
      </w:tr>
      <w:tr w:rsidR="000417DE" w:rsidRPr="00D21977" w14:paraId="1C91DD89" w14:textId="77777777" w:rsidTr="00F7658F">
        <w:trPr>
          <w:trHeight w:val="843"/>
          <w:jc w:val="center"/>
        </w:trPr>
        <w:tc>
          <w:tcPr>
            <w:tcW w:w="2122" w:type="dxa"/>
            <w:vMerge w:val="restart"/>
            <w:shd w:val="clear" w:color="auto" w:fill="FFFFFF" w:themeFill="background1"/>
          </w:tcPr>
          <w:p w14:paraId="315CD01A"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3.3. Desempenho dos meninos no ensino básico promovido, direito à educação das alunas grávidas protegido e engajamento dos </w:t>
            </w:r>
            <w:proofErr w:type="spellStart"/>
            <w:r w:rsidRPr="00D27497">
              <w:rPr>
                <w:rFonts w:ascii="Garamond" w:hAnsi="Garamond"/>
                <w:sz w:val="20"/>
                <w:szCs w:val="20"/>
                <w:lang w:val="pt-PT"/>
              </w:rPr>
              <w:t>atores</w:t>
            </w:r>
            <w:proofErr w:type="spellEnd"/>
            <w:r w:rsidRPr="00D27497">
              <w:rPr>
                <w:rFonts w:ascii="Garamond" w:hAnsi="Garamond"/>
                <w:sz w:val="20"/>
                <w:szCs w:val="20"/>
                <w:lang w:val="pt-PT"/>
              </w:rPr>
              <w:t xml:space="preserve"> escolares com a prevenção da gravidez na adolescência</w:t>
            </w:r>
          </w:p>
        </w:tc>
        <w:tc>
          <w:tcPr>
            <w:tcW w:w="4536" w:type="dxa"/>
            <w:shd w:val="clear" w:color="auto" w:fill="FFFFFF" w:themeFill="background1"/>
            <w:vAlign w:val="center"/>
          </w:tcPr>
          <w:p w14:paraId="50A8425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3.3a Nº de novas estratégias/intervenções (i) pilotadas e (ii) generalizadas para promover o sucesso escolar dos meninos /adolescentes</w:t>
            </w:r>
          </w:p>
        </w:tc>
        <w:tc>
          <w:tcPr>
            <w:tcW w:w="1134" w:type="dxa"/>
            <w:shd w:val="clear" w:color="auto" w:fill="FFFFFF" w:themeFill="background1"/>
            <w:vAlign w:val="center"/>
          </w:tcPr>
          <w:p w14:paraId="62052B9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7B65231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2009CF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DNE</w:t>
            </w:r>
            <w:proofErr w:type="spellEnd"/>
          </w:p>
        </w:tc>
      </w:tr>
      <w:tr w:rsidR="000417DE" w:rsidRPr="00D21977" w14:paraId="2B57418A" w14:textId="77777777" w:rsidTr="00F7658F">
        <w:trPr>
          <w:trHeight w:val="841"/>
          <w:jc w:val="center"/>
        </w:trPr>
        <w:tc>
          <w:tcPr>
            <w:tcW w:w="2122" w:type="dxa"/>
            <w:vMerge/>
            <w:shd w:val="clear" w:color="auto" w:fill="FFFFFF" w:themeFill="background1"/>
          </w:tcPr>
          <w:p w14:paraId="22ECA0B8" w14:textId="77777777" w:rsidR="000417DE" w:rsidRPr="00652714" w:rsidRDefault="000417DE" w:rsidP="003455F1">
            <w:pPr>
              <w:rPr>
                <w:rFonts w:ascii="Garamond" w:hAnsi="Garamond" w:cs="Times New Roman"/>
                <w:sz w:val="20"/>
                <w:szCs w:val="20"/>
              </w:rPr>
            </w:pPr>
          </w:p>
        </w:tc>
        <w:tc>
          <w:tcPr>
            <w:tcW w:w="4536" w:type="dxa"/>
            <w:shd w:val="clear" w:color="auto" w:fill="FFFFFF" w:themeFill="background1"/>
            <w:vAlign w:val="center"/>
          </w:tcPr>
          <w:p w14:paraId="6ADE856A"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3.3b Nº de situações de gravidez na adolescência na escola (por ano lectivo)</w:t>
            </w:r>
          </w:p>
        </w:tc>
        <w:tc>
          <w:tcPr>
            <w:tcW w:w="1134" w:type="dxa"/>
            <w:shd w:val="clear" w:color="auto" w:fill="FFFFFF" w:themeFill="background1"/>
            <w:vAlign w:val="center"/>
          </w:tcPr>
          <w:p w14:paraId="75B113C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255115F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2C42F4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DNE</w:t>
            </w:r>
            <w:proofErr w:type="spellEnd"/>
          </w:p>
        </w:tc>
      </w:tr>
      <w:tr w:rsidR="000417DE" w:rsidRPr="00D21977" w14:paraId="1B54F4BE" w14:textId="77777777" w:rsidTr="00F7658F">
        <w:trPr>
          <w:trHeight w:val="615"/>
          <w:jc w:val="center"/>
        </w:trPr>
        <w:tc>
          <w:tcPr>
            <w:tcW w:w="2122" w:type="dxa"/>
            <w:vMerge/>
            <w:shd w:val="clear" w:color="auto" w:fill="FFFFFF" w:themeFill="background1"/>
          </w:tcPr>
          <w:p w14:paraId="4D7A172F" w14:textId="77777777" w:rsidR="000417DE" w:rsidRPr="00652714" w:rsidRDefault="000417DE" w:rsidP="003455F1">
            <w:pPr>
              <w:rPr>
                <w:rFonts w:ascii="Garamond" w:hAnsi="Garamond" w:cs="Times New Roman"/>
                <w:sz w:val="20"/>
                <w:szCs w:val="20"/>
              </w:rPr>
            </w:pPr>
          </w:p>
        </w:tc>
        <w:tc>
          <w:tcPr>
            <w:tcW w:w="4536" w:type="dxa"/>
            <w:shd w:val="clear" w:color="auto" w:fill="FFFFFF" w:themeFill="background1"/>
            <w:vAlign w:val="center"/>
          </w:tcPr>
          <w:p w14:paraId="5FD84DE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3.3c Nº de alunas grávidas, puérperas e lactantes que beneficiam de medidas de acompanhamento (por tipo de medida) (por ano lectivo)</w:t>
            </w:r>
          </w:p>
        </w:tc>
        <w:tc>
          <w:tcPr>
            <w:tcW w:w="1134" w:type="dxa"/>
            <w:shd w:val="clear" w:color="auto" w:fill="FFFFFF" w:themeFill="background1"/>
            <w:vAlign w:val="center"/>
          </w:tcPr>
          <w:p w14:paraId="08324D8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0CD3D72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5F1E11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DNE</w:t>
            </w:r>
            <w:proofErr w:type="spellEnd"/>
          </w:p>
        </w:tc>
      </w:tr>
      <w:tr w:rsidR="000417DE" w:rsidRPr="005808D4" w14:paraId="2398AE10" w14:textId="77777777" w:rsidTr="00F7658F">
        <w:trPr>
          <w:trHeight w:val="1498"/>
          <w:jc w:val="center"/>
        </w:trPr>
        <w:tc>
          <w:tcPr>
            <w:tcW w:w="2122" w:type="dxa"/>
            <w:vMerge w:val="restart"/>
            <w:shd w:val="clear" w:color="auto" w:fill="FFFFFF" w:themeFill="background1"/>
          </w:tcPr>
          <w:p w14:paraId="253DD825"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3.4. Maior engajamento dos </w:t>
            </w:r>
            <w:proofErr w:type="spellStart"/>
            <w:r w:rsidRPr="00D27497">
              <w:rPr>
                <w:rFonts w:ascii="Garamond" w:hAnsi="Garamond"/>
                <w:sz w:val="20"/>
                <w:szCs w:val="20"/>
                <w:lang w:val="pt-PT"/>
              </w:rPr>
              <w:t>atores</w:t>
            </w:r>
            <w:proofErr w:type="spellEnd"/>
            <w:r w:rsidRPr="00D27497">
              <w:rPr>
                <w:rFonts w:ascii="Garamond" w:hAnsi="Garamond"/>
                <w:sz w:val="20"/>
                <w:szCs w:val="20"/>
                <w:lang w:val="pt-PT"/>
              </w:rPr>
              <w:t xml:space="preserve"> escolares com a prevenção da violência em meio escolar, em particular da </w:t>
            </w:r>
            <w:proofErr w:type="spellStart"/>
            <w:r w:rsidRPr="00D27497">
              <w:rPr>
                <w:rFonts w:ascii="Garamond" w:hAnsi="Garamond"/>
                <w:sz w:val="20"/>
                <w:szCs w:val="20"/>
                <w:lang w:val="pt-PT"/>
              </w:rPr>
              <w:t>VBG</w:t>
            </w:r>
            <w:proofErr w:type="spellEnd"/>
            <w:r w:rsidRPr="00D27497">
              <w:rPr>
                <w:rFonts w:ascii="Garamond" w:hAnsi="Garamond"/>
                <w:sz w:val="20"/>
                <w:szCs w:val="20"/>
                <w:lang w:val="pt-PT"/>
              </w:rPr>
              <w:t xml:space="preserve"> e com a identificação, sinalização e acompanhamento de situações de violência contra alunas</w:t>
            </w:r>
          </w:p>
        </w:tc>
        <w:tc>
          <w:tcPr>
            <w:tcW w:w="4536" w:type="dxa"/>
            <w:shd w:val="clear" w:color="auto" w:fill="FFFFFF" w:themeFill="background1"/>
            <w:vAlign w:val="center"/>
          </w:tcPr>
          <w:p w14:paraId="5099C2F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3.4a Nº de iniciativa de rodas de conversa com alunos e alunas adolescentes (Ser Homem, Ser Mulher) (i) pilotadas e (ii) generalizadas nas escolas secundárias, formação profissional e universidades (por ano lectivo)</w:t>
            </w:r>
          </w:p>
        </w:tc>
        <w:tc>
          <w:tcPr>
            <w:tcW w:w="1134" w:type="dxa"/>
            <w:shd w:val="clear" w:color="auto" w:fill="FFFFFF" w:themeFill="background1"/>
            <w:vAlign w:val="center"/>
          </w:tcPr>
          <w:p w14:paraId="35D9F23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p w14:paraId="052E42C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5AC4D6D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p w14:paraId="4C72A3F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508F480"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sz w:val="20"/>
                <w:szCs w:val="20"/>
                <w:lang w:val="pt-PT" w:eastAsia="es-ES"/>
              </w:rPr>
              <w:t xml:space="preserve">Relatórios </w:t>
            </w:r>
            <w:proofErr w:type="spellStart"/>
            <w:r w:rsidRPr="00D27497">
              <w:rPr>
                <w:rFonts w:ascii="Garamond" w:eastAsia="Times New Roman" w:hAnsi="Garamond" w:cs="Times New Roman"/>
                <w:color w:val="000000"/>
                <w:sz w:val="20"/>
                <w:szCs w:val="20"/>
                <w:lang w:val="pt-PT" w:eastAsia="es-ES"/>
              </w:rPr>
              <w:t>ICIEG</w:t>
            </w:r>
            <w:proofErr w:type="spellEnd"/>
            <w:r w:rsidRPr="00D27497">
              <w:rPr>
                <w:rFonts w:ascii="Garamond" w:eastAsia="Times New Roman" w:hAnsi="Garamond" w:cs="Times New Roman"/>
                <w:color w:val="000000"/>
                <w:sz w:val="20"/>
                <w:szCs w:val="20"/>
                <w:lang w:val="pt-PT" w:eastAsia="es-ES"/>
              </w:rPr>
              <w:t xml:space="preserve"> / Instituições de EFE</w:t>
            </w:r>
          </w:p>
        </w:tc>
      </w:tr>
      <w:tr w:rsidR="000417DE" w:rsidRPr="005808D4" w14:paraId="4610347D" w14:textId="77777777" w:rsidTr="00F7658F">
        <w:trPr>
          <w:trHeight w:val="1689"/>
          <w:jc w:val="center"/>
        </w:trPr>
        <w:tc>
          <w:tcPr>
            <w:tcW w:w="2122" w:type="dxa"/>
            <w:vMerge/>
            <w:shd w:val="clear" w:color="auto" w:fill="FFFFFF" w:themeFill="background1"/>
          </w:tcPr>
          <w:p w14:paraId="335A744E" w14:textId="77777777" w:rsidR="000417DE" w:rsidRPr="00D27497" w:rsidRDefault="000417DE" w:rsidP="003455F1">
            <w:pPr>
              <w:rPr>
                <w:rFonts w:ascii="Garamond" w:hAnsi="Garamond" w:cs="Times New Roman"/>
                <w:sz w:val="20"/>
                <w:szCs w:val="20"/>
                <w:lang w:val="pt-PT"/>
              </w:rPr>
            </w:pPr>
          </w:p>
        </w:tc>
        <w:tc>
          <w:tcPr>
            <w:tcW w:w="4536" w:type="dxa"/>
            <w:shd w:val="clear" w:color="auto" w:fill="FFFFFF" w:themeFill="background1"/>
            <w:vAlign w:val="center"/>
          </w:tcPr>
          <w:p w14:paraId="302C9BAB"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3.4b Nº de escolas secundárias do país identificadas como inseguras (por professores e/ou alunos), em que a </w:t>
            </w:r>
            <w:proofErr w:type="spellStart"/>
            <w:r w:rsidRPr="00D27497">
              <w:rPr>
                <w:rFonts w:ascii="Garamond" w:hAnsi="Garamond"/>
                <w:sz w:val="20"/>
                <w:szCs w:val="20"/>
                <w:lang w:val="pt-PT"/>
              </w:rPr>
              <w:t>perceção</w:t>
            </w:r>
            <w:proofErr w:type="spellEnd"/>
            <w:r w:rsidRPr="00D27497">
              <w:rPr>
                <w:rFonts w:ascii="Garamond" w:hAnsi="Garamond"/>
                <w:sz w:val="20"/>
                <w:szCs w:val="20"/>
                <w:lang w:val="pt-PT"/>
              </w:rPr>
              <w:t xml:space="preserve"> de segurança melhorou     </w:t>
            </w:r>
          </w:p>
          <w:p w14:paraId="3A5CC5F7" w14:textId="77777777" w:rsidR="000417DE" w:rsidRPr="00D27497" w:rsidRDefault="000417DE" w:rsidP="003455F1">
            <w:pPr>
              <w:rPr>
                <w:rFonts w:ascii="Garamond" w:hAnsi="Garamond"/>
                <w:color w:val="FF0000"/>
                <w:sz w:val="20"/>
                <w:szCs w:val="20"/>
                <w:lang w:val="pt-PT"/>
              </w:rPr>
            </w:pPr>
            <w:r w:rsidRPr="00D11E36">
              <w:rPr>
                <w:rFonts w:ascii="Garamond" w:hAnsi="Garamond" w:cs="Arial"/>
                <w:i/>
                <w:iCs/>
                <w:sz w:val="18"/>
                <w:szCs w:val="18"/>
                <w:lang w:val="pt-BR"/>
              </w:rPr>
              <w:t>Complexo Ponta de Água</w:t>
            </w:r>
            <w:r>
              <w:rPr>
                <w:rFonts w:ascii="Garamond" w:hAnsi="Garamond" w:cs="Arial"/>
                <w:i/>
                <w:iCs/>
                <w:sz w:val="18"/>
                <w:szCs w:val="18"/>
                <w:lang w:val="pt-BR"/>
              </w:rPr>
              <w:t xml:space="preserve">, </w:t>
            </w:r>
            <w:r w:rsidRPr="00D11E36">
              <w:rPr>
                <w:rFonts w:ascii="Garamond" w:hAnsi="Garamond" w:cs="Arial"/>
                <w:i/>
                <w:iCs/>
                <w:sz w:val="18"/>
                <w:szCs w:val="18"/>
                <w:lang w:val="pt-BR"/>
              </w:rPr>
              <w:t>ES Achada do Monte</w:t>
            </w:r>
            <w:r>
              <w:rPr>
                <w:rFonts w:ascii="Garamond" w:hAnsi="Garamond" w:cs="Arial"/>
                <w:i/>
                <w:iCs/>
                <w:sz w:val="18"/>
                <w:szCs w:val="18"/>
                <w:lang w:val="pt-BR"/>
              </w:rPr>
              <w:t xml:space="preserve">, </w:t>
            </w:r>
            <w:r w:rsidRPr="00D11E36">
              <w:rPr>
                <w:rFonts w:ascii="Garamond" w:hAnsi="Garamond" w:cs="Arial"/>
                <w:i/>
                <w:iCs/>
                <w:sz w:val="18"/>
                <w:szCs w:val="18"/>
                <w:lang w:val="pt-BR"/>
              </w:rPr>
              <w:t>ES Boa Vista</w:t>
            </w:r>
            <w:r>
              <w:rPr>
                <w:rFonts w:ascii="Garamond" w:hAnsi="Garamond" w:cs="Arial"/>
                <w:i/>
                <w:iCs/>
                <w:sz w:val="18"/>
                <w:szCs w:val="18"/>
                <w:lang w:val="pt-BR"/>
              </w:rPr>
              <w:t xml:space="preserve">, </w:t>
            </w:r>
            <w:r w:rsidRPr="00D11E36">
              <w:rPr>
                <w:rFonts w:ascii="Garamond" w:hAnsi="Garamond" w:cs="Arial"/>
                <w:i/>
                <w:iCs/>
                <w:sz w:val="18"/>
                <w:szCs w:val="18"/>
                <w:lang w:val="pt-BR"/>
              </w:rPr>
              <w:t>Liceu Teixeira de Sousa</w:t>
            </w:r>
            <w:r>
              <w:rPr>
                <w:rFonts w:ascii="Garamond" w:hAnsi="Garamond" w:cs="Arial"/>
                <w:i/>
                <w:iCs/>
                <w:sz w:val="18"/>
                <w:szCs w:val="18"/>
                <w:lang w:val="pt-BR"/>
              </w:rPr>
              <w:t xml:space="preserve">, </w:t>
            </w:r>
            <w:r w:rsidRPr="00D11E36">
              <w:rPr>
                <w:rFonts w:ascii="Garamond" w:hAnsi="Garamond" w:cs="Arial"/>
                <w:i/>
                <w:iCs/>
                <w:sz w:val="18"/>
                <w:szCs w:val="18"/>
                <w:lang w:val="pt-BR"/>
              </w:rPr>
              <w:t>ES Jose Augusto Pinto</w:t>
            </w:r>
            <w:r>
              <w:rPr>
                <w:rFonts w:ascii="Garamond" w:hAnsi="Garamond" w:cs="Arial"/>
                <w:i/>
                <w:iCs/>
                <w:sz w:val="18"/>
                <w:szCs w:val="18"/>
                <w:lang w:val="pt-BR"/>
              </w:rPr>
              <w:t xml:space="preserve">, </w:t>
            </w:r>
            <w:r w:rsidRPr="00D11E36">
              <w:rPr>
                <w:rFonts w:ascii="Garamond" w:hAnsi="Garamond" w:cs="Arial"/>
                <w:i/>
                <w:iCs/>
                <w:sz w:val="18"/>
                <w:szCs w:val="18"/>
                <w:lang w:val="pt-BR"/>
              </w:rPr>
              <w:t>EICM</w:t>
            </w:r>
            <w:r>
              <w:rPr>
                <w:rFonts w:ascii="Garamond" w:hAnsi="Garamond" w:cs="Arial"/>
                <w:i/>
                <w:iCs/>
                <w:sz w:val="18"/>
                <w:szCs w:val="18"/>
                <w:lang w:val="pt-BR"/>
              </w:rPr>
              <w:t xml:space="preserve">, </w:t>
            </w:r>
            <w:r w:rsidRPr="00D11E36">
              <w:rPr>
                <w:rFonts w:ascii="Garamond" w:hAnsi="Garamond" w:cs="Arial"/>
                <w:i/>
                <w:iCs/>
                <w:sz w:val="18"/>
                <w:szCs w:val="18"/>
                <w:lang w:val="pt-BR"/>
              </w:rPr>
              <w:t>ES A. Napoleão Fernandes</w:t>
            </w:r>
            <w:r>
              <w:rPr>
                <w:rFonts w:ascii="Garamond" w:hAnsi="Garamond" w:cs="Arial"/>
                <w:i/>
                <w:iCs/>
                <w:sz w:val="18"/>
                <w:szCs w:val="18"/>
                <w:lang w:val="pt-BR"/>
              </w:rPr>
              <w:t xml:space="preserve">, </w:t>
            </w:r>
            <w:r w:rsidRPr="00D11E36">
              <w:rPr>
                <w:rFonts w:ascii="Garamond" w:hAnsi="Garamond" w:cs="Arial"/>
                <w:i/>
                <w:iCs/>
                <w:sz w:val="18"/>
                <w:szCs w:val="18"/>
                <w:lang w:val="pt-BR"/>
              </w:rPr>
              <w:t>Liceu Amílcar Cabral</w:t>
            </w:r>
            <w:r>
              <w:rPr>
                <w:rFonts w:ascii="Garamond" w:hAnsi="Garamond" w:cs="Arial"/>
                <w:i/>
                <w:iCs/>
                <w:sz w:val="18"/>
                <w:szCs w:val="18"/>
                <w:lang w:val="pt-BR"/>
              </w:rPr>
              <w:t xml:space="preserve">, </w:t>
            </w:r>
            <w:r w:rsidRPr="00D11E36">
              <w:rPr>
                <w:rFonts w:ascii="Garamond" w:hAnsi="Garamond" w:cs="Arial"/>
                <w:i/>
                <w:iCs/>
                <w:sz w:val="18"/>
                <w:szCs w:val="18"/>
                <w:lang w:val="pt-BR"/>
              </w:rPr>
              <w:t>ES Cesaltina Ramos</w:t>
            </w:r>
            <w:r>
              <w:rPr>
                <w:rFonts w:ascii="Garamond" w:hAnsi="Garamond" w:cs="Arial"/>
                <w:i/>
                <w:iCs/>
                <w:sz w:val="18"/>
                <w:szCs w:val="18"/>
                <w:lang w:val="pt-BR"/>
              </w:rPr>
              <w:t xml:space="preserve">, </w:t>
            </w:r>
            <w:r w:rsidRPr="00D11E36">
              <w:rPr>
                <w:rFonts w:ascii="Garamond" w:hAnsi="Garamond" w:cs="Arial"/>
                <w:i/>
                <w:iCs/>
                <w:sz w:val="18"/>
                <w:szCs w:val="18"/>
                <w:lang w:val="pt-BR"/>
              </w:rPr>
              <w:t>ES Cônego Jacinto</w:t>
            </w:r>
          </w:p>
        </w:tc>
        <w:tc>
          <w:tcPr>
            <w:tcW w:w="1134" w:type="dxa"/>
            <w:shd w:val="clear" w:color="auto" w:fill="FFFFFF" w:themeFill="background1"/>
            <w:vAlign w:val="center"/>
          </w:tcPr>
          <w:p w14:paraId="14235C3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2B95686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1DD2D04C" w14:textId="77777777" w:rsidR="000417DE" w:rsidRPr="00D27497" w:rsidRDefault="000417DE" w:rsidP="003455F1">
            <w:pPr>
              <w:spacing w:before="60" w:after="60"/>
              <w:jc w:val="center"/>
              <w:rPr>
                <w:rFonts w:ascii="Garamond" w:eastAsia="Times New Roman" w:hAnsi="Garamond" w:cs="Times New Roman"/>
                <w:i/>
                <w:iCs/>
                <w:color w:val="000000"/>
                <w:sz w:val="20"/>
                <w:szCs w:val="20"/>
                <w:lang w:val="pt-PT" w:eastAsia="es-ES"/>
              </w:rPr>
            </w:pPr>
            <w:proofErr w:type="spellStart"/>
            <w:r w:rsidRPr="00D27497">
              <w:rPr>
                <w:rFonts w:ascii="Garamond" w:eastAsia="Times New Roman" w:hAnsi="Garamond" w:cs="Times New Roman"/>
                <w:color w:val="000000"/>
                <w:sz w:val="20"/>
                <w:szCs w:val="20"/>
                <w:lang w:val="pt-PT" w:eastAsia="es-ES"/>
              </w:rPr>
              <w:t>UniCV</w:t>
            </w:r>
            <w:proofErr w:type="spellEnd"/>
            <w:r w:rsidRPr="00D27497">
              <w:rPr>
                <w:rFonts w:ascii="Garamond" w:eastAsia="Times New Roman" w:hAnsi="Garamond" w:cs="Times New Roman"/>
                <w:color w:val="000000"/>
                <w:sz w:val="20"/>
                <w:szCs w:val="20"/>
                <w:lang w:val="pt-PT" w:eastAsia="es-ES"/>
              </w:rPr>
              <w:t xml:space="preserve"> – Estudo </w:t>
            </w:r>
            <w:r w:rsidRPr="00D27497">
              <w:rPr>
                <w:rFonts w:ascii="Garamond" w:eastAsia="Times New Roman" w:hAnsi="Garamond" w:cs="Times New Roman"/>
                <w:i/>
                <w:iCs/>
                <w:color w:val="000000"/>
                <w:sz w:val="20"/>
                <w:szCs w:val="20"/>
                <w:lang w:val="pt-PT" w:eastAsia="es-ES"/>
              </w:rPr>
              <w:t>Violência nas Escolas Secundárias</w:t>
            </w:r>
          </w:p>
          <w:p w14:paraId="3B8DB2C6"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(Levantamento de seguimento </w:t>
            </w:r>
            <w:proofErr w:type="spellStart"/>
            <w:r w:rsidRPr="00D27497">
              <w:rPr>
                <w:rFonts w:ascii="Garamond" w:eastAsia="Times New Roman" w:hAnsi="Garamond" w:cs="Times New Roman"/>
                <w:color w:val="000000"/>
                <w:sz w:val="20"/>
                <w:szCs w:val="20"/>
                <w:lang w:val="pt-PT" w:eastAsia="es-ES"/>
              </w:rPr>
              <w:t>DNE</w:t>
            </w:r>
            <w:proofErr w:type="spellEnd"/>
            <w:r w:rsidRPr="00D27497">
              <w:rPr>
                <w:rFonts w:ascii="Garamond" w:eastAsia="Times New Roman" w:hAnsi="Garamond" w:cs="Times New Roman"/>
                <w:color w:val="000000"/>
                <w:sz w:val="20"/>
                <w:szCs w:val="20"/>
                <w:lang w:val="pt-PT" w:eastAsia="es-ES"/>
              </w:rPr>
              <w:t>/</w:t>
            </w:r>
            <w:proofErr w:type="spellStart"/>
            <w:r w:rsidRPr="00D27497">
              <w:rPr>
                <w:rFonts w:ascii="Garamond" w:eastAsia="Times New Roman" w:hAnsi="Garamond" w:cs="Times New Roman"/>
                <w:color w:val="000000"/>
                <w:sz w:val="20"/>
                <w:szCs w:val="20"/>
                <w:lang w:val="pt-PT" w:eastAsia="es-ES"/>
              </w:rPr>
              <w:t>ESs</w:t>
            </w:r>
            <w:proofErr w:type="spellEnd"/>
            <w:r w:rsidRPr="00D27497">
              <w:rPr>
                <w:rFonts w:ascii="Garamond" w:eastAsia="Times New Roman" w:hAnsi="Garamond" w:cs="Times New Roman"/>
                <w:color w:val="000000"/>
                <w:sz w:val="20"/>
                <w:szCs w:val="20"/>
                <w:lang w:val="pt-PT" w:eastAsia="es-ES"/>
              </w:rPr>
              <w:t>)</w:t>
            </w:r>
          </w:p>
        </w:tc>
      </w:tr>
      <w:tr w:rsidR="000417DE" w:rsidRPr="00D21977" w14:paraId="2FF2761B" w14:textId="77777777" w:rsidTr="00F7658F">
        <w:trPr>
          <w:trHeight w:val="970"/>
          <w:jc w:val="center"/>
        </w:trPr>
        <w:tc>
          <w:tcPr>
            <w:tcW w:w="2122" w:type="dxa"/>
            <w:vMerge w:val="restart"/>
            <w:shd w:val="clear" w:color="auto" w:fill="FFFFFF" w:themeFill="background1"/>
          </w:tcPr>
          <w:p w14:paraId="76BA8216"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3.5. Melhorado o acesso à educação de grupos de mulheres específicos, tais como as mulheres rurais, mulheres com deficiência e mulheres imigrantes</w:t>
            </w:r>
          </w:p>
        </w:tc>
        <w:tc>
          <w:tcPr>
            <w:tcW w:w="4536" w:type="dxa"/>
            <w:shd w:val="clear" w:color="auto" w:fill="FFFFFF" w:themeFill="background1"/>
            <w:vAlign w:val="center"/>
          </w:tcPr>
          <w:p w14:paraId="6C1D8EA9"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3.5a Nº de mulheres (i) rurais, (ii) urbanas e (iii) imigrantes com acesso a programas de alfabetização, formação de adultos, formação profissional, língua</w:t>
            </w:r>
          </w:p>
        </w:tc>
        <w:tc>
          <w:tcPr>
            <w:tcW w:w="1134" w:type="dxa"/>
            <w:shd w:val="clear" w:color="auto" w:fill="FFFFFF" w:themeFill="background1"/>
            <w:vAlign w:val="center"/>
          </w:tcPr>
          <w:p w14:paraId="44F6CF3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4B7891D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B80315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DGI</w:t>
            </w:r>
            <w:proofErr w:type="spellEnd"/>
            <w:r>
              <w:rPr>
                <w:rFonts w:ascii="Garamond" w:eastAsia="Times New Roman" w:hAnsi="Garamond" w:cs="Times New Roman"/>
                <w:color w:val="000000"/>
                <w:sz w:val="20"/>
                <w:szCs w:val="20"/>
                <w:lang w:eastAsia="es-ES"/>
              </w:rPr>
              <w:t xml:space="preserve"> / </w:t>
            </w:r>
            <w:proofErr w:type="spellStart"/>
            <w:r>
              <w:rPr>
                <w:rFonts w:ascii="Garamond" w:eastAsia="Times New Roman" w:hAnsi="Garamond" w:cs="Times New Roman"/>
                <w:color w:val="000000"/>
                <w:sz w:val="20"/>
                <w:szCs w:val="20"/>
                <w:lang w:eastAsia="es-ES"/>
              </w:rPr>
              <w:t>DGAEA</w:t>
            </w:r>
            <w:proofErr w:type="spellEnd"/>
          </w:p>
        </w:tc>
      </w:tr>
      <w:tr w:rsidR="000417DE" w:rsidRPr="005808D4" w14:paraId="553E3DBE" w14:textId="77777777" w:rsidTr="00F7658F">
        <w:trPr>
          <w:trHeight w:val="615"/>
          <w:jc w:val="center"/>
        </w:trPr>
        <w:tc>
          <w:tcPr>
            <w:tcW w:w="2122" w:type="dxa"/>
            <w:vMerge/>
            <w:shd w:val="clear" w:color="auto" w:fill="FFFFFF" w:themeFill="background1"/>
          </w:tcPr>
          <w:p w14:paraId="03A9C201" w14:textId="77777777" w:rsidR="000417DE" w:rsidRPr="001A30C1" w:rsidRDefault="000417DE" w:rsidP="003455F1">
            <w:pPr>
              <w:rPr>
                <w:rFonts w:ascii="Garamond" w:hAnsi="Garamond" w:cs="Times New Roman"/>
                <w:sz w:val="20"/>
                <w:szCs w:val="20"/>
              </w:rPr>
            </w:pPr>
          </w:p>
        </w:tc>
        <w:tc>
          <w:tcPr>
            <w:tcW w:w="4536" w:type="dxa"/>
            <w:shd w:val="clear" w:color="auto" w:fill="FFFFFF" w:themeFill="background1"/>
            <w:vAlign w:val="center"/>
          </w:tcPr>
          <w:p w14:paraId="22844BD3"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3.5b Nº de mulheres e homens com deficiência que beneficiam dos incentivos disponibilizados para estudos (vários níveis)</w:t>
            </w:r>
          </w:p>
        </w:tc>
        <w:tc>
          <w:tcPr>
            <w:tcW w:w="1134" w:type="dxa"/>
            <w:shd w:val="clear" w:color="auto" w:fill="FFFFFF" w:themeFill="background1"/>
            <w:vAlign w:val="center"/>
          </w:tcPr>
          <w:p w14:paraId="485D9E9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4A9AD96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192511B"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sz w:val="20"/>
                <w:szCs w:val="20"/>
                <w:lang w:val="pt-PT" w:eastAsia="es-ES"/>
              </w:rPr>
              <w:t xml:space="preserve">Relatórios </w:t>
            </w:r>
            <w:proofErr w:type="spellStart"/>
            <w:r w:rsidRPr="00D27497">
              <w:rPr>
                <w:rFonts w:ascii="Garamond" w:eastAsia="Times New Roman" w:hAnsi="Garamond" w:cs="Times New Roman"/>
                <w:color w:val="000000"/>
                <w:sz w:val="20"/>
                <w:szCs w:val="20"/>
                <w:lang w:val="pt-PT" w:eastAsia="es-ES"/>
              </w:rPr>
              <w:t>DGES</w:t>
            </w:r>
            <w:proofErr w:type="spellEnd"/>
            <w:r w:rsidRPr="00D27497">
              <w:rPr>
                <w:rFonts w:ascii="Garamond" w:eastAsia="Times New Roman" w:hAnsi="Garamond" w:cs="Times New Roman"/>
                <w:color w:val="000000"/>
                <w:sz w:val="20"/>
                <w:szCs w:val="20"/>
                <w:lang w:val="pt-PT" w:eastAsia="es-ES"/>
              </w:rPr>
              <w:t xml:space="preserve"> / Instituições da EFE</w:t>
            </w:r>
          </w:p>
        </w:tc>
      </w:tr>
    </w:tbl>
    <w:p w14:paraId="4FD3800F" w14:textId="77777777" w:rsidR="000417DE" w:rsidRPr="00D27497" w:rsidRDefault="000417DE" w:rsidP="000417DE">
      <w:pPr>
        <w:rPr>
          <w:lang w:val="pt-PT"/>
        </w:rPr>
      </w:pPr>
    </w:p>
    <w:p w14:paraId="7FE497B6" w14:textId="5FAC951A" w:rsidR="000417DE" w:rsidRDefault="000417DE" w:rsidP="009F6506">
      <w:pPr>
        <w:rPr>
          <w:rFonts w:ascii="Garamond" w:hAnsi="Garamond"/>
          <w:b/>
          <w:sz w:val="20"/>
          <w:szCs w:val="20"/>
          <w:lang w:val="pt-PT"/>
        </w:rPr>
      </w:pPr>
      <w:r w:rsidRPr="00D27497">
        <w:rPr>
          <w:rFonts w:ascii="Garamond" w:hAnsi="Garamond"/>
          <w:b/>
          <w:sz w:val="20"/>
          <w:szCs w:val="20"/>
          <w:lang w:val="pt-PT"/>
        </w:rPr>
        <w:t>Eixo 4 - Saúde e direitos sexuais e reprodutivos</w:t>
      </w:r>
    </w:p>
    <w:p w14:paraId="7AE0FBDB" w14:textId="77777777" w:rsidR="00F7658F" w:rsidRPr="00D27497" w:rsidRDefault="00F7658F" w:rsidP="000417DE">
      <w:pPr>
        <w:rPr>
          <w:rFonts w:ascii="Garamond" w:hAnsi="Garamond"/>
          <w:b/>
          <w:sz w:val="20"/>
          <w:szCs w:val="20"/>
          <w:lang w:val="pt-PT"/>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4253"/>
        <w:gridCol w:w="1134"/>
        <w:gridCol w:w="922"/>
        <w:gridCol w:w="1701"/>
      </w:tblGrid>
      <w:tr w:rsidR="000417DE" w:rsidRPr="00D21977" w14:paraId="725D84CC" w14:textId="77777777" w:rsidTr="00F7658F">
        <w:trPr>
          <w:trHeight w:val="444"/>
          <w:tblHeader/>
          <w:jc w:val="center"/>
        </w:trPr>
        <w:tc>
          <w:tcPr>
            <w:tcW w:w="2405" w:type="dxa"/>
            <w:shd w:val="clear" w:color="auto" w:fill="DEEAF6" w:themeFill="accent5" w:themeFillTint="33"/>
            <w:vAlign w:val="center"/>
          </w:tcPr>
          <w:p w14:paraId="7F9D2044"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253" w:type="dxa"/>
            <w:shd w:val="clear" w:color="auto" w:fill="DEEAF6" w:themeFill="accent5" w:themeFillTint="33"/>
            <w:vAlign w:val="center"/>
          </w:tcPr>
          <w:p w14:paraId="49EBDA59"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134" w:type="dxa"/>
            <w:shd w:val="clear" w:color="auto" w:fill="DEEAF6" w:themeFill="accent5" w:themeFillTint="33"/>
            <w:vAlign w:val="center"/>
          </w:tcPr>
          <w:p w14:paraId="782455BB"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922" w:type="dxa"/>
            <w:shd w:val="clear" w:color="auto" w:fill="DEEAF6" w:themeFill="accent5" w:themeFillTint="33"/>
            <w:vAlign w:val="center"/>
          </w:tcPr>
          <w:p w14:paraId="24F9D920"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shd w:val="clear" w:color="auto" w:fill="DEEAF6" w:themeFill="accent5" w:themeFillTint="33"/>
            <w:vAlign w:val="center"/>
          </w:tcPr>
          <w:p w14:paraId="200B7393"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D21977" w14:paraId="5D2AA49C" w14:textId="77777777" w:rsidTr="00F7658F">
        <w:trPr>
          <w:trHeight w:val="615"/>
          <w:jc w:val="center"/>
        </w:trPr>
        <w:tc>
          <w:tcPr>
            <w:tcW w:w="2405" w:type="dxa"/>
            <w:shd w:val="clear" w:color="auto" w:fill="FFFFFF" w:themeFill="background1"/>
          </w:tcPr>
          <w:p w14:paraId="08BC815F"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4.1. </w:t>
            </w:r>
            <w:proofErr w:type="spellStart"/>
            <w:r w:rsidRPr="00D27497">
              <w:rPr>
                <w:rFonts w:ascii="Garamond" w:hAnsi="Garamond"/>
                <w:sz w:val="20"/>
                <w:szCs w:val="20"/>
                <w:lang w:val="pt-PT"/>
              </w:rPr>
              <w:t>Perspetiva</w:t>
            </w:r>
            <w:proofErr w:type="spellEnd"/>
            <w:r w:rsidRPr="00D27497">
              <w:rPr>
                <w:rFonts w:ascii="Garamond" w:hAnsi="Garamond"/>
                <w:sz w:val="20"/>
                <w:szCs w:val="20"/>
                <w:lang w:val="pt-PT"/>
              </w:rPr>
              <w:t xml:space="preserve"> de género melhor integrada nos planos, programas e abordagens para a educação e promoção da saúde e de estilos de vida saudáveis entre mulheres e homens</w:t>
            </w:r>
          </w:p>
        </w:tc>
        <w:tc>
          <w:tcPr>
            <w:tcW w:w="4253" w:type="dxa"/>
            <w:shd w:val="clear" w:color="auto" w:fill="FFFFFF" w:themeFill="background1"/>
            <w:vAlign w:val="center"/>
          </w:tcPr>
          <w:p w14:paraId="42BBC558"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4.1a Nº de</w:t>
            </w:r>
            <w:r w:rsidRPr="00D27497">
              <w:rPr>
                <w:rFonts w:ascii="Garamond" w:hAnsi="Garamond"/>
                <w:sz w:val="20"/>
                <w:szCs w:val="20"/>
                <w:lang w:val="pt-PT"/>
              </w:rPr>
              <w:t xml:space="preserve"> profissionais da saúde/intervenientes dos programas de (i) saúde mental, (ii) prevenção do consumo de álcool/drogas, (iii) prevenção das </w:t>
            </w:r>
            <w:proofErr w:type="spellStart"/>
            <w:r w:rsidRPr="00D27497">
              <w:rPr>
                <w:rFonts w:ascii="Garamond" w:hAnsi="Garamond"/>
                <w:sz w:val="20"/>
                <w:szCs w:val="20"/>
                <w:lang w:val="pt-PT"/>
              </w:rPr>
              <w:t>DNT</w:t>
            </w:r>
            <w:proofErr w:type="spellEnd"/>
            <w:r w:rsidRPr="00D27497">
              <w:rPr>
                <w:rFonts w:ascii="Garamond" w:hAnsi="Garamond"/>
                <w:sz w:val="20"/>
                <w:szCs w:val="20"/>
                <w:lang w:val="pt-PT"/>
              </w:rPr>
              <w:t xml:space="preserve"> e de (iv) educação para a saúde com adolescentes, com capacidades reforçadas para abordar as questões de género nas iniciativas de promoção da saúde</w:t>
            </w:r>
          </w:p>
        </w:tc>
        <w:tc>
          <w:tcPr>
            <w:tcW w:w="1134" w:type="dxa"/>
            <w:shd w:val="clear" w:color="auto" w:fill="FFFFFF" w:themeFill="background1"/>
            <w:vAlign w:val="center"/>
          </w:tcPr>
          <w:p w14:paraId="388EA4C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535417A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C1CEFD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r>
              <w:rPr>
                <w:rFonts w:ascii="Garamond" w:eastAsia="Times New Roman" w:hAnsi="Garamond" w:cs="Times New Roman"/>
                <w:color w:val="000000"/>
                <w:sz w:val="20"/>
                <w:szCs w:val="20"/>
                <w:lang w:eastAsia="es-ES"/>
              </w:rPr>
              <w:t>DNS</w:t>
            </w:r>
          </w:p>
        </w:tc>
      </w:tr>
      <w:tr w:rsidR="000417DE" w:rsidRPr="00D21977" w14:paraId="2DA8848F" w14:textId="77777777" w:rsidTr="00F7658F">
        <w:trPr>
          <w:trHeight w:val="845"/>
          <w:jc w:val="center"/>
        </w:trPr>
        <w:tc>
          <w:tcPr>
            <w:tcW w:w="2405" w:type="dxa"/>
            <w:vMerge w:val="restart"/>
            <w:shd w:val="clear" w:color="auto" w:fill="FFFFFF" w:themeFill="background1"/>
          </w:tcPr>
          <w:p w14:paraId="47F9DEC5"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4.2. Melhorado o acesso a serviços de </w:t>
            </w:r>
            <w:proofErr w:type="spellStart"/>
            <w:r w:rsidRPr="00D27497">
              <w:rPr>
                <w:rFonts w:ascii="Garamond" w:hAnsi="Garamond"/>
                <w:sz w:val="20"/>
                <w:szCs w:val="20"/>
                <w:lang w:val="pt-PT"/>
              </w:rPr>
              <w:t>SSR</w:t>
            </w:r>
            <w:proofErr w:type="spellEnd"/>
            <w:r w:rsidRPr="00D27497">
              <w:rPr>
                <w:rFonts w:ascii="Garamond" w:hAnsi="Garamond"/>
                <w:sz w:val="20"/>
                <w:szCs w:val="20"/>
                <w:lang w:val="pt-PT"/>
              </w:rPr>
              <w:t xml:space="preserve"> sensíveis ao género, em particular para as/os adolescentes, e a promoção do exercício de masculinidades positivas</w:t>
            </w:r>
          </w:p>
        </w:tc>
        <w:tc>
          <w:tcPr>
            <w:tcW w:w="4253" w:type="dxa"/>
            <w:shd w:val="clear" w:color="auto" w:fill="FFFFFF" w:themeFill="background1"/>
            <w:vAlign w:val="center"/>
          </w:tcPr>
          <w:p w14:paraId="57E40D3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4.2a Nº de </w:t>
            </w:r>
            <w:proofErr w:type="spellStart"/>
            <w:r w:rsidRPr="00D27497">
              <w:rPr>
                <w:rFonts w:ascii="Garamond" w:hAnsi="Garamond"/>
                <w:sz w:val="20"/>
                <w:szCs w:val="20"/>
                <w:lang w:val="pt-PT"/>
              </w:rPr>
              <w:t>ESAD</w:t>
            </w:r>
            <w:proofErr w:type="spellEnd"/>
            <w:r w:rsidRPr="00D27497">
              <w:rPr>
                <w:rFonts w:ascii="Garamond" w:hAnsi="Garamond"/>
                <w:sz w:val="20"/>
                <w:szCs w:val="20"/>
                <w:lang w:val="pt-PT"/>
              </w:rPr>
              <w:t xml:space="preserve"> em funcionamento com pessoal/parceiros formados em género e masculinidades</w:t>
            </w:r>
          </w:p>
        </w:tc>
        <w:tc>
          <w:tcPr>
            <w:tcW w:w="1134" w:type="dxa"/>
            <w:shd w:val="clear" w:color="auto" w:fill="FFFFFF" w:themeFill="background1"/>
            <w:vAlign w:val="center"/>
          </w:tcPr>
          <w:p w14:paraId="62DB2B0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0D0D982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D932BB8"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72010EF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ESAD / </w:t>
            </w:r>
            <w:proofErr w:type="spellStart"/>
            <w:r>
              <w:rPr>
                <w:rFonts w:ascii="Garamond" w:eastAsia="Times New Roman" w:hAnsi="Garamond" w:cs="Times New Roman"/>
                <w:color w:val="000000"/>
                <w:sz w:val="20"/>
                <w:szCs w:val="20"/>
                <w:lang w:eastAsia="es-ES"/>
              </w:rPr>
              <w:t>PNSR</w:t>
            </w:r>
            <w:proofErr w:type="spellEnd"/>
          </w:p>
        </w:tc>
      </w:tr>
      <w:tr w:rsidR="000417DE" w:rsidRPr="00D21977" w14:paraId="6986C4E5" w14:textId="77777777" w:rsidTr="00F7658F">
        <w:trPr>
          <w:trHeight w:val="939"/>
          <w:jc w:val="center"/>
        </w:trPr>
        <w:tc>
          <w:tcPr>
            <w:tcW w:w="2405" w:type="dxa"/>
            <w:vMerge/>
            <w:shd w:val="clear" w:color="auto" w:fill="FFFFFF" w:themeFill="background1"/>
          </w:tcPr>
          <w:p w14:paraId="34F21F9E" w14:textId="77777777" w:rsidR="000417DE" w:rsidRPr="001A30C1" w:rsidRDefault="000417DE" w:rsidP="003455F1">
            <w:pPr>
              <w:rPr>
                <w:rFonts w:ascii="Garamond" w:hAnsi="Garamond" w:cs="Times New Roman"/>
                <w:sz w:val="20"/>
                <w:szCs w:val="20"/>
              </w:rPr>
            </w:pPr>
          </w:p>
        </w:tc>
        <w:tc>
          <w:tcPr>
            <w:tcW w:w="4253" w:type="dxa"/>
            <w:shd w:val="clear" w:color="auto" w:fill="FFFFFF" w:themeFill="background1"/>
            <w:vAlign w:val="center"/>
          </w:tcPr>
          <w:p w14:paraId="47B3B6A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4.2b Nº de adolescentes (M e H) atendidos nos </w:t>
            </w:r>
            <w:proofErr w:type="spellStart"/>
            <w:r w:rsidRPr="00D27497">
              <w:rPr>
                <w:rFonts w:ascii="Garamond" w:hAnsi="Garamond"/>
                <w:sz w:val="20"/>
                <w:szCs w:val="20"/>
                <w:lang w:val="pt-PT"/>
              </w:rPr>
              <w:t>ESAD</w:t>
            </w:r>
            <w:proofErr w:type="spellEnd"/>
            <w:r w:rsidRPr="00D27497">
              <w:rPr>
                <w:rFonts w:ascii="Garamond" w:hAnsi="Garamond"/>
                <w:sz w:val="20"/>
                <w:szCs w:val="20"/>
                <w:lang w:val="pt-PT"/>
              </w:rPr>
              <w:t xml:space="preserve"> (por tipo de prestação)</w:t>
            </w:r>
          </w:p>
        </w:tc>
        <w:tc>
          <w:tcPr>
            <w:tcW w:w="1134" w:type="dxa"/>
            <w:shd w:val="clear" w:color="auto" w:fill="FFFFFF" w:themeFill="background1"/>
            <w:vAlign w:val="center"/>
          </w:tcPr>
          <w:p w14:paraId="5474199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05066A4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622911DE"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5C9F623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ESAD / </w:t>
            </w:r>
            <w:proofErr w:type="spellStart"/>
            <w:r>
              <w:rPr>
                <w:rFonts w:ascii="Garamond" w:eastAsia="Times New Roman" w:hAnsi="Garamond" w:cs="Times New Roman"/>
                <w:color w:val="000000"/>
                <w:sz w:val="20"/>
                <w:szCs w:val="20"/>
                <w:lang w:eastAsia="es-ES"/>
              </w:rPr>
              <w:t>PNSR</w:t>
            </w:r>
            <w:proofErr w:type="spellEnd"/>
          </w:p>
        </w:tc>
      </w:tr>
      <w:tr w:rsidR="000417DE" w:rsidRPr="00D21977" w14:paraId="39A6ED90" w14:textId="77777777" w:rsidTr="00F7658F">
        <w:trPr>
          <w:trHeight w:val="615"/>
          <w:jc w:val="center"/>
        </w:trPr>
        <w:tc>
          <w:tcPr>
            <w:tcW w:w="2405" w:type="dxa"/>
            <w:vMerge/>
            <w:shd w:val="clear" w:color="auto" w:fill="FFFFFF" w:themeFill="background1"/>
          </w:tcPr>
          <w:p w14:paraId="723C6FE3" w14:textId="77777777" w:rsidR="000417DE" w:rsidRPr="001A30C1" w:rsidRDefault="000417DE" w:rsidP="003455F1">
            <w:pPr>
              <w:rPr>
                <w:rFonts w:ascii="Garamond" w:hAnsi="Garamond" w:cs="Times New Roman"/>
                <w:sz w:val="20"/>
                <w:szCs w:val="20"/>
              </w:rPr>
            </w:pPr>
          </w:p>
        </w:tc>
        <w:tc>
          <w:tcPr>
            <w:tcW w:w="4253" w:type="dxa"/>
            <w:shd w:val="clear" w:color="auto" w:fill="FFFFFF" w:themeFill="background1"/>
            <w:vAlign w:val="center"/>
          </w:tcPr>
          <w:p w14:paraId="139D4A7C"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4.2c Existência de elementos curriculares reforçados de educação afectivo-sexual sensível ao género</w:t>
            </w:r>
          </w:p>
        </w:tc>
        <w:tc>
          <w:tcPr>
            <w:tcW w:w="1134" w:type="dxa"/>
            <w:shd w:val="clear" w:color="auto" w:fill="FFFFFF" w:themeFill="background1"/>
            <w:vAlign w:val="center"/>
          </w:tcPr>
          <w:p w14:paraId="143F23A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922" w:type="dxa"/>
            <w:shd w:val="clear" w:color="auto" w:fill="FFFFFF" w:themeFill="background1"/>
            <w:vAlign w:val="center"/>
          </w:tcPr>
          <w:p w14:paraId="5546B44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47DD02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DNE</w:t>
            </w:r>
            <w:proofErr w:type="spellEnd"/>
          </w:p>
        </w:tc>
      </w:tr>
      <w:tr w:rsidR="000417DE" w:rsidRPr="00D21977" w14:paraId="1304F13C" w14:textId="77777777" w:rsidTr="00F7658F">
        <w:trPr>
          <w:trHeight w:val="745"/>
          <w:jc w:val="center"/>
        </w:trPr>
        <w:tc>
          <w:tcPr>
            <w:tcW w:w="2405" w:type="dxa"/>
            <w:vMerge w:val="restart"/>
            <w:shd w:val="clear" w:color="auto" w:fill="FFFFFF" w:themeFill="background1"/>
          </w:tcPr>
          <w:p w14:paraId="53F48A26"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4.3. Melhorada a sensibilidade de género das medidas promotoras da mudança de comportamento no contexto das IST/VIH/SIDA</w:t>
            </w:r>
          </w:p>
        </w:tc>
        <w:tc>
          <w:tcPr>
            <w:tcW w:w="4253" w:type="dxa"/>
            <w:shd w:val="clear" w:color="auto" w:fill="FFFFFF" w:themeFill="background1"/>
            <w:vAlign w:val="center"/>
          </w:tcPr>
          <w:p w14:paraId="6764AFAA"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4.3.a Número de iniciativas de prevenção das IST/VIH/SIDA que trabalham questões de género e masculinidades (por grupo alvo)</w:t>
            </w:r>
          </w:p>
        </w:tc>
        <w:tc>
          <w:tcPr>
            <w:tcW w:w="1134" w:type="dxa"/>
            <w:shd w:val="clear" w:color="auto" w:fill="FFFFFF" w:themeFill="background1"/>
            <w:vAlign w:val="center"/>
          </w:tcPr>
          <w:p w14:paraId="1CB4012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922" w:type="dxa"/>
            <w:shd w:val="clear" w:color="auto" w:fill="FFFFFF" w:themeFill="background1"/>
            <w:vAlign w:val="center"/>
          </w:tcPr>
          <w:p w14:paraId="409BDF7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6D8FD4C"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3D7A2C5E"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CCS-</w:t>
            </w:r>
            <w:proofErr w:type="spellStart"/>
            <w:r>
              <w:rPr>
                <w:rFonts w:ascii="Garamond" w:eastAsia="Times New Roman" w:hAnsi="Garamond" w:cs="Times New Roman"/>
                <w:color w:val="000000"/>
                <w:sz w:val="20"/>
                <w:szCs w:val="20"/>
                <w:lang w:eastAsia="es-ES"/>
              </w:rPr>
              <w:t>SIDA</w:t>
            </w:r>
            <w:proofErr w:type="spellEnd"/>
          </w:p>
        </w:tc>
      </w:tr>
      <w:tr w:rsidR="000417DE" w:rsidRPr="00D21977" w14:paraId="77F3E4C6" w14:textId="77777777" w:rsidTr="00F7658F">
        <w:trPr>
          <w:trHeight w:val="615"/>
          <w:jc w:val="center"/>
        </w:trPr>
        <w:tc>
          <w:tcPr>
            <w:tcW w:w="2405" w:type="dxa"/>
            <w:vMerge/>
            <w:shd w:val="clear" w:color="auto" w:fill="FFFFFF" w:themeFill="background1"/>
          </w:tcPr>
          <w:p w14:paraId="3FA75188" w14:textId="77777777" w:rsidR="000417DE" w:rsidRPr="00C44552" w:rsidRDefault="000417DE" w:rsidP="003455F1">
            <w:pPr>
              <w:rPr>
                <w:rFonts w:ascii="Garamond" w:hAnsi="Garamond" w:cs="Times New Roman"/>
                <w:sz w:val="20"/>
                <w:szCs w:val="20"/>
              </w:rPr>
            </w:pPr>
          </w:p>
        </w:tc>
        <w:tc>
          <w:tcPr>
            <w:tcW w:w="4253" w:type="dxa"/>
            <w:shd w:val="clear" w:color="auto" w:fill="FFFFFF" w:themeFill="background1"/>
            <w:vAlign w:val="center"/>
          </w:tcPr>
          <w:p w14:paraId="10EF93D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4.3.b Número de TS que vivem exclusivamente do TS</w:t>
            </w:r>
          </w:p>
        </w:tc>
        <w:tc>
          <w:tcPr>
            <w:tcW w:w="1134" w:type="dxa"/>
            <w:shd w:val="clear" w:color="auto" w:fill="FFFFFF" w:themeFill="background1"/>
            <w:vAlign w:val="center"/>
          </w:tcPr>
          <w:p w14:paraId="52086DB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sidRPr="00CA1F31">
              <w:rPr>
                <w:rFonts w:ascii="Garamond" w:eastAsia="Times New Roman" w:hAnsi="Garamond" w:cs="Times New Roman"/>
                <w:color w:val="000000"/>
                <w:sz w:val="20"/>
                <w:szCs w:val="20"/>
                <w:lang w:eastAsia="es-ES"/>
              </w:rPr>
              <w:t>48%</w:t>
            </w:r>
          </w:p>
        </w:tc>
        <w:tc>
          <w:tcPr>
            <w:tcW w:w="922" w:type="dxa"/>
            <w:shd w:val="clear" w:color="auto" w:fill="FFFFFF" w:themeFill="background1"/>
            <w:vAlign w:val="center"/>
          </w:tcPr>
          <w:p w14:paraId="2866A714"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2017</w:t>
            </w:r>
          </w:p>
        </w:tc>
        <w:tc>
          <w:tcPr>
            <w:tcW w:w="1701" w:type="dxa"/>
            <w:shd w:val="clear" w:color="auto" w:fill="FFFFFF" w:themeFill="background1"/>
            <w:vAlign w:val="center"/>
          </w:tcPr>
          <w:p w14:paraId="052485AF" w14:textId="77777777" w:rsidR="000417DE" w:rsidRPr="00D27497" w:rsidRDefault="000417DE" w:rsidP="003455F1">
            <w:pPr>
              <w:spacing w:before="60" w:after="60"/>
              <w:jc w:val="center"/>
              <w:rPr>
                <w:rFonts w:ascii="Garamond" w:eastAsia="Times New Roman" w:hAnsi="Garamond" w:cs="Times New Roman"/>
                <w:sz w:val="20"/>
                <w:szCs w:val="20"/>
                <w:lang w:val="pt-PT" w:eastAsia="es-ES"/>
              </w:rPr>
            </w:pPr>
            <w:r w:rsidRPr="00D27497">
              <w:rPr>
                <w:rFonts w:ascii="Garamond" w:eastAsia="Times New Roman" w:hAnsi="Garamond" w:cs="Times New Roman"/>
                <w:sz w:val="20"/>
                <w:szCs w:val="20"/>
                <w:lang w:val="pt-PT" w:eastAsia="es-ES"/>
              </w:rPr>
              <w:t xml:space="preserve">Estudo </w:t>
            </w:r>
            <w:proofErr w:type="spellStart"/>
            <w:r w:rsidRPr="00D27497">
              <w:rPr>
                <w:rFonts w:ascii="Garamond" w:eastAsia="Times New Roman" w:hAnsi="Garamond" w:cs="Times New Roman"/>
                <w:sz w:val="20"/>
                <w:szCs w:val="20"/>
                <w:lang w:val="pt-PT" w:eastAsia="es-ES"/>
              </w:rPr>
              <w:t>sócio-comportamental</w:t>
            </w:r>
            <w:proofErr w:type="spellEnd"/>
            <w:r w:rsidRPr="00D27497">
              <w:rPr>
                <w:rFonts w:ascii="Garamond" w:eastAsia="Times New Roman" w:hAnsi="Garamond" w:cs="Times New Roman"/>
                <w:sz w:val="20"/>
                <w:szCs w:val="20"/>
                <w:lang w:val="pt-PT" w:eastAsia="es-ES"/>
              </w:rPr>
              <w:t xml:space="preserve"> e </w:t>
            </w:r>
            <w:proofErr w:type="spellStart"/>
            <w:r w:rsidRPr="00D27497">
              <w:rPr>
                <w:rFonts w:ascii="Garamond" w:eastAsia="Times New Roman" w:hAnsi="Garamond" w:cs="Times New Roman"/>
                <w:sz w:val="20"/>
                <w:szCs w:val="20"/>
                <w:lang w:val="pt-PT" w:eastAsia="es-ES"/>
              </w:rPr>
              <w:t>seroprevalência</w:t>
            </w:r>
            <w:proofErr w:type="spellEnd"/>
            <w:r w:rsidRPr="00D27497">
              <w:rPr>
                <w:rFonts w:ascii="Garamond" w:eastAsia="Times New Roman" w:hAnsi="Garamond" w:cs="Times New Roman"/>
                <w:sz w:val="20"/>
                <w:szCs w:val="20"/>
                <w:lang w:val="pt-PT" w:eastAsia="es-ES"/>
              </w:rPr>
              <w:t xml:space="preserve"> VIH em TS </w:t>
            </w:r>
          </w:p>
          <w:p w14:paraId="65292EC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CCS-</w:t>
            </w:r>
            <w:proofErr w:type="spellStart"/>
            <w:r>
              <w:rPr>
                <w:rFonts w:ascii="Garamond" w:eastAsia="Times New Roman" w:hAnsi="Garamond" w:cs="Times New Roman"/>
                <w:color w:val="000000"/>
                <w:sz w:val="20"/>
                <w:szCs w:val="20"/>
                <w:lang w:eastAsia="es-ES"/>
              </w:rPr>
              <w:t>SIDA</w:t>
            </w:r>
            <w:proofErr w:type="spellEnd"/>
          </w:p>
        </w:tc>
      </w:tr>
      <w:tr w:rsidR="000417DE" w:rsidRPr="00D21977" w14:paraId="321B5288" w14:textId="77777777" w:rsidTr="00F7658F">
        <w:trPr>
          <w:trHeight w:val="867"/>
          <w:jc w:val="center"/>
        </w:trPr>
        <w:tc>
          <w:tcPr>
            <w:tcW w:w="2405" w:type="dxa"/>
            <w:vMerge w:val="restart"/>
            <w:shd w:val="clear" w:color="auto" w:fill="FFFFFF" w:themeFill="background1"/>
          </w:tcPr>
          <w:p w14:paraId="629C7C62"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 xml:space="preserve">4.4. Melhorada a compreensão das especificidades das mulheres com deficiência e mulheres imigrantes no exercício dos seus direitos e saúde sexual e reprodutiva e tidas em conta nos serviços de </w:t>
            </w:r>
            <w:proofErr w:type="spellStart"/>
            <w:r w:rsidRPr="00D27497">
              <w:rPr>
                <w:rFonts w:ascii="Garamond" w:hAnsi="Garamond"/>
                <w:sz w:val="20"/>
                <w:szCs w:val="20"/>
                <w:lang w:val="pt-PT"/>
              </w:rPr>
              <w:t>SSR</w:t>
            </w:r>
            <w:proofErr w:type="spellEnd"/>
          </w:p>
        </w:tc>
        <w:tc>
          <w:tcPr>
            <w:tcW w:w="4253" w:type="dxa"/>
            <w:shd w:val="clear" w:color="auto" w:fill="FFFFFF" w:themeFill="background1"/>
            <w:vAlign w:val="center"/>
          </w:tcPr>
          <w:p w14:paraId="285CB091"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4.4a Nº de pessoas (</w:t>
            </w:r>
            <w:proofErr w:type="spellStart"/>
            <w:r w:rsidRPr="00D27497">
              <w:rPr>
                <w:rFonts w:ascii="Garamond" w:hAnsi="Garamond"/>
                <w:bCs/>
                <w:sz w:val="20"/>
                <w:szCs w:val="20"/>
                <w:lang w:val="pt-PT"/>
              </w:rPr>
              <w:t>McD</w:t>
            </w:r>
            <w:proofErr w:type="spellEnd"/>
            <w:r w:rsidRPr="00D27497">
              <w:rPr>
                <w:rFonts w:ascii="Garamond" w:hAnsi="Garamond"/>
                <w:bCs/>
                <w:sz w:val="20"/>
                <w:szCs w:val="20"/>
                <w:lang w:val="pt-PT"/>
              </w:rPr>
              <w:t xml:space="preserve">, </w:t>
            </w:r>
            <w:proofErr w:type="spellStart"/>
            <w:r w:rsidRPr="00D27497">
              <w:rPr>
                <w:rFonts w:ascii="Garamond" w:hAnsi="Garamond"/>
                <w:bCs/>
                <w:sz w:val="20"/>
                <w:szCs w:val="20"/>
                <w:lang w:val="pt-PT"/>
              </w:rPr>
              <w:t>OSC</w:t>
            </w:r>
            <w:proofErr w:type="spellEnd"/>
            <w:r w:rsidRPr="00D27497">
              <w:rPr>
                <w:rFonts w:ascii="Garamond" w:hAnsi="Garamond"/>
                <w:bCs/>
                <w:sz w:val="20"/>
                <w:szCs w:val="20"/>
                <w:lang w:val="pt-PT"/>
              </w:rPr>
              <w:t xml:space="preserve"> de </w:t>
            </w:r>
            <w:proofErr w:type="spellStart"/>
            <w:r w:rsidRPr="00D27497">
              <w:rPr>
                <w:rFonts w:ascii="Garamond" w:hAnsi="Garamond"/>
                <w:bCs/>
                <w:sz w:val="20"/>
                <w:szCs w:val="20"/>
                <w:lang w:val="pt-PT"/>
              </w:rPr>
              <w:t>PcD</w:t>
            </w:r>
            <w:proofErr w:type="spellEnd"/>
            <w:r w:rsidRPr="00D27497">
              <w:rPr>
                <w:rFonts w:ascii="Garamond" w:hAnsi="Garamond"/>
                <w:bCs/>
                <w:sz w:val="20"/>
                <w:szCs w:val="20"/>
                <w:lang w:val="pt-PT"/>
              </w:rPr>
              <w:t xml:space="preserve">, </w:t>
            </w:r>
            <w:r w:rsidRPr="00D27497">
              <w:rPr>
                <w:rFonts w:ascii="Garamond" w:hAnsi="Garamond"/>
                <w:sz w:val="20"/>
                <w:szCs w:val="20"/>
                <w:lang w:val="pt-PT"/>
              </w:rPr>
              <w:t xml:space="preserve">famílias e cuidadores de </w:t>
            </w:r>
            <w:proofErr w:type="spellStart"/>
            <w:r w:rsidRPr="00D27497">
              <w:rPr>
                <w:rFonts w:ascii="Garamond" w:hAnsi="Garamond"/>
                <w:sz w:val="20"/>
                <w:szCs w:val="20"/>
                <w:lang w:val="pt-PT"/>
              </w:rPr>
              <w:t>PcD</w:t>
            </w:r>
            <w:proofErr w:type="spellEnd"/>
            <w:r w:rsidRPr="00D27497">
              <w:rPr>
                <w:rFonts w:ascii="Garamond" w:hAnsi="Garamond"/>
                <w:sz w:val="20"/>
                <w:szCs w:val="20"/>
                <w:lang w:val="pt-PT"/>
              </w:rPr>
              <w:t xml:space="preserve">), com acesso a abordagens educativas em matéria de </w:t>
            </w:r>
            <w:proofErr w:type="spellStart"/>
            <w:r w:rsidRPr="00D27497">
              <w:rPr>
                <w:rFonts w:ascii="Garamond" w:hAnsi="Garamond"/>
                <w:sz w:val="20"/>
                <w:szCs w:val="20"/>
                <w:lang w:val="pt-PT"/>
              </w:rPr>
              <w:t>SSR</w:t>
            </w:r>
            <w:proofErr w:type="spellEnd"/>
            <w:r w:rsidRPr="00D27497">
              <w:rPr>
                <w:rFonts w:ascii="Garamond" w:hAnsi="Garamond"/>
                <w:sz w:val="20"/>
                <w:szCs w:val="20"/>
                <w:lang w:val="pt-PT"/>
              </w:rPr>
              <w:t xml:space="preserve"> das mulheres com </w:t>
            </w:r>
            <w:r w:rsidRPr="00D27497">
              <w:rPr>
                <w:rFonts w:ascii="Garamond" w:hAnsi="Garamond"/>
                <w:bCs/>
                <w:sz w:val="20"/>
                <w:szCs w:val="20"/>
                <w:lang w:val="pt-PT"/>
              </w:rPr>
              <w:t>deficiência</w:t>
            </w:r>
          </w:p>
        </w:tc>
        <w:tc>
          <w:tcPr>
            <w:tcW w:w="1134" w:type="dxa"/>
            <w:shd w:val="clear" w:color="auto" w:fill="FFFFFF" w:themeFill="background1"/>
            <w:vAlign w:val="center"/>
          </w:tcPr>
          <w:p w14:paraId="06EE72E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04BB0C0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6C8D83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3D2AB568" w14:textId="77777777" w:rsidTr="00F7658F">
        <w:trPr>
          <w:trHeight w:val="1317"/>
          <w:jc w:val="center"/>
        </w:trPr>
        <w:tc>
          <w:tcPr>
            <w:tcW w:w="2405" w:type="dxa"/>
            <w:vMerge/>
            <w:shd w:val="clear" w:color="auto" w:fill="FFFFFF" w:themeFill="background1"/>
          </w:tcPr>
          <w:p w14:paraId="5D39E6BF" w14:textId="77777777" w:rsidR="000417DE" w:rsidRPr="001A30C1" w:rsidRDefault="000417DE" w:rsidP="003455F1">
            <w:pPr>
              <w:rPr>
                <w:rFonts w:ascii="Garamond" w:hAnsi="Garamond" w:cs="Times New Roman"/>
                <w:sz w:val="20"/>
                <w:szCs w:val="20"/>
              </w:rPr>
            </w:pPr>
          </w:p>
        </w:tc>
        <w:tc>
          <w:tcPr>
            <w:tcW w:w="4253" w:type="dxa"/>
            <w:shd w:val="clear" w:color="auto" w:fill="FFFFFF" w:themeFill="background1"/>
            <w:vAlign w:val="center"/>
          </w:tcPr>
          <w:p w14:paraId="11562833"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4.4b Percentagem de estruturas de saúde que prestam serviços de </w:t>
            </w:r>
            <w:proofErr w:type="spellStart"/>
            <w:r w:rsidRPr="00D27497">
              <w:rPr>
                <w:rFonts w:ascii="Garamond" w:hAnsi="Garamond"/>
                <w:bCs/>
                <w:sz w:val="20"/>
                <w:szCs w:val="20"/>
                <w:lang w:val="pt-PT"/>
              </w:rPr>
              <w:t>SSR</w:t>
            </w:r>
            <w:proofErr w:type="spellEnd"/>
            <w:r w:rsidRPr="00D27497">
              <w:rPr>
                <w:rFonts w:ascii="Garamond" w:hAnsi="Garamond"/>
                <w:bCs/>
                <w:sz w:val="20"/>
                <w:szCs w:val="20"/>
                <w:lang w:val="pt-PT"/>
              </w:rPr>
              <w:t xml:space="preserve"> (incluindo hospitais) com equipamentos e materiais adaptados às necessidades </w:t>
            </w:r>
            <w:r w:rsidRPr="00D27497">
              <w:rPr>
                <w:rFonts w:ascii="Garamond" w:hAnsi="Garamond"/>
                <w:sz w:val="20"/>
                <w:szCs w:val="20"/>
                <w:lang w:val="pt-PT"/>
              </w:rPr>
              <w:t xml:space="preserve">em matéria de </w:t>
            </w:r>
            <w:proofErr w:type="spellStart"/>
            <w:r w:rsidRPr="00D27497">
              <w:rPr>
                <w:rFonts w:ascii="Garamond" w:hAnsi="Garamond"/>
                <w:sz w:val="20"/>
                <w:szCs w:val="20"/>
                <w:lang w:val="pt-PT"/>
              </w:rPr>
              <w:t>SSR</w:t>
            </w:r>
            <w:proofErr w:type="spellEnd"/>
            <w:r w:rsidRPr="00D27497">
              <w:rPr>
                <w:rFonts w:ascii="Garamond" w:hAnsi="Garamond"/>
                <w:sz w:val="20"/>
                <w:szCs w:val="20"/>
                <w:lang w:val="pt-PT"/>
              </w:rPr>
              <w:t xml:space="preserve"> das mulheres com </w:t>
            </w:r>
            <w:r w:rsidRPr="00D27497">
              <w:rPr>
                <w:rFonts w:ascii="Garamond" w:hAnsi="Garamond"/>
                <w:bCs/>
                <w:sz w:val="20"/>
                <w:szCs w:val="20"/>
                <w:lang w:val="pt-PT"/>
              </w:rPr>
              <w:t>deficiência</w:t>
            </w:r>
          </w:p>
        </w:tc>
        <w:tc>
          <w:tcPr>
            <w:tcW w:w="1134" w:type="dxa"/>
            <w:shd w:val="clear" w:color="auto" w:fill="FFFFFF" w:themeFill="background1"/>
            <w:vAlign w:val="center"/>
          </w:tcPr>
          <w:p w14:paraId="3150D4D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05020B4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A7888F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r>
              <w:rPr>
                <w:rFonts w:ascii="Garamond" w:eastAsia="Times New Roman" w:hAnsi="Garamond" w:cs="Times New Roman"/>
                <w:color w:val="000000"/>
                <w:sz w:val="20"/>
                <w:szCs w:val="20"/>
                <w:lang w:eastAsia="es-ES"/>
              </w:rPr>
              <w:t xml:space="preserve">DNS / </w:t>
            </w:r>
            <w:proofErr w:type="spellStart"/>
            <w:r>
              <w:rPr>
                <w:rFonts w:ascii="Garamond" w:eastAsia="Times New Roman" w:hAnsi="Garamond" w:cs="Times New Roman"/>
                <w:color w:val="000000"/>
                <w:sz w:val="20"/>
                <w:szCs w:val="20"/>
                <w:lang w:eastAsia="es-ES"/>
              </w:rPr>
              <w:t>Hospitais</w:t>
            </w:r>
            <w:proofErr w:type="spellEnd"/>
          </w:p>
        </w:tc>
      </w:tr>
      <w:tr w:rsidR="000417DE" w:rsidRPr="00D21977" w14:paraId="42794A54" w14:textId="77777777" w:rsidTr="00F7658F">
        <w:trPr>
          <w:trHeight w:val="615"/>
          <w:jc w:val="center"/>
        </w:trPr>
        <w:tc>
          <w:tcPr>
            <w:tcW w:w="2405" w:type="dxa"/>
            <w:vMerge/>
            <w:shd w:val="clear" w:color="auto" w:fill="FFFFFF" w:themeFill="background1"/>
          </w:tcPr>
          <w:p w14:paraId="2A7E3C89" w14:textId="77777777" w:rsidR="000417DE" w:rsidRPr="001A30C1" w:rsidRDefault="000417DE" w:rsidP="003455F1">
            <w:pPr>
              <w:rPr>
                <w:rFonts w:ascii="Garamond" w:hAnsi="Garamond" w:cs="Times New Roman"/>
                <w:sz w:val="20"/>
                <w:szCs w:val="20"/>
              </w:rPr>
            </w:pPr>
          </w:p>
        </w:tc>
        <w:tc>
          <w:tcPr>
            <w:tcW w:w="4253" w:type="dxa"/>
            <w:shd w:val="clear" w:color="auto" w:fill="FFFFFF" w:themeFill="background1"/>
            <w:vAlign w:val="center"/>
          </w:tcPr>
          <w:p w14:paraId="47E520DF"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4.4c Nº de Delegacias / Centros de Saúde que têm iniciativas de abordagem da </w:t>
            </w:r>
            <w:proofErr w:type="spellStart"/>
            <w:r w:rsidRPr="00D27497">
              <w:rPr>
                <w:rFonts w:ascii="Garamond" w:hAnsi="Garamond"/>
                <w:sz w:val="20"/>
                <w:szCs w:val="20"/>
                <w:lang w:val="pt-PT"/>
              </w:rPr>
              <w:t>MGF</w:t>
            </w:r>
            <w:proofErr w:type="spellEnd"/>
            <w:r w:rsidRPr="00D27497">
              <w:rPr>
                <w:rFonts w:ascii="Garamond" w:hAnsi="Garamond"/>
                <w:sz w:val="20"/>
                <w:szCs w:val="20"/>
                <w:lang w:val="pt-PT"/>
              </w:rPr>
              <w:t xml:space="preserve"> nas prestações de </w:t>
            </w:r>
            <w:proofErr w:type="spellStart"/>
            <w:r w:rsidRPr="00D27497">
              <w:rPr>
                <w:rFonts w:ascii="Garamond" w:hAnsi="Garamond"/>
                <w:sz w:val="20"/>
                <w:szCs w:val="20"/>
                <w:lang w:val="pt-PT"/>
              </w:rPr>
              <w:t>SSR</w:t>
            </w:r>
            <w:proofErr w:type="spellEnd"/>
            <w:r w:rsidRPr="00D27497">
              <w:rPr>
                <w:rFonts w:ascii="Garamond" w:hAnsi="Garamond"/>
                <w:sz w:val="20"/>
                <w:szCs w:val="20"/>
                <w:lang w:val="pt-PT"/>
              </w:rPr>
              <w:t xml:space="preserve"> e de promoção da saúde (por ilhas)</w:t>
            </w:r>
          </w:p>
        </w:tc>
        <w:tc>
          <w:tcPr>
            <w:tcW w:w="1134" w:type="dxa"/>
            <w:shd w:val="clear" w:color="auto" w:fill="FFFFFF" w:themeFill="background1"/>
            <w:vAlign w:val="center"/>
          </w:tcPr>
          <w:p w14:paraId="3C2AE154"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922" w:type="dxa"/>
            <w:shd w:val="clear" w:color="auto" w:fill="FFFFFF" w:themeFill="background1"/>
            <w:vAlign w:val="center"/>
          </w:tcPr>
          <w:p w14:paraId="541336F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002FBD2E"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Levantamento</w:t>
            </w:r>
            <w:proofErr w:type="spellEnd"/>
            <w:r>
              <w:rPr>
                <w:rFonts w:ascii="Garamond" w:eastAsia="Times New Roman" w:hAnsi="Garamond" w:cs="Times New Roman"/>
                <w:color w:val="000000"/>
                <w:sz w:val="20"/>
                <w:szCs w:val="20"/>
                <w:lang w:eastAsia="es-ES"/>
              </w:rPr>
              <w:t xml:space="preserve"> DNS</w:t>
            </w:r>
          </w:p>
        </w:tc>
      </w:tr>
    </w:tbl>
    <w:p w14:paraId="6C8F2171" w14:textId="5BB8085E" w:rsidR="000417DE" w:rsidRDefault="000417DE" w:rsidP="000417DE"/>
    <w:p w14:paraId="3E25D7FD" w14:textId="4CDBD695" w:rsidR="00F7658F" w:rsidRDefault="00F7658F" w:rsidP="000417DE"/>
    <w:p w14:paraId="28C3EB85" w14:textId="7F2F1B8A" w:rsidR="00F7658F" w:rsidRDefault="00F7658F" w:rsidP="000417DE"/>
    <w:p w14:paraId="4D406F40" w14:textId="3BF8B64E" w:rsidR="00F7658F" w:rsidRDefault="00F7658F" w:rsidP="000417DE"/>
    <w:p w14:paraId="017156E5" w14:textId="242AF29A" w:rsidR="000417DE" w:rsidRDefault="000417DE" w:rsidP="009F6506">
      <w:pPr>
        <w:rPr>
          <w:rFonts w:ascii="Garamond" w:hAnsi="Garamond"/>
          <w:b/>
          <w:sz w:val="20"/>
          <w:szCs w:val="20"/>
          <w:lang w:val="pt-PT"/>
        </w:rPr>
      </w:pPr>
      <w:r w:rsidRPr="00D27497">
        <w:rPr>
          <w:rFonts w:ascii="Garamond" w:hAnsi="Garamond"/>
          <w:b/>
          <w:sz w:val="20"/>
          <w:szCs w:val="20"/>
          <w:lang w:val="pt-PT"/>
        </w:rPr>
        <w:t>Eixo 5 - Participação política e exercício do poder</w:t>
      </w:r>
    </w:p>
    <w:p w14:paraId="1EA9C31B" w14:textId="77777777" w:rsidR="00F7658F" w:rsidRPr="00D27497" w:rsidRDefault="00F7658F" w:rsidP="000417DE">
      <w:pPr>
        <w:rPr>
          <w:lang w:val="pt-PT"/>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4111"/>
        <w:gridCol w:w="1134"/>
        <w:gridCol w:w="1134"/>
        <w:gridCol w:w="1701"/>
      </w:tblGrid>
      <w:tr w:rsidR="000417DE" w:rsidRPr="00D21977" w14:paraId="6F2AD3A4" w14:textId="77777777" w:rsidTr="00582AC7">
        <w:trPr>
          <w:trHeight w:val="444"/>
          <w:tblHeader/>
          <w:jc w:val="center"/>
        </w:trPr>
        <w:tc>
          <w:tcPr>
            <w:tcW w:w="2335" w:type="dxa"/>
            <w:shd w:val="clear" w:color="auto" w:fill="DEEAF6" w:themeFill="accent5" w:themeFillTint="33"/>
            <w:vAlign w:val="center"/>
          </w:tcPr>
          <w:p w14:paraId="741F34E1"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4111" w:type="dxa"/>
            <w:shd w:val="clear" w:color="auto" w:fill="DEEAF6" w:themeFill="accent5" w:themeFillTint="33"/>
            <w:vAlign w:val="center"/>
          </w:tcPr>
          <w:p w14:paraId="6C3C8396"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134" w:type="dxa"/>
            <w:shd w:val="clear" w:color="auto" w:fill="DEEAF6" w:themeFill="accent5" w:themeFillTint="33"/>
            <w:vAlign w:val="center"/>
          </w:tcPr>
          <w:p w14:paraId="689113CA"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1134" w:type="dxa"/>
            <w:shd w:val="clear" w:color="auto" w:fill="DEEAF6" w:themeFill="accent5" w:themeFillTint="33"/>
            <w:vAlign w:val="center"/>
          </w:tcPr>
          <w:p w14:paraId="20B127CB"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shd w:val="clear" w:color="auto" w:fill="DEEAF6" w:themeFill="accent5" w:themeFillTint="33"/>
            <w:vAlign w:val="center"/>
          </w:tcPr>
          <w:p w14:paraId="47505071"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9E7255" w14:paraId="0E02EBB4" w14:textId="77777777" w:rsidTr="00DB5033">
        <w:trPr>
          <w:trHeight w:val="1013"/>
          <w:jc w:val="center"/>
        </w:trPr>
        <w:tc>
          <w:tcPr>
            <w:tcW w:w="2335" w:type="dxa"/>
            <w:vMerge w:val="restart"/>
            <w:shd w:val="clear" w:color="auto" w:fill="FFFFFF" w:themeFill="background1"/>
          </w:tcPr>
          <w:p w14:paraId="59063D8D"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5.1. Aumentado o conhecimento, compreensão e adesão dos(as) políticos(as), líderes comunitários(as), media e público em geral em matéria paridade e do quadro legal que protege a participação equilibrada de mulheres e homens na política e na tomada de decisão</w:t>
            </w:r>
          </w:p>
        </w:tc>
        <w:tc>
          <w:tcPr>
            <w:tcW w:w="4111" w:type="dxa"/>
            <w:shd w:val="clear" w:color="auto" w:fill="FFFFFF" w:themeFill="background1"/>
            <w:vAlign w:val="center"/>
          </w:tcPr>
          <w:p w14:paraId="5F74378B"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5.1b Nº chefias, responsáveis editoriais, e jornalistas formados </w:t>
            </w:r>
            <w:r w:rsidRPr="00D27497">
              <w:rPr>
                <w:rFonts w:ascii="Garamond" w:hAnsi="Garamond"/>
                <w:sz w:val="20"/>
                <w:szCs w:val="20"/>
                <w:lang w:val="pt-PT"/>
              </w:rPr>
              <w:t>sobre a Lei da Paridade e cobertura eleitoral sensível ao género</w:t>
            </w:r>
          </w:p>
        </w:tc>
        <w:tc>
          <w:tcPr>
            <w:tcW w:w="1134" w:type="dxa"/>
            <w:shd w:val="clear" w:color="auto" w:fill="FFFFFF" w:themeFill="background1"/>
            <w:vAlign w:val="center"/>
          </w:tcPr>
          <w:p w14:paraId="0883A9DD" w14:textId="77777777" w:rsidR="000417DE" w:rsidRPr="009E7255"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3E183902" w14:textId="77777777" w:rsidR="000417DE" w:rsidRPr="009E7255"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424FE4A2" w14:textId="77777777" w:rsidR="000417DE" w:rsidRPr="009E7255"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6B27AAFE" w14:textId="77777777" w:rsidTr="00582AC7">
        <w:trPr>
          <w:trHeight w:val="615"/>
          <w:jc w:val="center"/>
        </w:trPr>
        <w:tc>
          <w:tcPr>
            <w:tcW w:w="2335" w:type="dxa"/>
            <w:vMerge/>
            <w:shd w:val="clear" w:color="auto" w:fill="FFFFFF" w:themeFill="background1"/>
          </w:tcPr>
          <w:p w14:paraId="21190B7E" w14:textId="77777777" w:rsidR="000417DE" w:rsidRPr="00C44552" w:rsidRDefault="000417DE" w:rsidP="003455F1">
            <w:pPr>
              <w:rPr>
                <w:rFonts w:ascii="Garamond" w:hAnsi="Garamond" w:cs="Times New Roman"/>
                <w:sz w:val="20"/>
                <w:szCs w:val="20"/>
              </w:rPr>
            </w:pPr>
          </w:p>
        </w:tc>
        <w:tc>
          <w:tcPr>
            <w:tcW w:w="4111" w:type="dxa"/>
            <w:shd w:val="clear" w:color="auto" w:fill="FFFFFF" w:themeFill="background1"/>
            <w:vAlign w:val="center"/>
          </w:tcPr>
          <w:p w14:paraId="58DAB5F7" w14:textId="77777777" w:rsidR="000417DE" w:rsidRPr="00D27497" w:rsidRDefault="000417DE" w:rsidP="003455F1">
            <w:pPr>
              <w:rPr>
                <w:rFonts w:ascii="Garamond" w:hAnsi="Garamond"/>
                <w:sz w:val="20"/>
                <w:szCs w:val="20"/>
                <w:lang w:val="pt-PT"/>
              </w:rPr>
            </w:pPr>
            <w:r w:rsidRPr="00D27497">
              <w:rPr>
                <w:rFonts w:ascii="Garamond" w:hAnsi="Garamond"/>
                <w:color w:val="000000" w:themeColor="text1"/>
                <w:sz w:val="20"/>
                <w:szCs w:val="20"/>
                <w:lang w:val="pt-PT"/>
              </w:rPr>
              <w:t>5.1a Número de</w:t>
            </w:r>
            <w:r w:rsidRPr="00D27497">
              <w:rPr>
                <w:rFonts w:ascii="Garamond" w:hAnsi="Garamond"/>
                <w:sz w:val="20"/>
                <w:szCs w:val="20"/>
                <w:lang w:val="pt-PT"/>
              </w:rPr>
              <w:t xml:space="preserve"> (i) membros de partidos políticos (PP), (ii) das associações de mulheres dos PP e (iii) das juventudes partidárias, bem com das (iv) </w:t>
            </w:r>
            <w:proofErr w:type="spellStart"/>
            <w:r w:rsidRPr="00D27497">
              <w:rPr>
                <w:rFonts w:ascii="Garamond" w:hAnsi="Garamond"/>
                <w:sz w:val="20"/>
                <w:szCs w:val="20"/>
                <w:lang w:val="pt-PT"/>
              </w:rPr>
              <w:t>OSC</w:t>
            </w:r>
            <w:proofErr w:type="spellEnd"/>
            <w:r w:rsidRPr="00D27497">
              <w:rPr>
                <w:rFonts w:ascii="Garamond" w:hAnsi="Garamond"/>
                <w:sz w:val="20"/>
                <w:szCs w:val="20"/>
                <w:lang w:val="pt-PT"/>
              </w:rPr>
              <w:t xml:space="preserve"> de género e (v) </w:t>
            </w:r>
            <w:proofErr w:type="gramStart"/>
            <w:r w:rsidRPr="00D27497">
              <w:rPr>
                <w:rFonts w:ascii="Garamond" w:hAnsi="Garamond"/>
                <w:sz w:val="20"/>
                <w:szCs w:val="20"/>
                <w:lang w:val="pt-PT"/>
              </w:rPr>
              <w:t>universidades formados</w:t>
            </w:r>
            <w:proofErr w:type="gramEnd"/>
            <w:r w:rsidRPr="00D27497">
              <w:rPr>
                <w:rFonts w:ascii="Garamond" w:hAnsi="Garamond"/>
                <w:sz w:val="20"/>
                <w:szCs w:val="20"/>
                <w:lang w:val="pt-PT"/>
              </w:rPr>
              <w:t xml:space="preserve"> em </w:t>
            </w:r>
            <w:r w:rsidRPr="00D27497">
              <w:rPr>
                <w:rFonts w:ascii="Garamond" w:hAnsi="Garamond"/>
                <w:i/>
                <w:iCs/>
                <w:sz w:val="20"/>
                <w:szCs w:val="20"/>
                <w:lang w:val="pt-PT"/>
              </w:rPr>
              <w:t>género e participação na tomada de decisão</w:t>
            </w:r>
            <w:r w:rsidRPr="00D27497">
              <w:rPr>
                <w:rFonts w:ascii="Garamond" w:hAnsi="Garamond"/>
                <w:sz w:val="20"/>
                <w:szCs w:val="20"/>
                <w:lang w:val="pt-PT"/>
              </w:rPr>
              <w:t xml:space="preserve"> e </w:t>
            </w:r>
            <w:proofErr w:type="spellStart"/>
            <w:r w:rsidRPr="00D27497">
              <w:rPr>
                <w:rFonts w:ascii="Garamond" w:hAnsi="Garamond"/>
                <w:sz w:val="20"/>
                <w:szCs w:val="20"/>
                <w:lang w:val="pt-PT"/>
              </w:rPr>
              <w:t>ativos</w:t>
            </w:r>
            <w:proofErr w:type="spellEnd"/>
            <w:r w:rsidRPr="00D27497">
              <w:rPr>
                <w:rFonts w:ascii="Garamond" w:hAnsi="Garamond"/>
                <w:sz w:val="20"/>
                <w:szCs w:val="20"/>
                <w:lang w:val="pt-PT"/>
              </w:rPr>
              <w:t xml:space="preserve"> na sensibilização de diferentes grupos alvo (por sexo dos formados)</w:t>
            </w:r>
          </w:p>
        </w:tc>
        <w:tc>
          <w:tcPr>
            <w:tcW w:w="1134" w:type="dxa"/>
            <w:shd w:val="clear" w:color="auto" w:fill="FFFFFF" w:themeFill="background1"/>
            <w:vAlign w:val="center"/>
          </w:tcPr>
          <w:p w14:paraId="5983B2B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2C6C55E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3291C1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RMP</w:t>
            </w:r>
            <w:proofErr w:type="spellEnd"/>
            <w:r>
              <w:rPr>
                <w:rFonts w:ascii="Garamond" w:eastAsia="Times New Roman" w:hAnsi="Garamond" w:cs="Times New Roman"/>
                <w:color w:val="000000"/>
                <w:sz w:val="20"/>
                <w:szCs w:val="20"/>
                <w:lang w:eastAsia="es-ES"/>
              </w:rPr>
              <w:t xml:space="preserve">-CV /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7A919E0D" w14:textId="77777777" w:rsidTr="00DB5033">
        <w:trPr>
          <w:trHeight w:val="808"/>
          <w:jc w:val="center"/>
        </w:trPr>
        <w:tc>
          <w:tcPr>
            <w:tcW w:w="2335" w:type="dxa"/>
            <w:vMerge w:val="restart"/>
            <w:shd w:val="clear" w:color="auto" w:fill="FFFFFF" w:themeFill="background1"/>
          </w:tcPr>
          <w:p w14:paraId="6BD7D027"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5.2. Aumentadas as competências e mecanismos da Administração Pública central e local para a implementação dos princípios da paridade homem / mulher na tomada de decisão</w:t>
            </w:r>
          </w:p>
        </w:tc>
        <w:tc>
          <w:tcPr>
            <w:tcW w:w="4111" w:type="dxa"/>
            <w:shd w:val="clear" w:color="auto" w:fill="FFFFFF" w:themeFill="background1"/>
            <w:vAlign w:val="center"/>
          </w:tcPr>
          <w:p w14:paraId="51594800"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5.2a Existência de núcleo de funcionários formados da Administração Pública sobre a Lei da Paridade </w:t>
            </w:r>
          </w:p>
        </w:tc>
        <w:tc>
          <w:tcPr>
            <w:tcW w:w="1134" w:type="dxa"/>
            <w:shd w:val="clear" w:color="auto" w:fill="FFFFFF" w:themeFill="background1"/>
            <w:vAlign w:val="center"/>
          </w:tcPr>
          <w:p w14:paraId="692C0E2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1134" w:type="dxa"/>
            <w:shd w:val="clear" w:color="auto" w:fill="FFFFFF" w:themeFill="background1"/>
            <w:vAlign w:val="center"/>
          </w:tcPr>
          <w:p w14:paraId="5A26D191"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E428FC1"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color w:val="000000"/>
                <w:sz w:val="20"/>
                <w:szCs w:val="20"/>
                <w:lang w:eastAsia="es-ES"/>
              </w:rPr>
              <w:t>DNAP</w:t>
            </w:r>
            <w:proofErr w:type="spellEnd"/>
          </w:p>
        </w:tc>
      </w:tr>
      <w:tr w:rsidR="000417DE" w:rsidRPr="00D21977" w14:paraId="7D9FB7FD" w14:textId="77777777" w:rsidTr="00582AC7">
        <w:trPr>
          <w:trHeight w:val="615"/>
          <w:jc w:val="center"/>
        </w:trPr>
        <w:tc>
          <w:tcPr>
            <w:tcW w:w="2335" w:type="dxa"/>
            <w:vMerge/>
            <w:shd w:val="clear" w:color="auto" w:fill="FFFFFF" w:themeFill="background1"/>
          </w:tcPr>
          <w:p w14:paraId="3F6948BE" w14:textId="77777777" w:rsidR="000417DE" w:rsidRPr="00C44552" w:rsidRDefault="000417DE" w:rsidP="003455F1">
            <w:pPr>
              <w:rPr>
                <w:rFonts w:ascii="Garamond" w:hAnsi="Garamond" w:cs="Times New Roman"/>
                <w:sz w:val="20"/>
                <w:szCs w:val="20"/>
              </w:rPr>
            </w:pPr>
          </w:p>
        </w:tc>
        <w:tc>
          <w:tcPr>
            <w:tcW w:w="4111" w:type="dxa"/>
            <w:shd w:val="clear" w:color="auto" w:fill="FFFFFF" w:themeFill="background1"/>
            <w:vAlign w:val="center"/>
          </w:tcPr>
          <w:p w14:paraId="451869C7"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5.2b Número de funcionários da Administração Pública central, local e empresarial do Estado, e de ordens profissionais e sindicatos formados/sensibilizados sobre a Lei da Paridade</w:t>
            </w:r>
          </w:p>
        </w:tc>
        <w:tc>
          <w:tcPr>
            <w:tcW w:w="1134" w:type="dxa"/>
            <w:shd w:val="clear" w:color="auto" w:fill="FFFFFF" w:themeFill="background1"/>
            <w:vAlign w:val="center"/>
          </w:tcPr>
          <w:p w14:paraId="549EDF71"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6DEEDE5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FD3DBA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roofErr w:type="spellStart"/>
            <w:r>
              <w:rPr>
                <w:rFonts w:ascii="Garamond" w:eastAsia="Times New Roman" w:hAnsi="Garamond" w:cs="Times New Roman"/>
                <w:sz w:val="20"/>
                <w:szCs w:val="20"/>
                <w:lang w:eastAsia="es-ES"/>
              </w:rPr>
              <w:t>DNAP</w:t>
            </w:r>
            <w:proofErr w:type="spellEnd"/>
            <w:r>
              <w:rPr>
                <w:rFonts w:ascii="Garamond" w:eastAsia="Times New Roman" w:hAnsi="Garamond" w:cs="Times New Roman"/>
                <w:sz w:val="20"/>
                <w:szCs w:val="20"/>
                <w:lang w:eastAsia="es-ES"/>
              </w:rPr>
              <w:t xml:space="preserve"> /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32726E2B" w14:textId="77777777" w:rsidTr="00582AC7">
        <w:trPr>
          <w:trHeight w:val="615"/>
          <w:jc w:val="center"/>
        </w:trPr>
        <w:tc>
          <w:tcPr>
            <w:tcW w:w="2335" w:type="dxa"/>
            <w:vMerge w:val="restart"/>
            <w:shd w:val="clear" w:color="auto" w:fill="FFFFFF" w:themeFill="background1"/>
          </w:tcPr>
          <w:p w14:paraId="73626902"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5.3. Aumentadas as competências de liderança das mulheres na política a nível nacional e local</w:t>
            </w:r>
          </w:p>
        </w:tc>
        <w:tc>
          <w:tcPr>
            <w:tcW w:w="4111" w:type="dxa"/>
            <w:shd w:val="clear" w:color="auto" w:fill="FFFFFF" w:themeFill="background1"/>
            <w:vAlign w:val="center"/>
          </w:tcPr>
          <w:p w14:paraId="2163548F"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5.3a Nº de mulheres actualmente candidatas e potenciais candidatas a eleições formadas em liderança e participação política (por município)</w:t>
            </w:r>
          </w:p>
        </w:tc>
        <w:tc>
          <w:tcPr>
            <w:tcW w:w="1134" w:type="dxa"/>
            <w:shd w:val="clear" w:color="auto" w:fill="FFFFFF" w:themeFill="background1"/>
            <w:vAlign w:val="center"/>
          </w:tcPr>
          <w:p w14:paraId="7AAFBBE6"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42C8717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1EB5FFCF"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47235B4D"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RMP</w:t>
            </w:r>
            <w:proofErr w:type="spellEnd"/>
            <w:r>
              <w:rPr>
                <w:rFonts w:ascii="Garamond" w:eastAsia="Times New Roman" w:hAnsi="Garamond" w:cs="Times New Roman"/>
                <w:color w:val="000000"/>
                <w:sz w:val="20"/>
                <w:szCs w:val="20"/>
                <w:lang w:eastAsia="es-ES"/>
              </w:rPr>
              <w:t>-CV</w:t>
            </w:r>
          </w:p>
        </w:tc>
      </w:tr>
      <w:tr w:rsidR="000417DE" w:rsidRPr="00D21977" w14:paraId="62E325CF" w14:textId="77777777" w:rsidTr="00582AC7">
        <w:trPr>
          <w:trHeight w:val="615"/>
          <w:jc w:val="center"/>
        </w:trPr>
        <w:tc>
          <w:tcPr>
            <w:tcW w:w="2335" w:type="dxa"/>
            <w:vMerge/>
            <w:shd w:val="clear" w:color="auto" w:fill="FFFFFF" w:themeFill="background1"/>
          </w:tcPr>
          <w:p w14:paraId="6AF92F40" w14:textId="77777777" w:rsidR="000417DE" w:rsidRPr="00C44552" w:rsidRDefault="000417DE" w:rsidP="003455F1">
            <w:pPr>
              <w:rPr>
                <w:rFonts w:ascii="Garamond" w:hAnsi="Garamond" w:cs="Times New Roman"/>
                <w:sz w:val="20"/>
                <w:szCs w:val="20"/>
              </w:rPr>
            </w:pPr>
          </w:p>
        </w:tc>
        <w:tc>
          <w:tcPr>
            <w:tcW w:w="4111" w:type="dxa"/>
            <w:shd w:val="clear" w:color="auto" w:fill="FFFFFF" w:themeFill="background1"/>
            <w:vAlign w:val="center"/>
          </w:tcPr>
          <w:p w14:paraId="74969CF6"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5.3b Número de iniciativas de formação em temas de género e políticas públicas implementadas para novas eleitas nacionais e locais</w:t>
            </w:r>
          </w:p>
        </w:tc>
        <w:tc>
          <w:tcPr>
            <w:tcW w:w="1134" w:type="dxa"/>
            <w:shd w:val="clear" w:color="auto" w:fill="FFFFFF" w:themeFill="background1"/>
            <w:vAlign w:val="center"/>
          </w:tcPr>
          <w:p w14:paraId="51108D2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0304719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C861521"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1EE56F14"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RMP</w:t>
            </w:r>
            <w:proofErr w:type="spellEnd"/>
            <w:r>
              <w:rPr>
                <w:rFonts w:ascii="Garamond" w:eastAsia="Times New Roman" w:hAnsi="Garamond" w:cs="Times New Roman"/>
                <w:color w:val="000000"/>
                <w:sz w:val="20"/>
                <w:szCs w:val="20"/>
                <w:lang w:eastAsia="es-ES"/>
              </w:rPr>
              <w:t xml:space="preserve">-CV / </w:t>
            </w:r>
            <w:proofErr w:type="spellStart"/>
            <w:r>
              <w:rPr>
                <w:rFonts w:ascii="Garamond" w:eastAsia="Times New Roman" w:hAnsi="Garamond" w:cs="Times New Roman"/>
                <w:color w:val="000000"/>
                <w:sz w:val="20"/>
                <w:szCs w:val="20"/>
                <w:lang w:eastAsia="es-ES"/>
              </w:rPr>
              <w:t>ICIEG</w:t>
            </w:r>
            <w:proofErr w:type="spellEnd"/>
          </w:p>
        </w:tc>
      </w:tr>
      <w:tr w:rsidR="000417DE" w:rsidRPr="00D21977" w14:paraId="508A6314" w14:textId="77777777" w:rsidTr="00582AC7">
        <w:trPr>
          <w:trHeight w:val="615"/>
          <w:jc w:val="center"/>
        </w:trPr>
        <w:tc>
          <w:tcPr>
            <w:tcW w:w="2335" w:type="dxa"/>
            <w:vMerge/>
            <w:shd w:val="clear" w:color="auto" w:fill="FFFFFF" w:themeFill="background1"/>
          </w:tcPr>
          <w:p w14:paraId="3F2E6458" w14:textId="77777777" w:rsidR="000417DE" w:rsidRPr="00C44552" w:rsidRDefault="000417DE" w:rsidP="003455F1">
            <w:pPr>
              <w:rPr>
                <w:rFonts w:ascii="Garamond" w:hAnsi="Garamond" w:cs="Times New Roman"/>
                <w:sz w:val="20"/>
                <w:szCs w:val="20"/>
              </w:rPr>
            </w:pPr>
          </w:p>
        </w:tc>
        <w:tc>
          <w:tcPr>
            <w:tcW w:w="4111" w:type="dxa"/>
            <w:shd w:val="clear" w:color="auto" w:fill="FFFFFF" w:themeFill="background1"/>
            <w:vAlign w:val="center"/>
          </w:tcPr>
          <w:p w14:paraId="71CC5E41"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5.3.c. Nº de plataformas políticas dos partidos que contêm prioridades de género</w:t>
            </w:r>
          </w:p>
        </w:tc>
        <w:tc>
          <w:tcPr>
            <w:tcW w:w="1134" w:type="dxa"/>
            <w:shd w:val="clear" w:color="auto" w:fill="FFFFFF" w:themeFill="background1"/>
            <w:vAlign w:val="center"/>
          </w:tcPr>
          <w:p w14:paraId="4848DF1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2EA382B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1DBA9DC" w14:textId="77777777" w:rsidR="000417DE" w:rsidRDefault="000417DE" w:rsidP="003455F1">
            <w:pPr>
              <w:spacing w:before="60" w:after="60"/>
              <w:jc w:val="center"/>
              <w:rPr>
                <w:rFonts w:ascii="Garamond" w:eastAsia="Times New Roman" w:hAnsi="Garamond" w:cs="Times New Roman"/>
                <w:sz w:val="20"/>
                <w:szCs w:val="20"/>
                <w:lang w:eastAsia="es-ES"/>
              </w:rPr>
            </w:pPr>
            <w:proofErr w:type="spellStart"/>
            <w:r>
              <w:rPr>
                <w:rFonts w:ascii="Garamond" w:eastAsia="Times New Roman" w:hAnsi="Garamond" w:cs="Times New Roman"/>
                <w:sz w:val="20"/>
                <w:szCs w:val="20"/>
                <w:lang w:eastAsia="es-ES"/>
              </w:rPr>
              <w:t>Relatórios</w:t>
            </w:r>
            <w:proofErr w:type="spellEnd"/>
            <w:r>
              <w:rPr>
                <w:rFonts w:ascii="Garamond" w:eastAsia="Times New Roman" w:hAnsi="Garamond" w:cs="Times New Roman"/>
                <w:sz w:val="20"/>
                <w:szCs w:val="20"/>
                <w:lang w:eastAsia="es-ES"/>
              </w:rPr>
              <w:t xml:space="preserve"> </w:t>
            </w:r>
          </w:p>
          <w:p w14:paraId="731039E8"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RMP</w:t>
            </w:r>
            <w:proofErr w:type="spellEnd"/>
            <w:r>
              <w:rPr>
                <w:rFonts w:ascii="Garamond" w:eastAsia="Times New Roman" w:hAnsi="Garamond" w:cs="Times New Roman"/>
                <w:color w:val="000000"/>
                <w:sz w:val="20"/>
                <w:szCs w:val="20"/>
                <w:lang w:eastAsia="es-ES"/>
              </w:rPr>
              <w:t xml:space="preserve">-CV / </w:t>
            </w:r>
            <w:proofErr w:type="spellStart"/>
            <w:r>
              <w:rPr>
                <w:rFonts w:ascii="Garamond" w:eastAsia="Times New Roman" w:hAnsi="Garamond" w:cs="Times New Roman"/>
                <w:color w:val="000000"/>
                <w:sz w:val="20"/>
                <w:szCs w:val="20"/>
                <w:lang w:eastAsia="es-ES"/>
              </w:rPr>
              <w:t>ICIEG</w:t>
            </w:r>
            <w:proofErr w:type="spellEnd"/>
          </w:p>
        </w:tc>
      </w:tr>
      <w:tr w:rsidR="000417DE" w:rsidRPr="005808D4" w14:paraId="49797413" w14:textId="77777777" w:rsidTr="00582AC7">
        <w:trPr>
          <w:trHeight w:val="615"/>
          <w:jc w:val="center"/>
        </w:trPr>
        <w:tc>
          <w:tcPr>
            <w:tcW w:w="2335" w:type="dxa"/>
            <w:vMerge w:val="restart"/>
            <w:shd w:val="clear" w:color="auto" w:fill="FFFFFF" w:themeFill="background1"/>
          </w:tcPr>
          <w:p w14:paraId="6807E263"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5.4. Aumentada a compreensão e adesão das comunidades, em particular nas áreas rurais, em relação à participação de homens e mulheres na tomada de decisão e liderança</w:t>
            </w:r>
          </w:p>
        </w:tc>
        <w:tc>
          <w:tcPr>
            <w:tcW w:w="4111" w:type="dxa"/>
            <w:shd w:val="clear" w:color="auto" w:fill="FFFFFF" w:themeFill="background1"/>
            <w:vAlign w:val="center"/>
          </w:tcPr>
          <w:p w14:paraId="1184CDEE"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5.4a Percentagem de </w:t>
            </w:r>
            <w:proofErr w:type="spellStart"/>
            <w:r w:rsidRPr="00D27497">
              <w:rPr>
                <w:rFonts w:ascii="Garamond" w:hAnsi="Garamond"/>
                <w:sz w:val="20"/>
                <w:szCs w:val="20"/>
                <w:lang w:val="pt-PT"/>
              </w:rPr>
              <w:t>projetos</w:t>
            </w:r>
            <w:proofErr w:type="spellEnd"/>
            <w:r w:rsidRPr="00D27497">
              <w:rPr>
                <w:rFonts w:ascii="Garamond" w:hAnsi="Garamond"/>
                <w:sz w:val="20"/>
                <w:szCs w:val="20"/>
                <w:lang w:val="pt-PT"/>
              </w:rPr>
              <w:t xml:space="preserve"> rurais, de agricultura, mudanças climáticas, riscos de desastres, epidemias de saúde com (i) com fóruns participativos de tomada de decisão no projecto e (ii) </w:t>
            </w:r>
            <w:proofErr w:type="spellStart"/>
            <w:r w:rsidRPr="00D27497">
              <w:rPr>
                <w:rFonts w:ascii="Garamond" w:hAnsi="Garamond"/>
                <w:sz w:val="20"/>
                <w:szCs w:val="20"/>
                <w:lang w:val="pt-PT"/>
              </w:rPr>
              <w:t>pelo</w:t>
            </w:r>
            <w:proofErr w:type="spellEnd"/>
            <w:r w:rsidRPr="00D27497">
              <w:rPr>
                <w:rFonts w:ascii="Garamond" w:hAnsi="Garamond"/>
                <w:sz w:val="20"/>
                <w:szCs w:val="20"/>
                <w:lang w:val="pt-PT"/>
              </w:rPr>
              <w:t xml:space="preserve"> menos 40% de mulheres e homens a participar no fórum máximo de decisão</w:t>
            </w:r>
          </w:p>
        </w:tc>
        <w:tc>
          <w:tcPr>
            <w:tcW w:w="1134" w:type="dxa"/>
            <w:shd w:val="clear" w:color="auto" w:fill="FFFFFF" w:themeFill="background1"/>
            <w:vAlign w:val="center"/>
          </w:tcPr>
          <w:p w14:paraId="2EDCCE65"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p w14:paraId="67E6D59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28% (CRP)</w:t>
            </w:r>
          </w:p>
        </w:tc>
        <w:tc>
          <w:tcPr>
            <w:tcW w:w="1134" w:type="dxa"/>
            <w:shd w:val="clear" w:color="auto" w:fill="FFFFFF" w:themeFill="background1"/>
            <w:vAlign w:val="center"/>
          </w:tcPr>
          <w:p w14:paraId="1D9D57C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p w14:paraId="383D372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1F7A7092"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Relatório do </w:t>
            </w:r>
            <w:proofErr w:type="spellStart"/>
            <w:r w:rsidRPr="00D27497">
              <w:rPr>
                <w:rFonts w:ascii="Garamond" w:eastAsia="Times New Roman" w:hAnsi="Garamond" w:cs="Times New Roman"/>
                <w:color w:val="000000"/>
                <w:sz w:val="20"/>
                <w:szCs w:val="20"/>
                <w:lang w:val="pt-PT" w:eastAsia="es-ES"/>
              </w:rPr>
              <w:t>POSER</w:t>
            </w:r>
            <w:proofErr w:type="spellEnd"/>
          </w:p>
          <w:p w14:paraId="373D65DC"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w:t>
            </w:r>
            <w:proofErr w:type="spellStart"/>
            <w:r w:rsidRPr="00D27497">
              <w:rPr>
                <w:rFonts w:ascii="Garamond" w:eastAsia="Times New Roman" w:hAnsi="Garamond" w:cs="Times New Roman"/>
                <w:color w:val="000000"/>
                <w:sz w:val="20"/>
                <w:szCs w:val="20"/>
                <w:lang w:val="pt-PT" w:eastAsia="es-ES"/>
              </w:rPr>
              <w:t>ICIEG</w:t>
            </w:r>
            <w:proofErr w:type="spellEnd"/>
            <w:r w:rsidRPr="00D27497">
              <w:rPr>
                <w:rFonts w:ascii="Garamond" w:eastAsia="Times New Roman" w:hAnsi="Garamond" w:cs="Times New Roman"/>
                <w:color w:val="000000"/>
                <w:sz w:val="20"/>
                <w:szCs w:val="20"/>
                <w:lang w:val="pt-PT" w:eastAsia="es-ES"/>
              </w:rPr>
              <w:t xml:space="preserve"> / </w:t>
            </w:r>
            <w:proofErr w:type="spellStart"/>
            <w:r w:rsidRPr="00D27497">
              <w:rPr>
                <w:rFonts w:ascii="Garamond" w:eastAsia="Times New Roman" w:hAnsi="Garamond" w:cs="Times New Roman"/>
                <w:color w:val="000000"/>
                <w:sz w:val="20"/>
                <w:szCs w:val="20"/>
                <w:lang w:val="pt-PT" w:eastAsia="es-ES"/>
              </w:rPr>
              <w:t>MAA</w:t>
            </w:r>
            <w:proofErr w:type="spellEnd"/>
            <w:r w:rsidRPr="00D27497">
              <w:rPr>
                <w:rFonts w:ascii="Garamond" w:eastAsia="Times New Roman" w:hAnsi="Garamond" w:cs="Times New Roman"/>
                <w:color w:val="000000"/>
                <w:sz w:val="20"/>
                <w:szCs w:val="20"/>
                <w:lang w:val="pt-PT" w:eastAsia="es-ES"/>
              </w:rPr>
              <w:t xml:space="preserve"> / </w:t>
            </w:r>
            <w:proofErr w:type="spellStart"/>
            <w:r w:rsidRPr="00D27497">
              <w:rPr>
                <w:rFonts w:ascii="Garamond" w:eastAsia="Times New Roman" w:hAnsi="Garamond" w:cs="Times New Roman"/>
                <w:color w:val="000000"/>
                <w:sz w:val="20"/>
                <w:szCs w:val="20"/>
                <w:lang w:val="pt-PT" w:eastAsia="es-ES"/>
              </w:rPr>
              <w:t>DNE</w:t>
            </w:r>
            <w:proofErr w:type="spellEnd"/>
            <w:r w:rsidRPr="00D27497">
              <w:rPr>
                <w:rFonts w:ascii="Garamond" w:eastAsia="Times New Roman" w:hAnsi="Garamond" w:cs="Times New Roman"/>
                <w:color w:val="000000"/>
                <w:sz w:val="20"/>
                <w:szCs w:val="20"/>
                <w:lang w:val="pt-PT" w:eastAsia="es-ES"/>
              </w:rPr>
              <w:t xml:space="preserve"> /SNPC)</w:t>
            </w:r>
          </w:p>
        </w:tc>
      </w:tr>
      <w:tr w:rsidR="000417DE" w:rsidRPr="005808D4" w14:paraId="04C76F38" w14:textId="77777777" w:rsidTr="00582AC7">
        <w:trPr>
          <w:trHeight w:val="615"/>
          <w:jc w:val="center"/>
        </w:trPr>
        <w:tc>
          <w:tcPr>
            <w:tcW w:w="2335" w:type="dxa"/>
            <w:vMerge/>
            <w:shd w:val="clear" w:color="auto" w:fill="FFFFFF" w:themeFill="background1"/>
          </w:tcPr>
          <w:p w14:paraId="5366DDDC" w14:textId="77777777" w:rsidR="000417DE" w:rsidRPr="00D27497" w:rsidRDefault="000417DE" w:rsidP="003455F1">
            <w:pPr>
              <w:rPr>
                <w:rFonts w:ascii="Garamond" w:hAnsi="Garamond" w:cs="Times New Roman"/>
                <w:sz w:val="20"/>
                <w:szCs w:val="20"/>
                <w:lang w:val="pt-PT"/>
              </w:rPr>
            </w:pPr>
          </w:p>
        </w:tc>
        <w:tc>
          <w:tcPr>
            <w:tcW w:w="4111" w:type="dxa"/>
            <w:shd w:val="clear" w:color="auto" w:fill="FFFFFF" w:themeFill="background1"/>
            <w:vAlign w:val="center"/>
          </w:tcPr>
          <w:p w14:paraId="2C5A1C69"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5.4b Percentagem de homens e mulheres na liderança de Associações Comunitárias de Desenvolvimento (ACD) e Comissões Regionais de Parceiros (CRP)</w:t>
            </w:r>
          </w:p>
        </w:tc>
        <w:tc>
          <w:tcPr>
            <w:tcW w:w="1134" w:type="dxa"/>
            <w:shd w:val="clear" w:color="auto" w:fill="FFFFFF" w:themeFill="background1"/>
            <w:vAlign w:val="center"/>
          </w:tcPr>
          <w:p w14:paraId="1800B9A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28%</w:t>
            </w:r>
          </w:p>
        </w:tc>
        <w:tc>
          <w:tcPr>
            <w:tcW w:w="1134" w:type="dxa"/>
            <w:shd w:val="clear" w:color="auto" w:fill="FFFFFF" w:themeFill="background1"/>
            <w:vAlign w:val="center"/>
          </w:tcPr>
          <w:p w14:paraId="6EDFA092"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141FFDDF"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Relatório do </w:t>
            </w:r>
            <w:proofErr w:type="spellStart"/>
            <w:r w:rsidRPr="00D27497">
              <w:rPr>
                <w:rFonts w:ascii="Garamond" w:eastAsia="Times New Roman" w:hAnsi="Garamond" w:cs="Times New Roman"/>
                <w:color w:val="000000"/>
                <w:sz w:val="20"/>
                <w:szCs w:val="20"/>
                <w:lang w:val="pt-PT" w:eastAsia="es-ES"/>
              </w:rPr>
              <w:t>POSER</w:t>
            </w:r>
            <w:proofErr w:type="spellEnd"/>
          </w:p>
          <w:p w14:paraId="2A5B1F2B"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(levantamento </w:t>
            </w:r>
            <w:proofErr w:type="spellStart"/>
            <w:r w:rsidRPr="00D27497">
              <w:rPr>
                <w:rFonts w:ascii="Garamond" w:eastAsia="Times New Roman" w:hAnsi="Garamond" w:cs="Times New Roman"/>
                <w:color w:val="000000"/>
                <w:sz w:val="20"/>
                <w:szCs w:val="20"/>
                <w:lang w:val="pt-PT" w:eastAsia="es-ES"/>
              </w:rPr>
              <w:t>POSER</w:t>
            </w:r>
            <w:proofErr w:type="spellEnd"/>
            <w:r w:rsidRPr="00D27497">
              <w:rPr>
                <w:rFonts w:ascii="Garamond" w:eastAsia="Times New Roman" w:hAnsi="Garamond" w:cs="Times New Roman"/>
                <w:color w:val="000000"/>
                <w:sz w:val="20"/>
                <w:szCs w:val="20"/>
                <w:lang w:val="pt-PT" w:eastAsia="es-ES"/>
              </w:rPr>
              <w:t>-C)</w:t>
            </w:r>
          </w:p>
        </w:tc>
      </w:tr>
      <w:tr w:rsidR="000417DE" w:rsidRPr="00D21977" w14:paraId="5590D15C" w14:textId="77777777" w:rsidTr="00582AC7">
        <w:trPr>
          <w:trHeight w:val="615"/>
          <w:jc w:val="center"/>
        </w:trPr>
        <w:tc>
          <w:tcPr>
            <w:tcW w:w="2335" w:type="dxa"/>
            <w:vMerge w:val="restart"/>
            <w:shd w:val="clear" w:color="auto" w:fill="FFFFFF" w:themeFill="background1"/>
          </w:tcPr>
          <w:p w14:paraId="72026C77"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5.5. Protegidos os direitos das mulheres e homens com deficiência e das mulheres imigrantes à participação política e liderança</w:t>
            </w:r>
          </w:p>
        </w:tc>
        <w:tc>
          <w:tcPr>
            <w:tcW w:w="4111" w:type="dxa"/>
            <w:shd w:val="clear" w:color="auto" w:fill="FFFFFF" w:themeFill="background1"/>
            <w:vAlign w:val="center"/>
          </w:tcPr>
          <w:p w14:paraId="6208091D" w14:textId="77777777" w:rsidR="000417DE" w:rsidRPr="00D27497" w:rsidRDefault="000417DE" w:rsidP="003455F1">
            <w:pPr>
              <w:rPr>
                <w:rFonts w:ascii="Garamond" w:hAnsi="Garamond"/>
                <w:sz w:val="20"/>
                <w:szCs w:val="20"/>
                <w:lang w:val="pt-PT"/>
              </w:rPr>
            </w:pPr>
            <w:r w:rsidRPr="00D27497">
              <w:rPr>
                <w:rFonts w:ascii="Garamond" w:hAnsi="Garamond" w:cs="Times New Roman"/>
                <w:bCs/>
                <w:sz w:val="20"/>
                <w:szCs w:val="20"/>
                <w:lang w:val="pt-PT"/>
              </w:rPr>
              <w:t xml:space="preserve">5.5a Existência de mecanismos de </w:t>
            </w:r>
            <w:proofErr w:type="spellStart"/>
            <w:r w:rsidRPr="00D27497">
              <w:rPr>
                <w:rFonts w:ascii="Garamond" w:hAnsi="Garamond" w:cs="Times New Roman"/>
                <w:bCs/>
                <w:sz w:val="20"/>
                <w:szCs w:val="20"/>
                <w:lang w:val="pt-PT"/>
              </w:rPr>
              <w:t>proteção</w:t>
            </w:r>
            <w:proofErr w:type="spellEnd"/>
            <w:r w:rsidRPr="00D27497">
              <w:rPr>
                <w:rFonts w:ascii="Garamond" w:hAnsi="Garamond" w:cs="Times New Roman"/>
                <w:bCs/>
                <w:sz w:val="20"/>
                <w:szCs w:val="20"/>
                <w:lang w:val="pt-PT"/>
              </w:rPr>
              <w:t xml:space="preserve"> do direito ao voto secreto das </w:t>
            </w:r>
            <w:proofErr w:type="spellStart"/>
            <w:r w:rsidRPr="00D27497">
              <w:rPr>
                <w:rFonts w:ascii="Garamond" w:hAnsi="Garamond" w:cs="Times New Roman"/>
                <w:bCs/>
                <w:sz w:val="20"/>
                <w:szCs w:val="20"/>
                <w:lang w:val="pt-PT"/>
              </w:rPr>
              <w:t>PcD</w:t>
            </w:r>
            <w:proofErr w:type="spellEnd"/>
            <w:r w:rsidRPr="00D27497">
              <w:rPr>
                <w:rFonts w:ascii="Garamond" w:hAnsi="Garamond" w:cs="Times New Roman"/>
                <w:bCs/>
                <w:sz w:val="20"/>
                <w:szCs w:val="20"/>
                <w:lang w:val="pt-PT"/>
              </w:rPr>
              <w:t xml:space="preserve"> nas eleições </w:t>
            </w:r>
          </w:p>
        </w:tc>
        <w:tc>
          <w:tcPr>
            <w:tcW w:w="1134" w:type="dxa"/>
            <w:shd w:val="clear" w:color="auto" w:fill="FFFFFF" w:themeFill="background1"/>
            <w:vAlign w:val="center"/>
          </w:tcPr>
          <w:p w14:paraId="69528F5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1134" w:type="dxa"/>
            <w:shd w:val="clear" w:color="auto" w:fill="FFFFFF" w:themeFill="background1"/>
            <w:vAlign w:val="center"/>
          </w:tcPr>
          <w:p w14:paraId="1F52462A"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25A8443"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da </w:t>
            </w:r>
            <w:proofErr w:type="spellStart"/>
            <w:r>
              <w:rPr>
                <w:rFonts w:ascii="Garamond" w:eastAsia="Times New Roman" w:hAnsi="Garamond" w:cs="Times New Roman"/>
                <w:color w:val="000000"/>
                <w:sz w:val="20"/>
                <w:szCs w:val="20"/>
                <w:lang w:eastAsia="es-ES"/>
              </w:rPr>
              <w:t>CNE</w:t>
            </w:r>
            <w:proofErr w:type="spellEnd"/>
            <w:r>
              <w:rPr>
                <w:rFonts w:ascii="Garamond" w:eastAsia="Times New Roman" w:hAnsi="Garamond" w:cs="Times New Roman"/>
                <w:color w:val="000000"/>
                <w:sz w:val="20"/>
                <w:szCs w:val="20"/>
                <w:lang w:eastAsia="es-ES"/>
              </w:rPr>
              <w:t xml:space="preserve"> / </w:t>
            </w:r>
            <w:proofErr w:type="spellStart"/>
            <w:r>
              <w:rPr>
                <w:rFonts w:ascii="Garamond" w:eastAsia="Times New Roman" w:hAnsi="Garamond" w:cs="Times New Roman"/>
                <w:color w:val="000000"/>
                <w:sz w:val="20"/>
                <w:szCs w:val="20"/>
                <w:lang w:eastAsia="es-ES"/>
              </w:rPr>
              <w:t>DGPE</w:t>
            </w:r>
            <w:proofErr w:type="spellEnd"/>
          </w:p>
        </w:tc>
      </w:tr>
      <w:tr w:rsidR="000417DE" w:rsidRPr="00D21977" w14:paraId="5C69A092" w14:textId="77777777" w:rsidTr="00582AC7">
        <w:trPr>
          <w:trHeight w:val="615"/>
          <w:jc w:val="center"/>
        </w:trPr>
        <w:tc>
          <w:tcPr>
            <w:tcW w:w="2335" w:type="dxa"/>
            <w:vMerge/>
            <w:shd w:val="clear" w:color="auto" w:fill="FFFFFF" w:themeFill="background1"/>
          </w:tcPr>
          <w:p w14:paraId="2FBC9A27" w14:textId="77777777" w:rsidR="000417DE" w:rsidRPr="00C44552" w:rsidRDefault="000417DE" w:rsidP="003455F1">
            <w:pPr>
              <w:rPr>
                <w:rFonts w:ascii="Garamond" w:hAnsi="Garamond" w:cs="Times New Roman"/>
                <w:sz w:val="20"/>
                <w:szCs w:val="20"/>
              </w:rPr>
            </w:pPr>
          </w:p>
        </w:tc>
        <w:tc>
          <w:tcPr>
            <w:tcW w:w="4111" w:type="dxa"/>
            <w:shd w:val="clear" w:color="auto" w:fill="FFFFFF" w:themeFill="background1"/>
            <w:vAlign w:val="center"/>
          </w:tcPr>
          <w:p w14:paraId="71729AF0" w14:textId="77777777" w:rsidR="000417DE" w:rsidRPr="00D27497" w:rsidRDefault="000417DE" w:rsidP="003455F1">
            <w:pPr>
              <w:rPr>
                <w:rFonts w:ascii="Garamond" w:hAnsi="Garamond" w:cs="Times New Roman"/>
                <w:bCs/>
                <w:sz w:val="20"/>
                <w:szCs w:val="20"/>
                <w:lang w:val="pt-PT"/>
              </w:rPr>
            </w:pPr>
            <w:r w:rsidRPr="00D27497">
              <w:rPr>
                <w:rFonts w:ascii="Garamond" w:hAnsi="Garamond" w:cs="Times New Roman"/>
                <w:bCs/>
                <w:sz w:val="20"/>
                <w:szCs w:val="20"/>
                <w:lang w:val="pt-PT"/>
              </w:rPr>
              <w:t xml:space="preserve">5.5b Percentagem de mulheres e homens que ocupam posições de </w:t>
            </w:r>
            <w:proofErr w:type="spellStart"/>
            <w:r w:rsidRPr="00D27497">
              <w:rPr>
                <w:rFonts w:ascii="Garamond" w:hAnsi="Garamond" w:cs="Times New Roman"/>
                <w:bCs/>
                <w:sz w:val="20"/>
                <w:szCs w:val="20"/>
                <w:lang w:val="pt-PT"/>
              </w:rPr>
              <w:t>direção</w:t>
            </w:r>
            <w:proofErr w:type="spellEnd"/>
            <w:r w:rsidRPr="00D27497">
              <w:rPr>
                <w:rFonts w:ascii="Garamond" w:hAnsi="Garamond" w:cs="Times New Roman"/>
                <w:bCs/>
                <w:sz w:val="20"/>
                <w:szCs w:val="20"/>
                <w:lang w:val="pt-PT"/>
              </w:rPr>
              <w:t xml:space="preserve"> nas diferentes </w:t>
            </w:r>
            <w:proofErr w:type="spellStart"/>
            <w:r w:rsidRPr="00D27497">
              <w:rPr>
                <w:rFonts w:ascii="Garamond" w:hAnsi="Garamond" w:cs="Times New Roman"/>
                <w:bCs/>
                <w:sz w:val="20"/>
                <w:szCs w:val="20"/>
                <w:lang w:val="pt-PT"/>
              </w:rPr>
              <w:t>OSC</w:t>
            </w:r>
            <w:proofErr w:type="spellEnd"/>
            <w:r w:rsidRPr="00D27497">
              <w:rPr>
                <w:rFonts w:ascii="Garamond" w:hAnsi="Garamond" w:cs="Times New Roman"/>
                <w:bCs/>
                <w:sz w:val="20"/>
                <w:szCs w:val="20"/>
                <w:lang w:val="pt-PT"/>
              </w:rPr>
              <w:t xml:space="preserve"> de imigrantes</w:t>
            </w:r>
          </w:p>
        </w:tc>
        <w:tc>
          <w:tcPr>
            <w:tcW w:w="1134" w:type="dxa"/>
            <w:shd w:val="clear" w:color="auto" w:fill="FFFFFF" w:themeFill="background1"/>
            <w:vAlign w:val="center"/>
          </w:tcPr>
          <w:p w14:paraId="54AEE20C"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5422BFBF"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422F6F9" w14:textId="77777777" w:rsidR="000417DE"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Levantamento</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DGI</w:t>
            </w:r>
            <w:proofErr w:type="spellEnd"/>
          </w:p>
        </w:tc>
      </w:tr>
    </w:tbl>
    <w:p w14:paraId="5B41F361" w14:textId="77777777" w:rsidR="000417DE" w:rsidRDefault="000417DE" w:rsidP="000417DE">
      <w:pPr>
        <w:rPr>
          <w:rFonts w:ascii="Garamond" w:hAnsi="Garamond"/>
          <w:b/>
          <w:sz w:val="20"/>
          <w:szCs w:val="20"/>
        </w:rPr>
      </w:pPr>
    </w:p>
    <w:p w14:paraId="29F1C6C8" w14:textId="6E80BE1E" w:rsidR="000417DE" w:rsidRDefault="000417DE" w:rsidP="009F6506">
      <w:pPr>
        <w:rPr>
          <w:rFonts w:ascii="Garamond" w:hAnsi="Garamond"/>
          <w:b/>
          <w:sz w:val="20"/>
          <w:szCs w:val="20"/>
          <w:lang w:val="pt-PT"/>
        </w:rPr>
      </w:pPr>
      <w:r w:rsidRPr="00D27497">
        <w:rPr>
          <w:rFonts w:ascii="Garamond" w:hAnsi="Garamond"/>
          <w:b/>
          <w:sz w:val="20"/>
          <w:szCs w:val="20"/>
          <w:lang w:val="pt-PT"/>
        </w:rPr>
        <w:t xml:space="preserve">Eixo 6 - </w:t>
      </w:r>
      <w:proofErr w:type="spellStart"/>
      <w:r w:rsidRPr="00D27497">
        <w:rPr>
          <w:rFonts w:ascii="Garamond" w:hAnsi="Garamond"/>
          <w:b/>
          <w:sz w:val="20"/>
          <w:szCs w:val="20"/>
          <w:lang w:val="pt-PT"/>
        </w:rPr>
        <w:t>Transversalização</w:t>
      </w:r>
      <w:proofErr w:type="spellEnd"/>
      <w:r w:rsidRPr="00D27497">
        <w:rPr>
          <w:rFonts w:ascii="Garamond" w:hAnsi="Garamond"/>
          <w:b/>
          <w:sz w:val="20"/>
          <w:szCs w:val="20"/>
          <w:lang w:val="pt-PT"/>
        </w:rPr>
        <w:t xml:space="preserve"> da Abordagem de Género</w:t>
      </w:r>
    </w:p>
    <w:p w14:paraId="5C0A80C1" w14:textId="77777777" w:rsidR="00DB5033" w:rsidRPr="00D27497" w:rsidRDefault="00DB5033" w:rsidP="000417DE">
      <w:pPr>
        <w:rPr>
          <w:rFonts w:ascii="Garamond" w:hAnsi="Garamond"/>
          <w:b/>
          <w:sz w:val="20"/>
          <w:szCs w:val="20"/>
          <w:lang w:val="pt-PT"/>
        </w:rPr>
      </w:pP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3616"/>
        <w:gridCol w:w="1134"/>
        <w:gridCol w:w="1134"/>
        <w:gridCol w:w="1701"/>
      </w:tblGrid>
      <w:tr w:rsidR="000417DE" w:rsidRPr="00D21977" w14:paraId="474C35B5" w14:textId="77777777" w:rsidTr="00DB5033">
        <w:trPr>
          <w:trHeight w:val="444"/>
          <w:tblHeader/>
          <w:jc w:val="center"/>
        </w:trPr>
        <w:tc>
          <w:tcPr>
            <w:tcW w:w="2830" w:type="dxa"/>
            <w:tcBorders>
              <w:top w:val="single" w:sz="4" w:space="0" w:color="auto"/>
            </w:tcBorders>
            <w:shd w:val="clear" w:color="auto" w:fill="DEEAF6" w:themeFill="accent5" w:themeFillTint="33"/>
            <w:vAlign w:val="center"/>
          </w:tcPr>
          <w:p w14:paraId="3B63BC4D"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sidRPr="00D21977">
              <w:rPr>
                <w:rFonts w:ascii="Garamond" w:eastAsia="Times New Roman" w:hAnsi="Garamond" w:cs="Times New Roman"/>
                <w:b/>
                <w:bCs/>
                <w:sz w:val="20"/>
                <w:szCs w:val="20"/>
                <w:lang w:eastAsia="es-ES"/>
              </w:rPr>
              <w:t>Resultados</w:t>
            </w:r>
            <w:proofErr w:type="spellEnd"/>
            <w:r w:rsidRPr="00D21977">
              <w:rPr>
                <w:rFonts w:ascii="Garamond" w:eastAsia="Times New Roman" w:hAnsi="Garamond" w:cs="Times New Roman"/>
                <w:b/>
                <w:bCs/>
                <w:sz w:val="20"/>
                <w:szCs w:val="20"/>
                <w:lang w:eastAsia="es-ES"/>
              </w:rPr>
              <w:t xml:space="preserve"> </w:t>
            </w:r>
            <w:proofErr w:type="spellStart"/>
            <w:r w:rsidRPr="00D21977">
              <w:rPr>
                <w:rFonts w:ascii="Garamond" w:eastAsia="Times New Roman" w:hAnsi="Garamond" w:cs="Times New Roman"/>
                <w:b/>
                <w:bCs/>
                <w:sz w:val="20"/>
                <w:szCs w:val="20"/>
                <w:lang w:eastAsia="es-ES"/>
              </w:rPr>
              <w:t>esperados</w:t>
            </w:r>
            <w:proofErr w:type="spellEnd"/>
          </w:p>
        </w:tc>
        <w:tc>
          <w:tcPr>
            <w:tcW w:w="3616" w:type="dxa"/>
            <w:tcBorders>
              <w:top w:val="single" w:sz="4" w:space="0" w:color="auto"/>
            </w:tcBorders>
            <w:shd w:val="clear" w:color="auto" w:fill="DEEAF6" w:themeFill="accent5" w:themeFillTint="33"/>
            <w:vAlign w:val="center"/>
          </w:tcPr>
          <w:p w14:paraId="7C3BA10C"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Indicador</w:t>
            </w:r>
            <w:proofErr w:type="spellEnd"/>
          </w:p>
        </w:tc>
        <w:tc>
          <w:tcPr>
            <w:tcW w:w="1134" w:type="dxa"/>
            <w:tcBorders>
              <w:top w:val="single" w:sz="4" w:space="0" w:color="auto"/>
            </w:tcBorders>
            <w:shd w:val="clear" w:color="auto" w:fill="DEEAF6" w:themeFill="accent5" w:themeFillTint="33"/>
            <w:vAlign w:val="center"/>
          </w:tcPr>
          <w:p w14:paraId="169E49B7"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Linha</w:t>
            </w:r>
            <w:proofErr w:type="spellEnd"/>
            <w:r>
              <w:rPr>
                <w:rFonts w:ascii="Garamond" w:eastAsia="Times New Roman" w:hAnsi="Garamond" w:cs="Times New Roman"/>
                <w:b/>
                <w:bCs/>
                <w:sz w:val="20"/>
                <w:szCs w:val="20"/>
                <w:lang w:eastAsia="es-ES"/>
              </w:rPr>
              <w:t xml:space="preserve"> de base</w:t>
            </w:r>
          </w:p>
        </w:tc>
        <w:tc>
          <w:tcPr>
            <w:tcW w:w="1134" w:type="dxa"/>
            <w:tcBorders>
              <w:top w:val="single" w:sz="4" w:space="0" w:color="auto"/>
            </w:tcBorders>
            <w:shd w:val="clear" w:color="auto" w:fill="DEEAF6" w:themeFill="accent5" w:themeFillTint="33"/>
            <w:vAlign w:val="center"/>
          </w:tcPr>
          <w:p w14:paraId="517EAACD" w14:textId="77777777" w:rsidR="000417DE" w:rsidRPr="00D21977" w:rsidRDefault="000417DE" w:rsidP="003455F1">
            <w:pPr>
              <w:spacing w:before="60" w:after="60"/>
              <w:jc w:val="center"/>
              <w:rPr>
                <w:rFonts w:ascii="Garamond" w:eastAsia="Times New Roman" w:hAnsi="Garamond" w:cs="Times New Roman"/>
                <w:b/>
                <w:bCs/>
                <w:sz w:val="20"/>
                <w:szCs w:val="20"/>
                <w:lang w:eastAsia="es-ES"/>
              </w:rPr>
            </w:pPr>
            <w:proofErr w:type="spellStart"/>
            <w:r>
              <w:rPr>
                <w:rFonts w:ascii="Garamond" w:eastAsia="Times New Roman" w:hAnsi="Garamond" w:cs="Times New Roman"/>
                <w:b/>
                <w:bCs/>
                <w:sz w:val="20"/>
                <w:szCs w:val="20"/>
                <w:lang w:eastAsia="es-ES"/>
              </w:rPr>
              <w:t>Ano</w:t>
            </w:r>
            <w:proofErr w:type="spellEnd"/>
          </w:p>
        </w:tc>
        <w:tc>
          <w:tcPr>
            <w:tcW w:w="1701" w:type="dxa"/>
            <w:tcBorders>
              <w:top w:val="single" w:sz="4" w:space="0" w:color="auto"/>
            </w:tcBorders>
            <w:shd w:val="clear" w:color="auto" w:fill="DEEAF6" w:themeFill="accent5" w:themeFillTint="33"/>
            <w:vAlign w:val="center"/>
          </w:tcPr>
          <w:p w14:paraId="036B5298" w14:textId="77777777" w:rsidR="000417DE" w:rsidRDefault="000417DE" w:rsidP="003455F1">
            <w:pPr>
              <w:spacing w:before="60" w:after="60"/>
              <w:jc w:val="center"/>
              <w:rPr>
                <w:rFonts w:ascii="Garamond" w:eastAsia="Times New Roman" w:hAnsi="Garamond" w:cs="Times New Roman"/>
                <w:b/>
                <w:bCs/>
                <w:sz w:val="20"/>
                <w:szCs w:val="20"/>
                <w:lang w:eastAsia="es-ES"/>
              </w:rPr>
            </w:pPr>
            <w:r>
              <w:rPr>
                <w:rFonts w:ascii="Garamond" w:eastAsia="Times New Roman" w:hAnsi="Garamond" w:cs="Times New Roman"/>
                <w:b/>
                <w:bCs/>
                <w:sz w:val="20"/>
                <w:szCs w:val="20"/>
                <w:lang w:eastAsia="es-ES"/>
              </w:rPr>
              <w:t xml:space="preserve">Fonte de </w:t>
            </w:r>
            <w:proofErr w:type="spellStart"/>
            <w:r>
              <w:rPr>
                <w:rFonts w:ascii="Garamond" w:eastAsia="Times New Roman" w:hAnsi="Garamond" w:cs="Times New Roman"/>
                <w:b/>
                <w:bCs/>
                <w:sz w:val="20"/>
                <w:szCs w:val="20"/>
                <w:lang w:eastAsia="es-ES"/>
              </w:rPr>
              <w:t>verificação</w:t>
            </w:r>
            <w:proofErr w:type="spellEnd"/>
          </w:p>
        </w:tc>
      </w:tr>
      <w:tr w:rsidR="000417DE" w:rsidRPr="00D21977" w14:paraId="33392C80" w14:textId="77777777" w:rsidTr="00DB5033">
        <w:trPr>
          <w:trHeight w:val="468"/>
          <w:jc w:val="center"/>
        </w:trPr>
        <w:tc>
          <w:tcPr>
            <w:tcW w:w="10415" w:type="dxa"/>
            <w:gridSpan w:val="5"/>
            <w:shd w:val="clear" w:color="auto" w:fill="BDD6EE" w:themeFill="accent5" w:themeFillTint="66"/>
          </w:tcPr>
          <w:p w14:paraId="51B54C33" w14:textId="77777777" w:rsidR="000417DE" w:rsidRPr="00D21977" w:rsidRDefault="000417DE" w:rsidP="003455F1">
            <w:pPr>
              <w:spacing w:before="60" w:after="60"/>
              <w:rPr>
                <w:rFonts w:ascii="Garamond" w:eastAsia="Times New Roman" w:hAnsi="Garamond" w:cs="Times New Roman"/>
                <w:color w:val="000000"/>
                <w:sz w:val="20"/>
                <w:szCs w:val="20"/>
                <w:lang w:eastAsia="es-ES"/>
              </w:rPr>
            </w:pPr>
          </w:p>
        </w:tc>
      </w:tr>
      <w:tr w:rsidR="000417DE" w:rsidRPr="00446E94" w14:paraId="62D374BC" w14:textId="77777777" w:rsidTr="00DB5033">
        <w:trPr>
          <w:trHeight w:val="579"/>
          <w:jc w:val="center"/>
        </w:trPr>
        <w:tc>
          <w:tcPr>
            <w:tcW w:w="2830" w:type="dxa"/>
            <w:vMerge w:val="restart"/>
            <w:shd w:val="clear" w:color="auto" w:fill="FFFFFF" w:themeFill="background1"/>
          </w:tcPr>
          <w:p w14:paraId="336CFA86" w14:textId="77777777" w:rsidR="000417DE" w:rsidRPr="00D27497" w:rsidRDefault="000417DE" w:rsidP="003455F1">
            <w:pPr>
              <w:rPr>
                <w:rFonts w:ascii="Garamond" w:hAnsi="Garamond" w:cs="Times New Roman"/>
                <w:sz w:val="20"/>
                <w:szCs w:val="20"/>
                <w:lang w:val="pt-PT"/>
              </w:rPr>
            </w:pPr>
            <w:r w:rsidRPr="00D27497">
              <w:rPr>
                <w:rFonts w:ascii="Garamond" w:hAnsi="Garamond"/>
                <w:sz w:val="20"/>
                <w:szCs w:val="20"/>
                <w:lang w:val="pt-PT"/>
              </w:rPr>
              <w:t>6.1. A produção estatística permite uma análise mais aprofundada e maior divulgação da situação nacional e subnacional de género em Cabo Verde</w:t>
            </w:r>
          </w:p>
        </w:tc>
        <w:tc>
          <w:tcPr>
            <w:tcW w:w="3616" w:type="dxa"/>
            <w:shd w:val="clear" w:color="auto" w:fill="FFFFFF" w:themeFill="background1"/>
            <w:vAlign w:val="center"/>
          </w:tcPr>
          <w:p w14:paraId="76D3C037"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6.1a Número de </w:t>
            </w:r>
            <w:r w:rsidRPr="00D27497">
              <w:rPr>
                <w:rFonts w:ascii="Garamond" w:hAnsi="Garamond"/>
                <w:sz w:val="20"/>
                <w:szCs w:val="20"/>
                <w:lang w:val="pt-PT"/>
              </w:rPr>
              <w:t>análises de género subnacionais (ilha / domínios ou Municípios) disponíveis e divulgadas</w:t>
            </w:r>
          </w:p>
        </w:tc>
        <w:tc>
          <w:tcPr>
            <w:tcW w:w="1134" w:type="dxa"/>
            <w:shd w:val="clear" w:color="auto" w:fill="FFFFFF" w:themeFill="background1"/>
            <w:vAlign w:val="center"/>
          </w:tcPr>
          <w:p w14:paraId="34820082"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7A5A3EE2"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32B6520"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ICIEG</w:t>
            </w:r>
            <w:proofErr w:type="spellEnd"/>
          </w:p>
        </w:tc>
      </w:tr>
      <w:tr w:rsidR="000417DE" w:rsidRPr="005808D4" w14:paraId="6746BA42" w14:textId="77777777" w:rsidTr="00DB5033">
        <w:trPr>
          <w:trHeight w:val="841"/>
          <w:jc w:val="center"/>
        </w:trPr>
        <w:tc>
          <w:tcPr>
            <w:tcW w:w="2830" w:type="dxa"/>
            <w:vMerge/>
            <w:shd w:val="clear" w:color="auto" w:fill="FFFFFF" w:themeFill="background1"/>
          </w:tcPr>
          <w:p w14:paraId="653230BA" w14:textId="77777777" w:rsidR="000417DE" w:rsidRPr="00446E94" w:rsidRDefault="000417DE" w:rsidP="003455F1">
            <w:pPr>
              <w:rPr>
                <w:rFonts w:ascii="Garamond" w:hAnsi="Garamond"/>
                <w:sz w:val="20"/>
                <w:szCs w:val="20"/>
              </w:rPr>
            </w:pPr>
          </w:p>
        </w:tc>
        <w:tc>
          <w:tcPr>
            <w:tcW w:w="3616" w:type="dxa"/>
            <w:shd w:val="clear" w:color="auto" w:fill="FFFFFF" w:themeFill="background1"/>
            <w:vAlign w:val="center"/>
          </w:tcPr>
          <w:p w14:paraId="51844701" w14:textId="77777777" w:rsidR="000417DE" w:rsidRPr="00D27497" w:rsidRDefault="000417DE" w:rsidP="003455F1">
            <w:pPr>
              <w:rPr>
                <w:rFonts w:ascii="Garamond" w:hAnsi="Garamond"/>
                <w:bCs/>
                <w:sz w:val="20"/>
                <w:szCs w:val="20"/>
                <w:lang w:val="pt-PT"/>
              </w:rPr>
            </w:pPr>
            <w:r w:rsidRPr="00D27497">
              <w:rPr>
                <w:rFonts w:ascii="Garamond" w:hAnsi="Garamond"/>
                <w:bCs/>
                <w:sz w:val="20"/>
                <w:szCs w:val="20"/>
                <w:lang w:val="pt-PT"/>
              </w:rPr>
              <w:t>6.1b Número de valorizações dos dados de i</w:t>
            </w:r>
            <w:r w:rsidRPr="00D27497">
              <w:rPr>
                <w:rFonts w:ascii="Garamond" w:hAnsi="Garamond" w:cs="Times New Roman"/>
                <w:sz w:val="20"/>
                <w:szCs w:val="20"/>
                <w:lang w:val="pt-PT"/>
              </w:rPr>
              <w:t xml:space="preserve">nquéritos realizados em matéria de género (análise de género integrada ou em publicação específica) </w:t>
            </w:r>
          </w:p>
        </w:tc>
        <w:tc>
          <w:tcPr>
            <w:tcW w:w="1134" w:type="dxa"/>
            <w:shd w:val="clear" w:color="auto" w:fill="FFFFFF" w:themeFill="background1"/>
            <w:vAlign w:val="center"/>
          </w:tcPr>
          <w:p w14:paraId="5AA4DFBB"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 xml:space="preserve">2 </w:t>
            </w:r>
          </w:p>
          <w:p w14:paraId="0227F822" w14:textId="77777777" w:rsidR="000417DE" w:rsidRPr="00576488" w:rsidRDefault="000417DE" w:rsidP="003455F1">
            <w:pPr>
              <w:spacing w:before="60" w:after="60"/>
              <w:jc w:val="center"/>
              <w:rPr>
                <w:rFonts w:ascii="Garamond" w:eastAsia="Times New Roman" w:hAnsi="Garamond" w:cs="Times New Roman"/>
                <w:color w:val="000000"/>
                <w:sz w:val="16"/>
                <w:szCs w:val="16"/>
                <w:lang w:eastAsia="es-ES"/>
              </w:rPr>
            </w:pPr>
            <w:r w:rsidRPr="00576488">
              <w:rPr>
                <w:rFonts w:ascii="Garamond" w:eastAsia="Times New Roman" w:hAnsi="Garamond" w:cs="Times New Roman"/>
                <w:color w:val="000000"/>
                <w:sz w:val="16"/>
                <w:szCs w:val="16"/>
                <w:lang w:eastAsia="es-ES"/>
              </w:rPr>
              <w:t>(</w:t>
            </w:r>
            <w:proofErr w:type="spellStart"/>
            <w:r w:rsidRPr="00576488">
              <w:rPr>
                <w:rFonts w:ascii="Garamond" w:eastAsia="Times New Roman" w:hAnsi="Garamond" w:cs="Times New Roman"/>
                <w:color w:val="000000"/>
                <w:sz w:val="16"/>
                <w:szCs w:val="16"/>
                <w:lang w:eastAsia="es-ES"/>
              </w:rPr>
              <w:t>Censo</w:t>
            </w:r>
            <w:proofErr w:type="spellEnd"/>
            <w:r w:rsidRPr="00576488">
              <w:rPr>
                <w:rFonts w:ascii="Garamond" w:eastAsia="Times New Roman" w:hAnsi="Garamond" w:cs="Times New Roman"/>
                <w:color w:val="000000"/>
                <w:sz w:val="16"/>
                <w:szCs w:val="16"/>
                <w:lang w:eastAsia="es-ES"/>
              </w:rPr>
              <w:t xml:space="preserve"> 2010, </w:t>
            </w:r>
            <w:proofErr w:type="spellStart"/>
            <w:r w:rsidRPr="00576488">
              <w:rPr>
                <w:rFonts w:ascii="Garamond" w:eastAsia="Times New Roman" w:hAnsi="Garamond" w:cs="Times New Roman"/>
                <w:color w:val="000000"/>
                <w:sz w:val="16"/>
                <w:szCs w:val="16"/>
                <w:lang w:eastAsia="es-ES"/>
              </w:rPr>
              <w:t>IUT</w:t>
            </w:r>
            <w:proofErr w:type="spellEnd"/>
            <w:r w:rsidRPr="00576488">
              <w:rPr>
                <w:rFonts w:ascii="Garamond" w:eastAsia="Times New Roman" w:hAnsi="Garamond" w:cs="Times New Roman"/>
                <w:color w:val="000000"/>
                <w:sz w:val="16"/>
                <w:szCs w:val="16"/>
                <w:lang w:eastAsia="es-ES"/>
              </w:rPr>
              <w:t>)</w:t>
            </w:r>
          </w:p>
        </w:tc>
        <w:tc>
          <w:tcPr>
            <w:tcW w:w="1134" w:type="dxa"/>
            <w:shd w:val="clear" w:color="auto" w:fill="FFFFFF" w:themeFill="background1"/>
            <w:vAlign w:val="center"/>
          </w:tcPr>
          <w:p w14:paraId="5266D2BE"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4DAFAB2D"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Publicações </w:t>
            </w:r>
            <w:proofErr w:type="gramStart"/>
            <w:r w:rsidRPr="00D27497">
              <w:rPr>
                <w:rFonts w:ascii="Garamond" w:eastAsia="Times New Roman" w:hAnsi="Garamond" w:cs="Times New Roman"/>
                <w:color w:val="000000"/>
                <w:sz w:val="20"/>
                <w:szCs w:val="20"/>
                <w:lang w:val="pt-PT" w:eastAsia="es-ES"/>
              </w:rPr>
              <w:t>das análise</w:t>
            </w:r>
            <w:proofErr w:type="gramEnd"/>
            <w:r w:rsidRPr="00D27497">
              <w:rPr>
                <w:rFonts w:ascii="Garamond" w:eastAsia="Times New Roman" w:hAnsi="Garamond" w:cs="Times New Roman"/>
                <w:color w:val="000000"/>
                <w:sz w:val="20"/>
                <w:szCs w:val="20"/>
                <w:lang w:val="pt-PT" w:eastAsia="es-ES"/>
              </w:rPr>
              <w:t xml:space="preserve"> de género</w:t>
            </w:r>
          </w:p>
        </w:tc>
      </w:tr>
      <w:tr w:rsidR="000417DE" w:rsidRPr="00446E94" w14:paraId="58D4B257" w14:textId="77777777" w:rsidTr="00DB5033">
        <w:trPr>
          <w:trHeight w:val="775"/>
          <w:jc w:val="center"/>
        </w:trPr>
        <w:tc>
          <w:tcPr>
            <w:tcW w:w="2830" w:type="dxa"/>
            <w:vMerge/>
            <w:shd w:val="clear" w:color="auto" w:fill="FFFFFF" w:themeFill="background1"/>
          </w:tcPr>
          <w:p w14:paraId="1F6458CF" w14:textId="77777777" w:rsidR="000417DE" w:rsidRPr="00D27497" w:rsidRDefault="000417DE" w:rsidP="003455F1">
            <w:pPr>
              <w:rPr>
                <w:rFonts w:ascii="Garamond" w:hAnsi="Garamond"/>
                <w:sz w:val="20"/>
                <w:szCs w:val="20"/>
                <w:lang w:val="pt-PT"/>
              </w:rPr>
            </w:pPr>
          </w:p>
        </w:tc>
        <w:tc>
          <w:tcPr>
            <w:tcW w:w="3616" w:type="dxa"/>
            <w:shd w:val="clear" w:color="auto" w:fill="FFFFFF" w:themeFill="background1"/>
            <w:vAlign w:val="center"/>
          </w:tcPr>
          <w:p w14:paraId="67AFC714" w14:textId="77777777" w:rsidR="000417DE" w:rsidRPr="00D27497" w:rsidRDefault="000417DE" w:rsidP="003455F1">
            <w:pPr>
              <w:rPr>
                <w:rFonts w:ascii="Garamond" w:hAnsi="Garamond"/>
                <w:bCs/>
                <w:sz w:val="20"/>
                <w:szCs w:val="20"/>
                <w:lang w:val="pt-PT"/>
              </w:rPr>
            </w:pPr>
            <w:r w:rsidRPr="00D27497">
              <w:rPr>
                <w:rFonts w:ascii="Garamond" w:hAnsi="Garamond"/>
                <w:bCs/>
                <w:sz w:val="20"/>
                <w:szCs w:val="20"/>
                <w:lang w:val="pt-PT"/>
              </w:rPr>
              <w:t xml:space="preserve">6.1c Disponibilidade de estatísticas de género sobre (i) acesso ao crédito e microcrédito, (ii) salários e (iii) </w:t>
            </w:r>
            <w:r w:rsidRPr="00446E94">
              <w:rPr>
                <w:rFonts w:ascii="Garamond" w:hAnsi="Garamond" w:cs="Arial"/>
                <w:sz w:val="20"/>
                <w:szCs w:val="20"/>
                <w:lang w:val="pt-BR"/>
              </w:rPr>
              <w:t xml:space="preserve">conciliação </w:t>
            </w:r>
            <w:r w:rsidRPr="00D27497">
              <w:rPr>
                <w:rFonts w:ascii="Garamond" w:hAnsi="Garamond"/>
                <w:sz w:val="20"/>
                <w:szCs w:val="20"/>
                <w:lang w:val="pt-PT"/>
              </w:rPr>
              <w:t>da vida familiar e laboral</w:t>
            </w:r>
          </w:p>
        </w:tc>
        <w:tc>
          <w:tcPr>
            <w:tcW w:w="1134" w:type="dxa"/>
            <w:shd w:val="clear" w:color="auto" w:fill="FFFFFF" w:themeFill="background1"/>
            <w:vAlign w:val="center"/>
          </w:tcPr>
          <w:p w14:paraId="5D7527D9"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1134" w:type="dxa"/>
            <w:shd w:val="clear" w:color="auto" w:fill="FFFFFF" w:themeFill="background1"/>
            <w:vAlign w:val="center"/>
          </w:tcPr>
          <w:p w14:paraId="7286AB03"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335B839B"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Publicações</w:t>
            </w:r>
            <w:proofErr w:type="spellEnd"/>
            <w:r>
              <w:rPr>
                <w:rFonts w:ascii="Garamond" w:eastAsia="Times New Roman" w:hAnsi="Garamond" w:cs="Times New Roman"/>
                <w:color w:val="000000"/>
                <w:sz w:val="20"/>
                <w:szCs w:val="20"/>
                <w:lang w:eastAsia="es-ES"/>
              </w:rPr>
              <w:t xml:space="preserve"> dos dados</w:t>
            </w:r>
          </w:p>
        </w:tc>
      </w:tr>
      <w:tr w:rsidR="000417DE" w:rsidRPr="00446E94" w14:paraId="0178FDFE" w14:textId="77777777" w:rsidTr="00DB5033">
        <w:trPr>
          <w:trHeight w:val="988"/>
          <w:jc w:val="center"/>
        </w:trPr>
        <w:tc>
          <w:tcPr>
            <w:tcW w:w="2830" w:type="dxa"/>
            <w:vMerge w:val="restart"/>
            <w:shd w:val="clear" w:color="auto" w:fill="FFFFFF" w:themeFill="background1"/>
          </w:tcPr>
          <w:p w14:paraId="72CA960F"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6.2. Melhoradas as capacidades da Comissão de Género e dos </w:t>
            </w:r>
            <w:proofErr w:type="spellStart"/>
            <w:r w:rsidRPr="00D27497">
              <w:rPr>
                <w:rFonts w:ascii="Garamond" w:hAnsi="Garamond"/>
                <w:sz w:val="20"/>
                <w:szCs w:val="20"/>
                <w:lang w:val="pt-PT"/>
              </w:rPr>
              <w:t>setores</w:t>
            </w:r>
            <w:proofErr w:type="spellEnd"/>
            <w:r w:rsidRPr="00D27497">
              <w:rPr>
                <w:rFonts w:ascii="Garamond" w:hAnsi="Garamond"/>
                <w:sz w:val="20"/>
                <w:szCs w:val="20"/>
                <w:lang w:val="pt-PT"/>
              </w:rPr>
              <w:t xml:space="preserve"> para a </w:t>
            </w:r>
            <w:proofErr w:type="spellStart"/>
            <w:r w:rsidRPr="00D27497">
              <w:rPr>
                <w:rFonts w:ascii="Garamond" w:hAnsi="Garamond"/>
                <w:sz w:val="20"/>
                <w:szCs w:val="20"/>
                <w:lang w:val="pt-PT"/>
              </w:rPr>
              <w:t>transversalização</w:t>
            </w:r>
            <w:proofErr w:type="spellEnd"/>
            <w:r w:rsidRPr="00D27497">
              <w:rPr>
                <w:rFonts w:ascii="Garamond" w:hAnsi="Garamond"/>
                <w:sz w:val="20"/>
                <w:szCs w:val="20"/>
                <w:lang w:val="pt-PT"/>
              </w:rPr>
              <w:t xml:space="preserve"> da abordagem de género e implementação e seguimento dos compromissos nacionais e internacionais de género</w:t>
            </w:r>
          </w:p>
        </w:tc>
        <w:tc>
          <w:tcPr>
            <w:tcW w:w="3616" w:type="dxa"/>
            <w:shd w:val="clear" w:color="auto" w:fill="FFFFFF" w:themeFill="background1"/>
            <w:vAlign w:val="center"/>
          </w:tcPr>
          <w:p w14:paraId="60EBB136" w14:textId="77777777" w:rsidR="000417DE" w:rsidRPr="00D27497" w:rsidRDefault="000417DE" w:rsidP="003455F1">
            <w:pPr>
              <w:rPr>
                <w:rFonts w:ascii="Garamond" w:hAnsi="Garamond"/>
                <w:bCs/>
                <w:sz w:val="20"/>
                <w:szCs w:val="20"/>
                <w:lang w:val="pt-PT"/>
              </w:rPr>
            </w:pPr>
            <w:r w:rsidRPr="00D27497">
              <w:rPr>
                <w:rFonts w:ascii="Garamond" w:hAnsi="Garamond"/>
                <w:bCs/>
                <w:sz w:val="20"/>
                <w:szCs w:val="20"/>
                <w:lang w:val="pt-PT"/>
              </w:rPr>
              <w:t xml:space="preserve">6.2a Disponibilidade de relatórios anuais da </w:t>
            </w:r>
            <w:r w:rsidRPr="00D27497">
              <w:rPr>
                <w:rFonts w:ascii="Garamond" w:hAnsi="Garamond"/>
                <w:sz w:val="20"/>
                <w:szCs w:val="20"/>
                <w:lang w:val="pt-PT"/>
              </w:rPr>
              <w:t xml:space="preserve">Comissão de Género sobre a implementação do </w:t>
            </w:r>
            <w:proofErr w:type="spellStart"/>
            <w:r w:rsidRPr="00D27497">
              <w:rPr>
                <w:rFonts w:ascii="Garamond" w:hAnsi="Garamond"/>
                <w:sz w:val="20"/>
                <w:szCs w:val="20"/>
                <w:lang w:val="pt-PT"/>
              </w:rPr>
              <w:t>PNIG</w:t>
            </w:r>
            <w:proofErr w:type="spellEnd"/>
            <w:r w:rsidRPr="00D27497">
              <w:rPr>
                <w:rFonts w:ascii="Garamond" w:hAnsi="Garamond"/>
                <w:sz w:val="20"/>
                <w:szCs w:val="20"/>
                <w:lang w:val="pt-PT"/>
              </w:rPr>
              <w:t xml:space="preserve"> e compromissos de género do </w:t>
            </w:r>
            <w:proofErr w:type="spellStart"/>
            <w:r w:rsidRPr="00D27497">
              <w:rPr>
                <w:rFonts w:ascii="Garamond" w:hAnsi="Garamond"/>
                <w:sz w:val="20"/>
                <w:szCs w:val="20"/>
                <w:lang w:val="pt-PT"/>
              </w:rPr>
              <w:t>PEDS</w:t>
            </w:r>
            <w:proofErr w:type="spellEnd"/>
          </w:p>
        </w:tc>
        <w:tc>
          <w:tcPr>
            <w:tcW w:w="1134" w:type="dxa"/>
            <w:shd w:val="clear" w:color="auto" w:fill="FFFFFF" w:themeFill="background1"/>
            <w:vAlign w:val="center"/>
          </w:tcPr>
          <w:p w14:paraId="4CFA56E2"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Não</w:t>
            </w:r>
            <w:proofErr w:type="spellEnd"/>
          </w:p>
        </w:tc>
        <w:tc>
          <w:tcPr>
            <w:tcW w:w="1134" w:type="dxa"/>
            <w:shd w:val="clear" w:color="auto" w:fill="FFFFFF" w:themeFill="background1"/>
            <w:vAlign w:val="center"/>
          </w:tcPr>
          <w:p w14:paraId="3AE3F604"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661D018"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da CG</w:t>
            </w:r>
          </w:p>
        </w:tc>
      </w:tr>
      <w:tr w:rsidR="000417DE" w:rsidRPr="005808D4" w14:paraId="087CBAAE" w14:textId="77777777" w:rsidTr="00DB5033">
        <w:trPr>
          <w:trHeight w:val="703"/>
          <w:jc w:val="center"/>
        </w:trPr>
        <w:tc>
          <w:tcPr>
            <w:tcW w:w="2830" w:type="dxa"/>
            <w:vMerge/>
            <w:shd w:val="clear" w:color="auto" w:fill="FFFFFF" w:themeFill="background1"/>
          </w:tcPr>
          <w:p w14:paraId="19B4A183" w14:textId="77777777" w:rsidR="000417DE" w:rsidRPr="00446E94" w:rsidRDefault="000417DE" w:rsidP="003455F1">
            <w:pPr>
              <w:rPr>
                <w:rFonts w:ascii="Garamond" w:hAnsi="Garamond"/>
                <w:sz w:val="20"/>
                <w:szCs w:val="20"/>
              </w:rPr>
            </w:pPr>
          </w:p>
        </w:tc>
        <w:tc>
          <w:tcPr>
            <w:tcW w:w="3616" w:type="dxa"/>
            <w:shd w:val="clear" w:color="auto" w:fill="FFFFFF" w:themeFill="background1"/>
            <w:vAlign w:val="center"/>
          </w:tcPr>
          <w:p w14:paraId="41A4E6D2" w14:textId="77777777" w:rsidR="000417DE" w:rsidRPr="00D27497" w:rsidRDefault="000417DE" w:rsidP="003455F1">
            <w:pPr>
              <w:rPr>
                <w:rFonts w:ascii="Garamond" w:hAnsi="Garamond"/>
                <w:sz w:val="20"/>
                <w:szCs w:val="20"/>
                <w:lang w:val="pt-PT"/>
              </w:rPr>
            </w:pPr>
            <w:r w:rsidRPr="00D27497">
              <w:rPr>
                <w:rFonts w:ascii="Garamond" w:hAnsi="Garamond"/>
                <w:bCs/>
                <w:sz w:val="20"/>
                <w:szCs w:val="20"/>
                <w:lang w:val="pt-PT"/>
              </w:rPr>
              <w:t xml:space="preserve">6.2b Qualidade das classificações </w:t>
            </w:r>
            <w:r w:rsidRPr="00D27497">
              <w:rPr>
                <w:rFonts w:ascii="Garamond" w:hAnsi="Garamond"/>
                <w:lang w:val="pt-PT"/>
              </w:rPr>
              <w:t xml:space="preserve">atribuídas no </w:t>
            </w:r>
            <w:r w:rsidRPr="00D27497">
              <w:rPr>
                <w:rFonts w:ascii="Garamond" w:hAnsi="Garamond"/>
                <w:sz w:val="20"/>
                <w:szCs w:val="20"/>
                <w:lang w:val="pt-PT"/>
              </w:rPr>
              <w:t>Marcador de Orçamental de Género</w:t>
            </w:r>
          </w:p>
        </w:tc>
        <w:tc>
          <w:tcPr>
            <w:tcW w:w="1134" w:type="dxa"/>
            <w:shd w:val="clear" w:color="auto" w:fill="FFFFFF" w:themeFill="background1"/>
            <w:vAlign w:val="center"/>
          </w:tcPr>
          <w:p w14:paraId="6E37EF86"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ND</w:t>
            </w:r>
          </w:p>
        </w:tc>
        <w:tc>
          <w:tcPr>
            <w:tcW w:w="1134" w:type="dxa"/>
            <w:shd w:val="clear" w:color="auto" w:fill="FFFFFF" w:themeFill="background1"/>
            <w:vAlign w:val="center"/>
          </w:tcPr>
          <w:p w14:paraId="72ECD91E"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03525468"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Estudo de controle de qualidade</w:t>
            </w:r>
          </w:p>
        </w:tc>
      </w:tr>
      <w:tr w:rsidR="000417DE" w:rsidRPr="005808D4" w14:paraId="114D0DD5" w14:textId="77777777" w:rsidTr="00DB5033">
        <w:trPr>
          <w:trHeight w:val="703"/>
          <w:jc w:val="center"/>
        </w:trPr>
        <w:tc>
          <w:tcPr>
            <w:tcW w:w="2830" w:type="dxa"/>
            <w:shd w:val="clear" w:color="auto" w:fill="FFFFFF" w:themeFill="background1"/>
          </w:tcPr>
          <w:p w14:paraId="34124EBA" w14:textId="77777777" w:rsidR="000417DE" w:rsidRPr="000417DE" w:rsidRDefault="000417DE" w:rsidP="003455F1">
            <w:pPr>
              <w:rPr>
                <w:rFonts w:ascii="Garamond" w:hAnsi="Garamond"/>
                <w:sz w:val="20"/>
                <w:szCs w:val="20"/>
                <w:lang w:val="pt-PT"/>
              </w:rPr>
            </w:pPr>
            <w:r w:rsidRPr="000417DE">
              <w:rPr>
                <w:rFonts w:ascii="Garamond" w:hAnsi="Garamond"/>
                <w:sz w:val="20"/>
                <w:szCs w:val="20"/>
                <w:lang w:val="pt-PT"/>
              </w:rPr>
              <w:t xml:space="preserve">6.3. Melhoradas as capacidades dos municípios e dos </w:t>
            </w:r>
            <w:proofErr w:type="spellStart"/>
            <w:r w:rsidRPr="000417DE">
              <w:rPr>
                <w:rFonts w:ascii="Garamond" w:hAnsi="Garamond"/>
                <w:sz w:val="20"/>
                <w:szCs w:val="20"/>
                <w:lang w:val="pt-PT"/>
              </w:rPr>
              <w:t>atores</w:t>
            </w:r>
            <w:proofErr w:type="spellEnd"/>
            <w:r w:rsidRPr="000417DE">
              <w:rPr>
                <w:rFonts w:ascii="Garamond" w:hAnsi="Garamond"/>
                <w:sz w:val="20"/>
                <w:szCs w:val="20"/>
                <w:lang w:val="pt-PT"/>
              </w:rPr>
              <w:t xml:space="preserve"> locais para a </w:t>
            </w:r>
            <w:proofErr w:type="spellStart"/>
            <w:r w:rsidRPr="000417DE">
              <w:rPr>
                <w:rFonts w:ascii="Garamond" w:hAnsi="Garamond"/>
                <w:sz w:val="20"/>
                <w:szCs w:val="20"/>
                <w:lang w:val="pt-PT"/>
              </w:rPr>
              <w:t>transversalização</w:t>
            </w:r>
            <w:proofErr w:type="spellEnd"/>
            <w:r w:rsidRPr="000417DE">
              <w:rPr>
                <w:rFonts w:ascii="Garamond" w:hAnsi="Garamond"/>
                <w:sz w:val="20"/>
                <w:szCs w:val="20"/>
                <w:lang w:val="pt-PT"/>
              </w:rPr>
              <w:t xml:space="preserve"> da abordagem de género e implementação e seguimento das prioridades locais de género</w:t>
            </w:r>
          </w:p>
        </w:tc>
        <w:tc>
          <w:tcPr>
            <w:tcW w:w="3616" w:type="dxa"/>
            <w:shd w:val="clear" w:color="auto" w:fill="FFFFFF" w:themeFill="background1"/>
            <w:vAlign w:val="center"/>
          </w:tcPr>
          <w:p w14:paraId="3D62F1CE" w14:textId="77777777" w:rsidR="000417DE" w:rsidRPr="000417DE" w:rsidRDefault="000417DE" w:rsidP="003455F1">
            <w:pPr>
              <w:rPr>
                <w:rFonts w:ascii="Garamond" w:hAnsi="Garamond"/>
                <w:bCs/>
                <w:sz w:val="20"/>
                <w:szCs w:val="20"/>
                <w:lang w:val="pt-PT"/>
              </w:rPr>
            </w:pPr>
            <w:r w:rsidRPr="000417DE">
              <w:rPr>
                <w:rFonts w:ascii="Garamond" w:hAnsi="Garamond"/>
                <w:sz w:val="20"/>
                <w:szCs w:val="20"/>
                <w:lang w:val="pt-PT"/>
              </w:rPr>
              <w:t xml:space="preserve">6.3a Número de municípios de têm </w:t>
            </w:r>
            <w:proofErr w:type="spellStart"/>
            <w:r w:rsidRPr="000417DE">
              <w:rPr>
                <w:rFonts w:ascii="Garamond" w:hAnsi="Garamond"/>
                <w:sz w:val="20"/>
                <w:szCs w:val="20"/>
                <w:lang w:val="pt-PT"/>
              </w:rPr>
              <w:t>PMEDS</w:t>
            </w:r>
            <w:proofErr w:type="spellEnd"/>
            <w:r w:rsidRPr="000417DE">
              <w:rPr>
                <w:rFonts w:ascii="Garamond" w:hAnsi="Garamond"/>
                <w:sz w:val="20"/>
                <w:szCs w:val="20"/>
                <w:lang w:val="pt-PT"/>
              </w:rPr>
              <w:t xml:space="preserve"> com diagnóstico género e projectos promotores da igualdade de género </w:t>
            </w:r>
          </w:p>
        </w:tc>
        <w:tc>
          <w:tcPr>
            <w:tcW w:w="1134" w:type="dxa"/>
            <w:shd w:val="clear" w:color="auto" w:fill="FFFFFF" w:themeFill="background1"/>
            <w:vAlign w:val="center"/>
          </w:tcPr>
          <w:p w14:paraId="17E337EE"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9</w:t>
            </w:r>
          </w:p>
        </w:tc>
        <w:tc>
          <w:tcPr>
            <w:tcW w:w="1134" w:type="dxa"/>
            <w:shd w:val="clear" w:color="auto" w:fill="FFFFFF" w:themeFill="background1"/>
            <w:vAlign w:val="center"/>
          </w:tcPr>
          <w:p w14:paraId="02E55738"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2018</w:t>
            </w:r>
          </w:p>
        </w:tc>
        <w:tc>
          <w:tcPr>
            <w:tcW w:w="1701" w:type="dxa"/>
            <w:shd w:val="clear" w:color="auto" w:fill="FFFFFF" w:themeFill="background1"/>
            <w:vAlign w:val="center"/>
          </w:tcPr>
          <w:p w14:paraId="334FA3D6" w14:textId="77777777" w:rsidR="000417DE" w:rsidRPr="00D27497" w:rsidRDefault="000417DE" w:rsidP="003455F1">
            <w:pPr>
              <w:spacing w:before="60" w:after="60"/>
              <w:jc w:val="center"/>
              <w:rPr>
                <w:rFonts w:ascii="Garamond" w:eastAsia="Times New Roman" w:hAnsi="Garamond" w:cs="Times New Roman"/>
                <w:color w:val="000000"/>
                <w:sz w:val="20"/>
                <w:szCs w:val="20"/>
                <w:lang w:val="pt-PT" w:eastAsia="es-ES"/>
              </w:rPr>
            </w:pPr>
            <w:r w:rsidRPr="00D27497">
              <w:rPr>
                <w:rFonts w:ascii="Garamond" w:eastAsia="Times New Roman" w:hAnsi="Garamond" w:cs="Times New Roman"/>
                <w:color w:val="000000"/>
                <w:sz w:val="20"/>
                <w:szCs w:val="20"/>
                <w:lang w:val="pt-PT" w:eastAsia="es-ES"/>
              </w:rPr>
              <w:t xml:space="preserve">Programa de </w:t>
            </w:r>
            <w:r w:rsidRPr="00D27497">
              <w:rPr>
                <w:rFonts w:ascii="Garamond" w:hAnsi="Garamond"/>
                <w:lang w:val="pt-PT"/>
              </w:rPr>
              <w:t xml:space="preserve">Plataformas para a Localização dos </w:t>
            </w:r>
            <w:proofErr w:type="spellStart"/>
            <w:r w:rsidRPr="00D27497">
              <w:rPr>
                <w:rFonts w:ascii="Garamond" w:hAnsi="Garamond"/>
                <w:lang w:val="pt-PT"/>
              </w:rPr>
              <w:t>ODS</w:t>
            </w:r>
            <w:proofErr w:type="spellEnd"/>
          </w:p>
        </w:tc>
      </w:tr>
      <w:tr w:rsidR="000417DE" w:rsidRPr="00446E94" w14:paraId="610BCA4A" w14:textId="77777777" w:rsidTr="00DB5033">
        <w:trPr>
          <w:trHeight w:val="806"/>
          <w:jc w:val="center"/>
        </w:trPr>
        <w:tc>
          <w:tcPr>
            <w:tcW w:w="2830" w:type="dxa"/>
            <w:vMerge w:val="restart"/>
            <w:shd w:val="clear" w:color="auto" w:fill="FFFFFF" w:themeFill="background1"/>
          </w:tcPr>
          <w:p w14:paraId="54185AA0"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6.4. Melhorada a capacidade institucional de instituições e </w:t>
            </w:r>
            <w:proofErr w:type="spellStart"/>
            <w:r w:rsidRPr="00D27497">
              <w:rPr>
                <w:rFonts w:ascii="Garamond" w:hAnsi="Garamond"/>
                <w:sz w:val="20"/>
                <w:szCs w:val="20"/>
                <w:lang w:val="pt-PT"/>
              </w:rPr>
              <w:t>setores</w:t>
            </w:r>
            <w:proofErr w:type="spellEnd"/>
            <w:r w:rsidRPr="00D27497">
              <w:rPr>
                <w:rFonts w:ascii="Garamond" w:hAnsi="Garamond"/>
                <w:sz w:val="20"/>
                <w:szCs w:val="20"/>
                <w:lang w:val="pt-PT"/>
              </w:rPr>
              <w:t xml:space="preserve"> específicos para uma integração abrangente e consistente da igualdade de género</w:t>
            </w:r>
          </w:p>
        </w:tc>
        <w:tc>
          <w:tcPr>
            <w:tcW w:w="3616" w:type="dxa"/>
            <w:shd w:val="clear" w:color="auto" w:fill="FFFFFF" w:themeFill="background1"/>
            <w:vAlign w:val="center"/>
          </w:tcPr>
          <w:p w14:paraId="45599972"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6.4a Número de novos (i) Diagnósticos de Género, (ii) Estratégias, ou (iii) Plano de </w:t>
            </w:r>
            <w:proofErr w:type="spellStart"/>
            <w:r w:rsidRPr="00D27497">
              <w:rPr>
                <w:rFonts w:ascii="Garamond" w:hAnsi="Garamond"/>
                <w:sz w:val="20"/>
                <w:szCs w:val="20"/>
                <w:lang w:val="pt-PT"/>
              </w:rPr>
              <w:t>Ação</w:t>
            </w:r>
            <w:proofErr w:type="spellEnd"/>
            <w:r w:rsidRPr="00D27497">
              <w:rPr>
                <w:rFonts w:ascii="Garamond" w:hAnsi="Garamond"/>
                <w:sz w:val="20"/>
                <w:szCs w:val="20"/>
                <w:lang w:val="pt-PT"/>
              </w:rPr>
              <w:t xml:space="preserve"> de género sectoriais desenvolvidos</w:t>
            </w:r>
          </w:p>
        </w:tc>
        <w:tc>
          <w:tcPr>
            <w:tcW w:w="1134" w:type="dxa"/>
            <w:shd w:val="clear" w:color="auto" w:fill="FFFFFF" w:themeFill="background1"/>
            <w:vAlign w:val="center"/>
          </w:tcPr>
          <w:p w14:paraId="196084C8"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26D2A262"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79AC4624"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Documentos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ou</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publicações</w:t>
            </w:r>
            <w:proofErr w:type="spellEnd"/>
          </w:p>
        </w:tc>
      </w:tr>
      <w:tr w:rsidR="000417DE" w:rsidRPr="00446E94" w14:paraId="7CB95AA5" w14:textId="77777777" w:rsidTr="00DB5033">
        <w:trPr>
          <w:trHeight w:val="703"/>
          <w:jc w:val="center"/>
        </w:trPr>
        <w:tc>
          <w:tcPr>
            <w:tcW w:w="2830" w:type="dxa"/>
            <w:vMerge/>
            <w:shd w:val="clear" w:color="auto" w:fill="FFFFFF" w:themeFill="background1"/>
          </w:tcPr>
          <w:p w14:paraId="1C5C526D" w14:textId="77777777" w:rsidR="000417DE" w:rsidRPr="00446E94" w:rsidRDefault="000417DE" w:rsidP="003455F1">
            <w:pPr>
              <w:rPr>
                <w:rFonts w:ascii="Garamond" w:hAnsi="Garamond"/>
                <w:sz w:val="20"/>
                <w:szCs w:val="20"/>
              </w:rPr>
            </w:pPr>
          </w:p>
        </w:tc>
        <w:tc>
          <w:tcPr>
            <w:tcW w:w="3616" w:type="dxa"/>
            <w:shd w:val="clear" w:color="auto" w:fill="FFFFFF" w:themeFill="background1"/>
            <w:vAlign w:val="center"/>
          </w:tcPr>
          <w:p w14:paraId="1CD2D566" w14:textId="77777777" w:rsidR="000417DE" w:rsidRPr="00D27497" w:rsidRDefault="000417DE" w:rsidP="003455F1">
            <w:pPr>
              <w:rPr>
                <w:rFonts w:ascii="Garamond" w:hAnsi="Garamond"/>
                <w:sz w:val="20"/>
                <w:szCs w:val="20"/>
                <w:lang w:val="pt-PT"/>
              </w:rPr>
            </w:pPr>
            <w:r w:rsidRPr="00D27497">
              <w:rPr>
                <w:rFonts w:ascii="Garamond" w:hAnsi="Garamond"/>
                <w:sz w:val="20"/>
                <w:szCs w:val="20"/>
                <w:lang w:val="pt-PT"/>
              </w:rPr>
              <w:t xml:space="preserve">6.4b Taxa de implementação física das Estratégias e Planos de </w:t>
            </w:r>
            <w:proofErr w:type="spellStart"/>
            <w:r w:rsidRPr="00D27497">
              <w:rPr>
                <w:rFonts w:ascii="Garamond" w:hAnsi="Garamond"/>
                <w:sz w:val="20"/>
                <w:szCs w:val="20"/>
                <w:lang w:val="pt-PT"/>
              </w:rPr>
              <w:t>Ação</w:t>
            </w:r>
            <w:proofErr w:type="spellEnd"/>
            <w:r w:rsidRPr="00D27497">
              <w:rPr>
                <w:rFonts w:ascii="Garamond" w:hAnsi="Garamond"/>
                <w:sz w:val="20"/>
                <w:szCs w:val="20"/>
                <w:lang w:val="pt-PT"/>
              </w:rPr>
              <w:t xml:space="preserve"> </w:t>
            </w:r>
            <w:proofErr w:type="spellStart"/>
            <w:r w:rsidRPr="00D27497">
              <w:rPr>
                <w:rFonts w:ascii="Garamond" w:hAnsi="Garamond"/>
                <w:sz w:val="20"/>
                <w:szCs w:val="20"/>
                <w:lang w:val="pt-PT"/>
              </w:rPr>
              <w:t>setoriais</w:t>
            </w:r>
            <w:proofErr w:type="spellEnd"/>
            <w:r w:rsidRPr="00D27497">
              <w:rPr>
                <w:rFonts w:ascii="Garamond" w:hAnsi="Garamond"/>
                <w:sz w:val="20"/>
                <w:szCs w:val="20"/>
                <w:lang w:val="pt-PT"/>
              </w:rPr>
              <w:t xml:space="preserve"> de Género (novos e pré-existentes) (% de medidas previstas implementadas)</w:t>
            </w:r>
          </w:p>
        </w:tc>
        <w:tc>
          <w:tcPr>
            <w:tcW w:w="1134" w:type="dxa"/>
            <w:shd w:val="clear" w:color="auto" w:fill="FFFFFF" w:themeFill="background1"/>
            <w:vAlign w:val="center"/>
          </w:tcPr>
          <w:p w14:paraId="5F516D90"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0%</w:t>
            </w:r>
          </w:p>
        </w:tc>
        <w:tc>
          <w:tcPr>
            <w:tcW w:w="1134" w:type="dxa"/>
            <w:shd w:val="clear" w:color="auto" w:fill="FFFFFF" w:themeFill="background1"/>
            <w:vAlign w:val="center"/>
          </w:tcPr>
          <w:p w14:paraId="51E52067" w14:textId="77777777" w:rsidR="000417DE" w:rsidRDefault="000417DE" w:rsidP="003455F1">
            <w:pPr>
              <w:spacing w:before="60" w:after="60"/>
              <w:jc w:val="center"/>
              <w:rPr>
                <w:rFonts w:ascii="Garamond" w:eastAsia="Times New Roman" w:hAnsi="Garamond" w:cs="Times New Roman"/>
                <w:color w:val="000000"/>
                <w:sz w:val="20"/>
                <w:szCs w:val="20"/>
                <w:lang w:eastAsia="es-ES"/>
              </w:rPr>
            </w:pPr>
            <w:r>
              <w:rPr>
                <w:rFonts w:ascii="Garamond" w:eastAsia="Times New Roman" w:hAnsi="Garamond" w:cs="Times New Roman"/>
                <w:color w:val="000000"/>
                <w:sz w:val="20"/>
                <w:szCs w:val="20"/>
                <w:lang w:eastAsia="es-ES"/>
              </w:rPr>
              <w:t>2019</w:t>
            </w:r>
          </w:p>
        </w:tc>
        <w:tc>
          <w:tcPr>
            <w:tcW w:w="1701" w:type="dxa"/>
            <w:shd w:val="clear" w:color="auto" w:fill="FFFFFF" w:themeFill="background1"/>
            <w:vAlign w:val="center"/>
          </w:tcPr>
          <w:p w14:paraId="5E18E941" w14:textId="77777777" w:rsidR="000417DE" w:rsidRPr="00446E94" w:rsidRDefault="000417DE" w:rsidP="003455F1">
            <w:pPr>
              <w:spacing w:before="60" w:after="60"/>
              <w:jc w:val="center"/>
              <w:rPr>
                <w:rFonts w:ascii="Garamond" w:eastAsia="Times New Roman" w:hAnsi="Garamond" w:cs="Times New Roman"/>
                <w:color w:val="000000"/>
                <w:sz w:val="20"/>
                <w:szCs w:val="20"/>
                <w:lang w:eastAsia="es-ES"/>
              </w:rPr>
            </w:pPr>
            <w:proofErr w:type="spellStart"/>
            <w:r>
              <w:rPr>
                <w:rFonts w:ascii="Garamond" w:eastAsia="Times New Roman" w:hAnsi="Garamond" w:cs="Times New Roman"/>
                <w:color w:val="000000"/>
                <w:sz w:val="20"/>
                <w:szCs w:val="20"/>
                <w:lang w:eastAsia="es-ES"/>
              </w:rPr>
              <w:t>Relatórios</w:t>
            </w:r>
            <w:proofErr w:type="spellEnd"/>
            <w:r>
              <w:rPr>
                <w:rFonts w:ascii="Garamond" w:eastAsia="Times New Roman" w:hAnsi="Garamond" w:cs="Times New Roman"/>
                <w:color w:val="000000"/>
                <w:sz w:val="20"/>
                <w:szCs w:val="20"/>
                <w:lang w:eastAsia="es-ES"/>
              </w:rPr>
              <w:t xml:space="preserve"> </w:t>
            </w:r>
            <w:proofErr w:type="spellStart"/>
            <w:r>
              <w:rPr>
                <w:rFonts w:ascii="Garamond" w:eastAsia="Times New Roman" w:hAnsi="Garamond" w:cs="Times New Roman"/>
                <w:color w:val="000000"/>
                <w:sz w:val="20"/>
                <w:szCs w:val="20"/>
                <w:lang w:eastAsia="es-ES"/>
              </w:rPr>
              <w:t>Comissão</w:t>
            </w:r>
            <w:proofErr w:type="spellEnd"/>
            <w:r>
              <w:rPr>
                <w:rFonts w:ascii="Garamond" w:eastAsia="Times New Roman" w:hAnsi="Garamond" w:cs="Times New Roman"/>
                <w:color w:val="000000"/>
                <w:sz w:val="20"/>
                <w:szCs w:val="20"/>
                <w:lang w:eastAsia="es-ES"/>
              </w:rPr>
              <w:t xml:space="preserve"> de </w:t>
            </w:r>
            <w:proofErr w:type="spellStart"/>
            <w:r>
              <w:rPr>
                <w:rFonts w:ascii="Garamond" w:eastAsia="Times New Roman" w:hAnsi="Garamond" w:cs="Times New Roman"/>
                <w:color w:val="000000"/>
                <w:sz w:val="20"/>
                <w:szCs w:val="20"/>
                <w:lang w:eastAsia="es-ES"/>
              </w:rPr>
              <w:t>Género</w:t>
            </w:r>
            <w:proofErr w:type="spellEnd"/>
          </w:p>
        </w:tc>
      </w:tr>
    </w:tbl>
    <w:p w14:paraId="6DD76BB1" w14:textId="77777777" w:rsidR="000417DE" w:rsidRDefault="000417DE" w:rsidP="000417DE">
      <w:pPr>
        <w:shd w:val="clear" w:color="auto" w:fill="FFFFFF" w:themeFill="background1"/>
        <w:rPr>
          <w:rFonts w:ascii="Garamond" w:hAnsi="Garamond"/>
          <w:bCs/>
          <w:sz w:val="20"/>
          <w:szCs w:val="20"/>
        </w:rPr>
      </w:pPr>
    </w:p>
    <w:p w14:paraId="66A2484E" w14:textId="77777777" w:rsidR="000417DE" w:rsidRPr="000417DE" w:rsidRDefault="000417DE" w:rsidP="00D27497">
      <w:pPr>
        <w:jc w:val="center"/>
        <w:rPr>
          <w:lang w:val="pt-PT"/>
        </w:rPr>
      </w:pPr>
    </w:p>
    <w:p w14:paraId="0026D8E8" w14:textId="70F7169C" w:rsidR="001401FB" w:rsidRDefault="001401FB" w:rsidP="001401FB">
      <w:pPr>
        <w:rPr>
          <w:lang w:val="pt-PT"/>
        </w:rPr>
      </w:pPr>
    </w:p>
    <w:p w14:paraId="522B5E46" w14:textId="77777777" w:rsidR="00A96B34" w:rsidRPr="001401FB" w:rsidRDefault="00A96B34" w:rsidP="001401FB">
      <w:pPr>
        <w:rPr>
          <w:lang w:val="pt-PT"/>
        </w:rPr>
      </w:pPr>
    </w:p>
    <w:p w14:paraId="7CC892A6" w14:textId="5457A53F" w:rsidR="00703104" w:rsidRPr="001535DE" w:rsidRDefault="00703104" w:rsidP="001535DE">
      <w:pPr>
        <w:spacing w:after="160" w:line="259" w:lineRule="auto"/>
        <w:jc w:val="both"/>
        <w:rPr>
          <w:rFonts w:ascii="Garamond" w:hAnsi="Garamond"/>
          <w:sz w:val="20"/>
          <w:szCs w:val="20"/>
          <w:lang w:val="pt-PT"/>
        </w:rPr>
      </w:pPr>
      <w:r w:rsidRPr="001535DE">
        <w:rPr>
          <w:rFonts w:ascii="Garamond" w:hAnsi="Garamond"/>
          <w:lang w:val="pt-PT"/>
        </w:rPr>
        <w:br w:type="page"/>
      </w:r>
    </w:p>
    <w:p w14:paraId="31DE3AC6" w14:textId="135AE4E3" w:rsidR="00531CA7" w:rsidRPr="00512C73" w:rsidRDefault="00306070" w:rsidP="00512C73">
      <w:pPr>
        <w:pStyle w:val="PargrafodaLista"/>
        <w:spacing w:after="240"/>
        <w:ind w:left="0"/>
        <w:jc w:val="both"/>
        <w:outlineLvl w:val="1"/>
        <w:rPr>
          <w:rFonts w:ascii="Garamond" w:hAnsi="Garamond" w:cs="Times New Roman"/>
          <w:b/>
          <w:sz w:val="32"/>
          <w:szCs w:val="32"/>
          <w:lang w:val="pt-PT"/>
        </w:rPr>
      </w:pPr>
      <w:bookmarkStart w:id="119" w:name="_Toc32858140"/>
      <w:r>
        <w:rPr>
          <w:rFonts w:ascii="Garamond" w:hAnsi="Garamond" w:cs="Times New Roman"/>
          <w:b/>
          <w:sz w:val="32"/>
          <w:szCs w:val="32"/>
          <w:lang w:val="pt-PT"/>
        </w:rPr>
        <w:t>Estimativa o</w:t>
      </w:r>
      <w:r w:rsidR="00BD6B00">
        <w:rPr>
          <w:rFonts w:ascii="Garamond" w:hAnsi="Garamond" w:cs="Times New Roman"/>
          <w:b/>
          <w:sz w:val="32"/>
          <w:szCs w:val="32"/>
          <w:lang w:val="pt-PT"/>
        </w:rPr>
        <w:t>rçament</w:t>
      </w:r>
      <w:r>
        <w:rPr>
          <w:rFonts w:ascii="Garamond" w:hAnsi="Garamond" w:cs="Times New Roman"/>
          <w:b/>
          <w:sz w:val="32"/>
          <w:szCs w:val="32"/>
          <w:lang w:val="pt-PT"/>
        </w:rPr>
        <w:t>al</w:t>
      </w:r>
      <w:r w:rsidR="00BD6B00">
        <w:rPr>
          <w:rFonts w:ascii="Garamond" w:hAnsi="Garamond" w:cs="Times New Roman"/>
          <w:b/>
          <w:sz w:val="32"/>
          <w:szCs w:val="32"/>
          <w:lang w:val="pt-PT"/>
        </w:rPr>
        <w:t xml:space="preserve"> e </w:t>
      </w:r>
      <w:r w:rsidR="004318F3" w:rsidRPr="00512C73">
        <w:rPr>
          <w:rFonts w:ascii="Garamond" w:hAnsi="Garamond" w:cs="Times New Roman"/>
          <w:b/>
          <w:sz w:val="32"/>
          <w:szCs w:val="32"/>
          <w:lang w:val="pt-PT"/>
        </w:rPr>
        <w:t>m</w:t>
      </w:r>
      <w:r w:rsidR="00531CA7" w:rsidRPr="00512C73">
        <w:rPr>
          <w:rFonts w:ascii="Garamond" w:hAnsi="Garamond" w:cs="Times New Roman"/>
          <w:b/>
          <w:sz w:val="32"/>
          <w:szCs w:val="32"/>
          <w:lang w:val="pt-PT"/>
        </w:rPr>
        <w:t>obilização de recursos</w:t>
      </w:r>
      <w:bookmarkEnd w:id="119"/>
      <w:r w:rsidR="00531CA7" w:rsidRPr="00512C73">
        <w:rPr>
          <w:rFonts w:ascii="Garamond" w:hAnsi="Garamond" w:cs="Times New Roman"/>
          <w:b/>
          <w:sz w:val="32"/>
          <w:szCs w:val="32"/>
          <w:lang w:val="pt-PT"/>
        </w:rPr>
        <w:t xml:space="preserve"> </w:t>
      </w:r>
    </w:p>
    <w:p w14:paraId="504D46C6" w14:textId="77777777" w:rsidR="00101AD2" w:rsidRDefault="00B240D6" w:rsidP="00B240D6">
      <w:pPr>
        <w:spacing w:after="240"/>
        <w:jc w:val="both"/>
        <w:rPr>
          <w:rFonts w:ascii="Garamond" w:hAnsi="Garamond" w:cs="Times New Roman"/>
          <w:lang w:val="pt-PT"/>
        </w:rPr>
      </w:pPr>
      <w:r>
        <w:rPr>
          <w:rFonts w:ascii="Garamond" w:hAnsi="Garamond" w:cs="Arial"/>
          <w:lang w:val="pt-PT"/>
        </w:rPr>
        <w:t xml:space="preserve">Como já referido, o </w:t>
      </w:r>
      <w:proofErr w:type="spellStart"/>
      <w:r>
        <w:rPr>
          <w:rFonts w:ascii="Garamond" w:hAnsi="Garamond" w:cs="Arial"/>
          <w:lang w:val="pt-PT"/>
        </w:rPr>
        <w:t>PNIG</w:t>
      </w:r>
      <w:proofErr w:type="spellEnd"/>
      <w:r>
        <w:rPr>
          <w:rFonts w:ascii="Garamond" w:hAnsi="Garamond" w:cs="Arial"/>
          <w:lang w:val="pt-PT"/>
        </w:rPr>
        <w:t xml:space="preserve"> consiste n</w:t>
      </w:r>
      <w:r w:rsidRPr="001121BE">
        <w:rPr>
          <w:rFonts w:ascii="Garamond" w:hAnsi="Garamond" w:cs="Arial"/>
          <w:lang w:val="pt-PT"/>
        </w:rPr>
        <w:t>uma agenda</w:t>
      </w:r>
      <w:r>
        <w:rPr>
          <w:rFonts w:ascii="Garamond" w:hAnsi="Garamond" w:cs="Arial"/>
          <w:lang w:val="pt-PT"/>
        </w:rPr>
        <w:t xml:space="preserve"> comum</w:t>
      </w:r>
      <w:r w:rsidRPr="001121BE">
        <w:rPr>
          <w:rFonts w:ascii="Garamond" w:hAnsi="Garamond" w:cs="Arial"/>
          <w:lang w:val="pt-PT"/>
        </w:rPr>
        <w:t xml:space="preserve"> </w:t>
      </w:r>
      <w:r>
        <w:rPr>
          <w:rFonts w:ascii="Garamond" w:hAnsi="Garamond" w:cs="Arial"/>
          <w:lang w:val="pt-PT"/>
        </w:rPr>
        <w:t xml:space="preserve">para </w:t>
      </w:r>
      <w:r w:rsidRPr="001121BE">
        <w:rPr>
          <w:rFonts w:ascii="Garamond" w:hAnsi="Garamond" w:cs="Arial"/>
          <w:lang w:val="pt-PT"/>
        </w:rPr>
        <w:t xml:space="preserve">os diferentes </w:t>
      </w:r>
      <w:proofErr w:type="spellStart"/>
      <w:r w:rsidRPr="001121BE">
        <w:rPr>
          <w:rFonts w:ascii="Garamond" w:hAnsi="Garamond" w:cs="Arial"/>
          <w:lang w:val="pt-PT"/>
        </w:rPr>
        <w:t>atores</w:t>
      </w:r>
      <w:proofErr w:type="spellEnd"/>
      <w:r w:rsidRPr="001121BE">
        <w:rPr>
          <w:rFonts w:ascii="Garamond" w:hAnsi="Garamond" w:cs="Arial"/>
          <w:lang w:val="pt-PT"/>
        </w:rPr>
        <w:t xml:space="preserve"> (Governo, Sociedade Civil Organizada, Sector Privado e Parceiros de Desenvolvimento) para o desenvolvimento de </w:t>
      </w:r>
      <w:proofErr w:type="spellStart"/>
      <w:r w:rsidRPr="001121BE">
        <w:rPr>
          <w:rFonts w:ascii="Garamond" w:hAnsi="Garamond" w:cs="Arial"/>
          <w:lang w:val="pt-PT"/>
        </w:rPr>
        <w:t>ações</w:t>
      </w:r>
      <w:proofErr w:type="spellEnd"/>
      <w:r w:rsidRPr="001121BE">
        <w:rPr>
          <w:rFonts w:ascii="Garamond" w:hAnsi="Garamond" w:cs="Arial"/>
          <w:lang w:val="pt-PT"/>
        </w:rPr>
        <w:t xml:space="preserve"> que garantam a igualdade </w:t>
      </w:r>
      <w:proofErr w:type="spellStart"/>
      <w:r w:rsidRPr="001121BE">
        <w:rPr>
          <w:rFonts w:ascii="Garamond" w:hAnsi="Garamond" w:cs="Arial"/>
          <w:lang w:val="pt-PT"/>
        </w:rPr>
        <w:t>efetiva</w:t>
      </w:r>
      <w:proofErr w:type="spellEnd"/>
      <w:r w:rsidRPr="001121BE">
        <w:rPr>
          <w:rFonts w:ascii="Garamond" w:hAnsi="Garamond" w:cs="Arial"/>
          <w:lang w:val="pt-PT"/>
        </w:rPr>
        <w:t xml:space="preserve"> entre mulheres e homens</w:t>
      </w:r>
      <w:r>
        <w:rPr>
          <w:rFonts w:ascii="Garamond" w:hAnsi="Garamond" w:cs="Arial"/>
          <w:lang w:val="pt-PT"/>
        </w:rPr>
        <w:t xml:space="preserve">, oferecendo um quadro de coordenação, parceria e sinergias, e facilitando a </w:t>
      </w:r>
      <w:r w:rsidRPr="00B240D6">
        <w:rPr>
          <w:rFonts w:ascii="Garamond" w:hAnsi="Garamond" w:cs="Times New Roman"/>
          <w:lang w:val="pt-PT"/>
        </w:rPr>
        <w:t>mobilização de recursos financeiros, materiais e humanos</w:t>
      </w:r>
      <w:r>
        <w:rPr>
          <w:rFonts w:ascii="Garamond" w:hAnsi="Garamond" w:cs="Times New Roman"/>
          <w:lang w:val="pt-PT"/>
        </w:rPr>
        <w:t>,</w:t>
      </w:r>
      <w:r w:rsidRPr="00B240D6">
        <w:rPr>
          <w:rFonts w:ascii="Garamond" w:hAnsi="Garamond" w:cs="Times New Roman"/>
          <w:lang w:val="pt-PT"/>
        </w:rPr>
        <w:t xml:space="preserve"> tanto a nível interno como externo. </w:t>
      </w:r>
    </w:p>
    <w:p w14:paraId="271D0C2A" w14:textId="52AF9B20" w:rsidR="00B240D6" w:rsidRDefault="00101AD2" w:rsidP="00B240D6">
      <w:pPr>
        <w:spacing w:after="240"/>
        <w:jc w:val="both"/>
        <w:rPr>
          <w:rFonts w:ascii="Garamond" w:hAnsi="Garamond" w:cs="Times New Roman"/>
          <w:lang w:val="pt-PT"/>
        </w:rPr>
      </w:pPr>
      <w:r>
        <w:rPr>
          <w:rFonts w:ascii="Garamond" w:hAnsi="Garamond" w:cs="Times New Roman"/>
          <w:lang w:val="pt-PT"/>
        </w:rPr>
        <w:t xml:space="preserve">O </w:t>
      </w:r>
      <w:proofErr w:type="spellStart"/>
      <w:r>
        <w:rPr>
          <w:rFonts w:ascii="Garamond" w:hAnsi="Garamond" w:cs="Times New Roman"/>
          <w:lang w:val="pt-PT"/>
        </w:rPr>
        <w:t>PNIG</w:t>
      </w:r>
      <w:proofErr w:type="spellEnd"/>
      <w:r>
        <w:rPr>
          <w:rFonts w:ascii="Garamond" w:hAnsi="Garamond" w:cs="Times New Roman"/>
          <w:lang w:val="pt-PT"/>
        </w:rPr>
        <w:t xml:space="preserve"> </w:t>
      </w:r>
      <w:proofErr w:type="spellStart"/>
      <w:r>
        <w:rPr>
          <w:rFonts w:ascii="Garamond" w:hAnsi="Garamond" w:cs="Times New Roman"/>
          <w:lang w:val="pt-PT"/>
        </w:rPr>
        <w:t>reflete</w:t>
      </w:r>
      <w:proofErr w:type="spellEnd"/>
      <w:r>
        <w:rPr>
          <w:rFonts w:ascii="Garamond" w:hAnsi="Garamond" w:cs="Times New Roman"/>
          <w:lang w:val="pt-PT"/>
        </w:rPr>
        <w:t xml:space="preserve"> o engajamento do Programa do Governo para a IX Legislatura com a </w:t>
      </w:r>
      <w:r w:rsidRPr="00101AD2">
        <w:rPr>
          <w:rFonts w:ascii="Garamond" w:hAnsi="Garamond" w:cs="Times New Roman"/>
          <w:lang w:val="pt-PT"/>
        </w:rPr>
        <w:t xml:space="preserve">redução das desigualdades </w:t>
      </w:r>
      <w:r>
        <w:rPr>
          <w:rFonts w:ascii="Garamond" w:hAnsi="Garamond" w:cs="Times New Roman"/>
          <w:lang w:val="pt-PT"/>
        </w:rPr>
        <w:t xml:space="preserve">sociais, e o </w:t>
      </w:r>
      <w:r w:rsidRPr="00101AD2">
        <w:rPr>
          <w:rFonts w:ascii="Garamond" w:hAnsi="Garamond" w:cs="Times New Roman"/>
          <w:lang w:val="pt-PT"/>
        </w:rPr>
        <w:t>princípio da transversalidade de g</w:t>
      </w:r>
      <w:r>
        <w:rPr>
          <w:rFonts w:ascii="Garamond" w:hAnsi="Garamond" w:cs="Times New Roman"/>
          <w:lang w:val="pt-PT"/>
        </w:rPr>
        <w:t>é</w:t>
      </w:r>
      <w:r w:rsidRPr="00101AD2">
        <w:rPr>
          <w:rFonts w:ascii="Garamond" w:hAnsi="Garamond" w:cs="Times New Roman"/>
          <w:lang w:val="pt-PT"/>
        </w:rPr>
        <w:t xml:space="preserve">nero </w:t>
      </w:r>
      <w:r>
        <w:rPr>
          <w:rFonts w:ascii="Garamond" w:hAnsi="Garamond" w:cs="Times New Roman"/>
          <w:lang w:val="pt-PT"/>
        </w:rPr>
        <w:t>n</w:t>
      </w:r>
      <w:r w:rsidRPr="00101AD2">
        <w:rPr>
          <w:rFonts w:ascii="Garamond" w:hAnsi="Garamond" w:cs="Times New Roman"/>
          <w:lang w:val="pt-PT"/>
        </w:rPr>
        <w:t>as políticas públicas</w:t>
      </w:r>
      <w:r>
        <w:rPr>
          <w:rFonts w:ascii="Garamond" w:hAnsi="Garamond" w:cs="Times New Roman"/>
          <w:lang w:val="pt-PT"/>
        </w:rPr>
        <w:t xml:space="preserve">, como </w:t>
      </w:r>
      <w:r w:rsidRPr="00101AD2">
        <w:rPr>
          <w:rFonts w:ascii="Garamond" w:hAnsi="Garamond" w:cs="Times New Roman"/>
          <w:lang w:val="pt-PT"/>
        </w:rPr>
        <w:t xml:space="preserve">explicitado </w:t>
      </w:r>
      <w:r>
        <w:rPr>
          <w:rFonts w:ascii="Garamond" w:hAnsi="Garamond" w:cs="Times New Roman"/>
          <w:lang w:val="pt-PT"/>
        </w:rPr>
        <w:t xml:space="preserve">no </w:t>
      </w:r>
      <w:proofErr w:type="spellStart"/>
      <w:r>
        <w:rPr>
          <w:rFonts w:ascii="Garamond" w:hAnsi="Garamond" w:cs="Times New Roman"/>
          <w:lang w:val="pt-PT"/>
        </w:rPr>
        <w:t>PEDS</w:t>
      </w:r>
      <w:proofErr w:type="spellEnd"/>
      <w:r>
        <w:rPr>
          <w:rFonts w:ascii="Garamond" w:hAnsi="Garamond" w:cs="Times New Roman"/>
          <w:lang w:val="pt-PT"/>
        </w:rPr>
        <w:t xml:space="preserve">, no </w:t>
      </w:r>
      <w:r w:rsidRPr="00101AD2">
        <w:rPr>
          <w:rFonts w:ascii="Garamond" w:hAnsi="Garamond" w:cs="Times New Roman"/>
          <w:lang w:val="pt-PT"/>
        </w:rPr>
        <w:t xml:space="preserve">entendimento de que </w:t>
      </w:r>
      <w:r>
        <w:rPr>
          <w:rFonts w:ascii="Garamond" w:hAnsi="Garamond" w:cs="Times New Roman"/>
          <w:lang w:val="pt-PT"/>
        </w:rPr>
        <w:t xml:space="preserve">as questões de género são uma </w:t>
      </w:r>
      <w:r w:rsidRPr="00101AD2">
        <w:rPr>
          <w:rFonts w:ascii="Garamond" w:hAnsi="Garamond" w:cs="Times New Roman"/>
          <w:lang w:val="pt-PT"/>
        </w:rPr>
        <w:t>dimens</w:t>
      </w:r>
      <w:r>
        <w:rPr>
          <w:rFonts w:ascii="Garamond" w:hAnsi="Garamond" w:cs="Times New Roman"/>
          <w:lang w:val="pt-PT"/>
        </w:rPr>
        <w:t xml:space="preserve">ão </w:t>
      </w:r>
      <w:r w:rsidRPr="00101AD2">
        <w:rPr>
          <w:rFonts w:ascii="Garamond" w:hAnsi="Garamond" w:cs="Times New Roman"/>
          <w:lang w:val="pt-PT"/>
        </w:rPr>
        <w:t>estruturante da</w:t>
      </w:r>
      <w:r>
        <w:rPr>
          <w:rFonts w:ascii="Garamond" w:hAnsi="Garamond" w:cs="Times New Roman"/>
          <w:lang w:val="pt-PT"/>
        </w:rPr>
        <w:t>s</w:t>
      </w:r>
      <w:r w:rsidRPr="00101AD2">
        <w:rPr>
          <w:rFonts w:ascii="Garamond" w:hAnsi="Garamond" w:cs="Times New Roman"/>
          <w:lang w:val="pt-PT"/>
        </w:rPr>
        <w:t xml:space="preserve"> desigualdades sociais </w:t>
      </w:r>
      <w:r>
        <w:rPr>
          <w:rFonts w:ascii="Garamond" w:hAnsi="Garamond" w:cs="Times New Roman"/>
          <w:lang w:val="pt-PT"/>
        </w:rPr>
        <w:t>no país.</w:t>
      </w:r>
      <w:r w:rsidRPr="00101AD2">
        <w:rPr>
          <w:rFonts w:ascii="Garamond" w:hAnsi="Garamond" w:cs="Times New Roman"/>
          <w:lang w:val="pt-PT"/>
        </w:rPr>
        <w:t xml:space="preserve"> </w:t>
      </w:r>
    </w:p>
    <w:p w14:paraId="2E5634E7" w14:textId="71263A15" w:rsidR="001946CA" w:rsidRDefault="00B240D6" w:rsidP="00B240D6">
      <w:pPr>
        <w:spacing w:after="240"/>
        <w:jc w:val="both"/>
        <w:rPr>
          <w:rFonts w:ascii="Garamond" w:hAnsi="Garamond" w:cs="Times New Roman"/>
          <w:lang w:val="pt-PT"/>
        </w:rPr>
      </w:pPr>
      <w:r>
        <w:rPr>
          <w:rFonts w:ascii="Garamond" w:hAnsi="Garamond" w:cs="Times New Roman"/>
          <w:lang w:val="pt-PT"/>
        </w:rPr>
        <w:t>O</w:t>
      </w:r>
      <w:r w:rsidR="001946CA">
        <w:rPr>
          <w:rFonts w:ascii="Garamond" w:hAnsi="Garamond" w:cs="Times New Roman"/>
          <w:lang w:val="pt-PT"/>
        </w:rPr>
        <w:t xml:space="preserve"> </w:t>
      </w:r>
      <w:proofErr w:type="spellStart"/>
      <w:r w:rsidR="001946CA">
        <w:rPr>
          <w:rFonts w:ascii="Garamond" w:hAnsi="Garamond" w:cs="Times New Roman"/>
          <w:lang w:val="pt-PT"/>
        </w:rPr>
        <w:t>ICIEG</w:t>
      </w:r>
      <w:proofErr w:type="spellEnd"/>
      <w:r w:rsidR="001946CA">
        <w:rPr>
          <w:rFonts w:ascii="Garamond" w:hAnsi="Garamond" w:cs="Times New Roman"/>
          <w:lang w:val="pt-PT"/>
        </w:rPr>
        <w:t xml:space="preserve"> é responsável </w:t>
      </w:r>
      <w:proofErr w:type="spellStart"/>
      <w:r w:rsidR="001946CA" w:rsidRPr="001946CA">
        <w:rPr>
          <w:rFonts w:ascii="Garamond" w:hAnsi="Garamond" w:cs="Times New Roman"/>
          <w:lang w:val="pt-PT"/>
        </w:rPr>
        <w:t>pela</w:t>
      </w:r>
      <w:proofErr w:type="spellEnd"/>
      <w:r w:rsidR="001946CA" w:rsidRPr="001946CA">
        <w:rPr>
          <w:rFonts w:ascii="Garamond" w:hAnsi="Garamond" w:cs="Times New Roman"/>
          <w:lang w:val="pt-PT"/>
        </w:rPr>
        <w:t xml:space="preserve"> implementação de </w:t>
      </w:r>
      <w:r w:rsidR="002A6A7A">
        <w:rPr>
          <w:rFonts w:ascii="Garamond" w:hAnsi="Garamond" w:cs="Times New Roman"/>
          <w:lang w:val="pt-PT"/>
        </w:rPr>
        <w:t>61</w:t>
      </w:r>
      <w:r w:rsidR="001946CA" w:rsidRPr="001946CA">
        <w:rPr>
          <w:rFonts w:ascii="Garamond" w:hAnsi="Garamond" w:cs="Times New Roman"/>
          <w:lang w:val="pt-PT"/>
        </w:rPr>
        <w:t xml:space="preserve"> medidas </w:t>
      </w:r>
      <w:r w:rsidR="001946CA">
        <w:rPr>
          <w:rFonts w:ascii="Garamond" w:hAnsi="Garamond" w:cs="Times New Roman"/>
          <w:lang w:val="pt-PT"/>
        </w:rPr>
        <w:t xml:space="preserve">de </w:t>
      </w:r>
      <w:proofErr w:type="spellStart"/>
      <w:r w:rsidR="001946CA">
        <w:rPr>
          <w:rFonts w:ascii="Garamond" w:hAnsi="Garamond" w:cs="Times New Roman"/>
          <w:lang w:val="pt-PT"/>
        </w:rPr>
        <w:t>ação</w:t>
      </w:r>
      <w:proofErr w:type="spellEnd"/>
      <w:r w:rsidR="001946CA">
        <w:rPr>
          <w:rFonts w:ascii="Garamond" w:hAnsi="Garamond" w:cs="Times New Roman"/>
          <w:lang w:val="pt-PT"/>
        </w:rPr>
        <w:t xml:space="preserve"> do </w:t>
      </w:r>
      <w:proofErr w:type="spellStart"/>
      <w:r w:rsidR="001946CA">
        <w:rPr>
          <w:rFonts w:ascii="Garamond" w:hAnsi="Garamond" w:cs="Times New Roman"/>
          <w:lang w:val="pt-PT"/>
        </w:rPr>
        <w:t>PNIG</w:t>
      </w:r>
      <w:proofErr w:type="spellEnd"/>
      <w:r w:rsidR="001946CA">
        <w:rPr>
          <w:rFonts w:ascii="Garamond" w:hAnsi="Garamond" w:cs="Times New Roman"/>
          <w:lang w:val="pt-PT"/>
        </w:rPr>
        <w:t xml:space="preserve">, </w:t>
      </w:r>
      <w:r w:rsidR="001946CA" w:rsidRPr="001946CA">
        <w:rPr>
          <w:rFonts w:ascii="Garamond" w:hAnsi="Garamond" w:cs="Times New Roman"/>
          <w:lang w:val="pt-PT"/>
        </w:rPr>
        <w:t xml:space="preserve">além da coordenação, </w:t>
      </w:r>
      <w:r w:rsidR="001946CA">
        <w:rPr>
          <w:rFonts w:ascii="Garamond" w:hAnsi="Garamond" w:cs="Times New Roman"/>
          <w:lang w:val="pt-PT"/>
        </w:rPr>
        <w:t xml:space="preserve">e </w:t>
      </w:r>
      <w:proofErr w:type="spellStart"/>
      <w:r w:rsidR="001946CA">
        <w:rPr>
          <w:rFonts w:ascii="Garamond" w:hAnsi="Garamond" w:cs="Times New Roman"/>
          <w:lang w:val="pt-PT"/>
        </w:rPr>
        <w:t>S&amp;A</w:t>
      </w:r>
      <w:proofErr w:type="spellEnd"/>
      <w:r w:rsidR="001946CA" w:rsidRPr="001946CA">
        <w:rPr>
          <w:rFonts w:ascii="Garamond" w:hAnsi="Garamond" w:cs="Times New Roman"/>
          <w:lang w:val="pt-PT"/>
        </w:rPr>
        <w:t xml:space="preserve"> do Plano</w:t>
      </w:r>
      <w:r w:rsidR="001946CA">
        <w:rPr>
          <w:rFonts w:ascii="Garamond" w:hAnsi="Garamond" w:cs="Times New Roman"/>
          <w:lang w:val="pt-PT"/>
        </w:rPr>
        <w:t xml:space="preserve">. </w:t>
      </w:r>
      <w:r w:rsidR="001946CA" w:rsidRPr="001946CA">
        <w:rPr>
          <w:rFonts w:ascii="Garamond" w:hAnsi="Garamond" w:cs="Times New Roman"/>
          <w:lang w:val="pt-PT"/>
        </w:rPr>
        <w:t>A</w:t>
      </w:r>
      <w:r w:rsidR="001946CA">
        <w:rPr>
          <w:rFonts w:ascii="Garamond" w:hAnsi="Garamond" w:cs="Times New Roman"/>
          <w:lang w:val="pt-PT"/>
        </w:rPr>
        <w:t xml:space="preserve">s restantes </w:t>
      </w:r>
      <w:r w:rsidR="002A6A7A">
        <w:rPr>
          <w:rFonts w:ascii="Garamond" w:hAnsi="Garamond" w:cs="Times New Roman"/>
          <w:lang w:val="pt-PT"/>
        </w:rPr>
        <w:t>148</w:t>
      </w:r>
      <w:r w:rsidR="001946CA" w:rsidRPr="001946CA">
        <w:rPr>
          <w:rFonts w:ascii="Garamond" w:hAnsi="Garamond" w:cs="Times New Roman"/>
          <w:lang w:val="pt-PT"/>
        </w:rPr>
        <w:t xml:space="preserve"> medidas </w:t>
      </w:r>
      <w:r w:rsidR="001946CA">
        <w:rPr>
          <w:rFonts w:ascii="Garamond" w:hAnsi="Garamond" w:cs="Times New Roman"/>
          <w:lang w:val="pt-PT"/>
        </w:rPr>
        <w:t xml:space="preserve">de </w:t>
      </w:r>
      <w:proofErr w:type="spellStart"/>
      <w:r w:rsidR="001946CA">
        <w:rPr>
          <w:rFonts w:ascii="Garamond" w:hAnsi="Garamond" w:cs="Times New Roman"/>
          <w:lang w:val="pt-PT"/>
        </w:rPr>
        <w:t>ação</w:t>
      </w:r>
      <w:proofErr w:type="spellEnd"/>
      <w:r w:rsidR="001946CA">
        <w:rPr>
          <w:rFonts w:ascii="Garamond" w:hAnsi="Garamond" w:cs="Times New Roman"/>
          <w:lang w:val="pt-PT"/>
        </w:rPr>
        <w:t xml:space="preserve"> estão sobre a responsabilidade de outras entidades e, na sua </w:t>
      </w:r>
      <w:r w:rsidR="001946CA" w:rsidRPr="001946CA">
        <w:rPr>
          <w:rFonts w:ascii="Garamond" w:hAnsi="Garamond" w:cs="Times New Roman"/>
          <w:lang w:val="pt-PT"/>
        </w:rPr>
        <w:t>grande maioria</w:t>
      </w:r>
      <w:r w:rsidR="001946CA">
        <w:rPr>
          <w:rFonts w:ascii="Garamond" w:hAnsi="Garamond" w:cs="Times New Roman"/>
          <w:lang w:val="pt-PT"/>
        </w:rPr>
        <w:t>, foram</w:t>
      </w:r>
      <w:r w:rsidR="001946CA" w:rsidRPr="001946CA">
        <w:rPr>
          <w:rFonts w:ascii="Garamond" w:hAnsi="Garamond" w:cs="Times New Roman"/>
          <w:lang w:val="pt-PT"/>
        </w:rPr>
        <w:t xml:space="preserve"> formuladas </w:t>
      </w:r>
      <w:r w:rsidR="001946CA">
        <w:rPr>
          <w:rFonts w:ascii="Garamond" w:hAnsi="Garamond" w:cs="Times New Roman"/>
          <w:lang w:val="pt-PT"/>
        </w:rPr>
        <w:t xml:space="preserve">como </w:t>
      </w:r>
      <w:r w:rsidR="001946CA" w:rsidRPr="001946CA">
        <w:rPr>
          <w:rFonts w:ascii="Garamond" w:hAnsi="Garamond" w:cs="Times New Roman"/>
          <w:lang w:val="pt-PT"/>
        </w:rPr>
        <w:t>contribui</w:t>
      </w:r>
      <w:r w:rsidR="001946CA">
        <w:rPr>
          <w:rFonts w:ascii="Garamond" w:hAnsi="Garamond" w:cs="Times New Roman"/>
          <w:lang w:val="pt-PT"/>
        </w:rPr>
        <w:t>ção para P</w:t>
      </w:r>
      <w:r w:rsidR="001946CA" w:rsidRPr="001946CA">
        <w:rPr>
          <w:rFonts w:ascii="Garamond" w:hAnsi="Garamond" w:cs="Times New Roman"/>
          <w:lang w:val="pt-PT"/>
        </w:rPr>
        <w:t>rogramas sectoriais já em curso</w:t>
      </w:r>
      <w:r w:rsidR="001946CA">
        <w:rPr>
          <w:rFonts w:ascii="Garamond" w:hAnsi="Garamond" w:cs="Times New Roman"/>
          <w:lang w:val="pt-PT"/>
        </w:rPr>
        <w:t xml:space="preserve">, no âmbito do </w:t>
      </w:r>
      <w:proofErr w:type="spellStart"/>
      <w:r w:rsidR="001946CA">
        <w:rPr>
          <w:rFonts w:ascii="Garamond" w:hAnsi="Garamond" w:cs="Times New Roman"/>
          <w:lang w:val="pt-PT"/>
        </w:rPr>
        <w:t>PEDS</w:t>
      </w:r>
      <w:proofErr w:type="spellEnd"/>
      <w:r w:rsidR="001946CA">
        <w:rPr>
          <w:rFonts w:ascii="Garamond" w:hAnsi="Garamond" w:cs="Times New Roman"/>
          <w:lang w:val="pt-PT"/>
        </w:rPr>
        <w:t xml:space="preserve">. Assim, </w:t>
      </w:r>
      <w:r w:rsidR="001946CA" w:rsidRPr="001946CA">
        <w:rPr>
          <w:rFonts w:ascii="Garamond" w:hAnsi="Garamond" w:cs="Times New Roman"/>
          <w:lang w:val="pt-PT"/>
        </w:rPr>
        <w:t>a estima</w:t>
      </w:r>
      <w:r w:rsidR="001946CA">
        <w:rPr>
          <w:rFonts w:ascii="Garamond" w:hAnsi="Garamond" w:cs="Times New Roman"/>
          <w:lang w:val="pt-PT"/>
        </w:rPr>
        <w:t xml:space="preserve">tiva </w:t>
      </w:r>
      <w:r w:rsidR="001946CA" w:rsidRPr="001946CA">
        <w:rPr>
          <w:rFonts w:ascii="Garamond" w:hAnsi="Garamond" w:cs="Times New Roman"/>
          <w:lang w:val="pt-PT"/>
        </w:rPr>
        <w:t>orçament</w:t>
      </w:r>
      <w:r w:rsidR="001946CA">
        <w:rPr>
          <w:rFonts w:ascii="Garamond" w:hAnsi="Garamond" w:cs="Times New Roman"/>
          <w:lang w:val="pt-PT"/>
        </w:rPr>
        <w:t xml:space="preserve">al </w:t>
      </w:r>
      <w:r w:rsidR="001946CA" w:rsidRPr="001946CA">
        <w:rPr>
          <w:rFonts w:ascii="Garamond" w:hAnsi="Garamond" w:cs="Times New Roman"/>
          <w:lang w:val="pt-PT"/>
        </w:rPr>
        <w:t>consider</w:t>
      </w:r>
      <w:r w:rsidR="001946CA">
        <w:rPr>
          <w:rFonts w:ascii="Garamond" w:hAnsi="Garamond" w:cs="Times New Roman"/>
          <w:lang w:val="pt-PT"/>
        </w:rPr>
        <w:t xml:space="preserve">ou apenas </w:t>
      </w:r>
      <w:r w:rsidR="001946CA" w:rsidRPr="001946CA">
        <w:rPr>
          <w:rFonts w:ascii="Garamond" w:hAnsi="Garamond" w:cs="Times New Roman"/>
          <w:lang w:val="pt-PT"/>
        </w:rPr>
        <w:t xml:space="preserve">os recursos </w:t>
      </w:r>
      <w:r w:rsidR="001946CA">
        <w:rPr>
          <w:rFonts w:ascii="Garamond" w:hAnsi="Garamond" w:cs="Times New Roman"/>
          <w:lang w:val="pt-PT"/>
        </w:rPr>
        <w:t xml:space="preserve">necessários </w:t>
      </w:r>
      <w:r w:rsidR="001946CA" w:rsidRPr="001946CA">
        <w:rPr>
          <w:rFonts w:ascii="Garamond" w:hAnsi="Garamond" w:cs="Times New Roman"/>
          <w:lang w:val="pt-PT"/>
        </w:rPr>
        <w:t xml:space="preserve">para integrar a abordagem de género nestes </w:t>
      </w:r>
      <w:r w:rsidR="001946CA">
        <w:rPr>
          <w:rFonts w:ascii="Garamond" w:hAnsi="Garamond" w:cs="Times New Roman"/>
          <w:lang w:val="pt-PT"/>
        </w:rPr>
        <w:t>P</w:t>
      </w:r>
      <w:r w:rsidR="001946CA" w:rsidRPr="001946CA">
        <w:rPr>
          <w:rFonts w:ascii="Garamond" w:hAnsi="Garamond" w:cs="Times New Roman"/>
          <w:lang w:val="pt-PT"/>
        </w:rPr>
        <w:t xml:space="preserve">rogramas, </w:t>
      </w:r>
      <w:r w:rsidR="001946CA">
        <w:rPr>
          <w:rFonts w:ascii="Garamond" w:hAnsi="Garamond" w:cs="Times New Roman"/>
          <w:lang w:val="pt-PT"/>
        </w:rPr>
        <w:t>já em curso</w:t>
      </w:r>
      <w:r w:rsidR="00704658">
        <w:rPr>
          <w:rFonts w:ascii="Garamond" w:hAnsi="Garamond" w:cs="Times New Roman"/>
          <w:lang w:val="pt-PT"/>
        </w:rPr>
        <w:t>. Regra geral os Programas, e os respectivos projectos, devem contemplar as medidas de género e orçamentos necessários para as concretizar</w:t>
      </w:r>
      <w:r w:rsidR="00A748F5">
        <w:rPr>
          <w:rFonts w:ascii="Garamond" w:hAnsi="Garamond" w:cs="Times New Roman"/>
          <w:lang w:val="pt-PT"/>
        </w:rPr>
        <w:t xml:space="preserve"> (explicitando-os</w:t>
      </w:r>
      <w:r w:rsidR="00E22454">
        <w:rPr>
          <w:rFonts w:ascii="Garamond" w:hAnsi="Garamond" w:cs="Times New Roman"/>
          <w:lang w:val="pt-PT"/>
        </w:rPr>
        <w:t xml:space="preserve"> nos seus orçamentos de projectos/programas </w:t>
      </w:r>
      <w:proofErr w:type="spellStart"/>
      <w:r w:rsidR="00E22454">
        <w:rPr>
          <w:rFonts w:ascii="Garamond" w:hAnsi="Garamond" w:cs="Times New Roman"/>
          <w:lang w:val="pt-PT"/>
        </w:rPr>
        <w:t>setoriais</w:t>
      </w:r>
      <w:proofErr w:type="spellEnd"/>
      <w:r w:rsidR="00A748F5">
        <w:rPr>
          <w:rFonts w:ascii="Garamond" w:hAnsi="Garamond" w:cs="Times New Roman"/>
          <w:lang w:val="pt-PT"/>
        </w:rPr>
        <w:t>)</w:t>
      </w:r>
      <w:r w:rsidR="00704658">
        <w:rPr>
          <w:rFonts w:ascii="Garamond" w:hAnsi="Garamond" w:cs="Times New Roman"/>
          <w:lang w:val="pt-PT"/>
        </w:rPr>
        <w:t xml:space="preserve">, dando corpo à lógica da orçamentação sensível ao género e substância ao Marcador Orçamental de Género, que visa contabilizar e seguir os investimentos de género em todos os </w:t>
      </w:r>
      <w:r w:rsidR="00E22454">
        <w:rPr>
          <w:rFonts w:ascii="Garamond" w:hAnsi="Garamond" w:cs="Times New Roman"/>
          <w:lang w:val="pt-PT"/>
        </w:rPr>
        <w:t>projectos, programas e sectores.</w:t>
      </w:r>
      <w:r w:rsidR="0048343B">
        <w:rPr>
          <w:rFonts w:ascii="Garamond" w:hAnsi="Garamond" w:cs="Times New Roman"/>
          <w:lang w:val="pt-PT"/>
        </w:rPr>
        <w:t xml:space="preserve"> A montagem do Sistema Nacional de Cuidados tem um orçamento próprio, no contexto do Plano Nacional de Cuidados.</w:t>
      </w:r>
      <w:r w:rsidR="00704658">
        <w:rPr>
          <w:rFonts w:ascii="Garamond" w:hAnsi="Garamond" w:cs="Times New Roman"/>
          <w:lang w:val="pt-PT"/>
        </w:rPr>
        <w:t xml:space="preserve">  </w:t>
      </w:r>
    </w:p>
    <w:p w14:paraId="2FC01302" w14:textId="01C4515E" w:rsidR="00B240D6" w:rsidRPr="00FF55AF" w:rsidRDefault="00B240D6" w:rsidP="00B240D6">
      <w:pPr>
        <w:spacing w:after="240" w:line="259" w:lineRule="auto"/>
        <w:jc w:val="both"/>
        <w:rPr>
          <w:rFonts w:ascii="Garamond" w:hAnsi="Garamond" w:cs="Times New Roman"/>
          <w:lang w:val="pt-PT"/>
        </w:rPr>
      </w:pPr>
      <w:r>
        <w:rPr>
          <w:rFonts w:ascii="Garamond" w:hAnsi="Garamond" w:cs="Times New Roman"/>
          <w:lang w:val="pt-PT"/>
        </w:rPr>
        <w:t xml:space="preserve">Todos os parceiros de desenvolvimento de Cabo Verde têm uma agenda de género e apoiam os esforços nacionais, em particular no contexto da Agenda 2030, que reconhece a transversalidade </w:t>
      </w:r>
      <w:r w:rsidRPr="00FF55AF">
        <w:rPr>
          <w:rFonts w:ascii="Garamond" w:hAnsi="Garamond" w:cs="Times New Roman"/>
          <w:lang w:val="pt-PT"/>
        </w:rPr>
        <w:t xml:space="preserve">da igualdade de género para o alcance dos </w:t>
      </w:r>
      <w:proofErr w:type="spellStart"/>
      <w:r w:rsidRPr="00FF55AF">
        <w:rPr>
          <w:rFonts w:ascii="Garamond" w:hAnsi="Garamond" w:cs="Times New Roman"/>
          <w:lang w:val="pt-PT"/>
        </w:rPr>
        <w:t>ODS</w:t>
      </w:r>
      <w:proofErr w:type="spellEnd"/>
      <w:r w:rsidR="00101AD2" w:rsidRPr="00FF55AF">
        <w:rPr>
          <w:rFonts w:ascii="Garamond" w:hAnsi="Garamond" w:cs="Times New Roman"/>
          <w:lang w:val="pt-PT"/>
        </w:rPr>
        <w:t xml:space="preserve">, </w:t>
      </w:r>
      <w:r w:rsidR="00E22454" w:rsidRPr="00FF55AF">
        <w:rPr>
          <w:rFonts w:ascii="Garamond" w:hAnsi="Garamond" w:cs="Times New Roman"/>
          <w:lang w:val="pt-PT"/>
        </w:rPr>
        <w:t xml:space="preserve">para </w:t>
      </w:r>
      <w:r w:rsidR="00101AD2" w:rsidRPr="00FF55AF">
        <w:rPr>
          <w:rFonts w:ascii="Garamond" w:hAnsi="Garamond" w:cs="Times New Roman"/>
          <w:lang w:val="pt-PT"/>
        </w:rPr>
        <w:t>o desenvolvimento sustentável e consolidação da democracia.</w:t>
      </w:r>
      <w:r w:rsidRPr="00FF55AF">
        <w:rPr>
          <w:rFonts w:ascii="Garamond" w:hAnsi="Garamond" w:cs="Times New Roman"/>
          <w:lang w:val="pt-PT"/>
        </w:rPr>
        <w:t xml:space="preserve"> Assim, na tabela que detalha o orçamento por medida de </w:t>
      </w:r>
      <w:proofErr w:type="spellStart"/>
      <w:r w:rsidRPr="00FF55AF">
        <w:rPr>
          <w:rFonts w:ascii="Garamond" w:hAnsi="Garamond" w:cs="Times New Roman"/>
          <w:lang w:val="pt-PT"/>
        </w:rPr>
        <w:t>ação</w:t>
      </w:r>
      <w:proofErr w:type="spellEnd"/>
      <w:r w:rsidRPr="00FF55AF">
        <w:rPr>
          <w:rFonts w:ascii="Garamond" w:hAnsi="Garamond" w:cs="Times New Roman"/>
          <w:lang w:val="pt-PT"/>
        </w:rPr>
        <w:t>, são assinalados, sempre que conhecidos, os parceiros internacionais que apoiam as iniciativas, sendo certo que outros o farão, de acordo com as suas áreas de interesse e sectores com que trabalham.</w:t>
      </w:r>
    </w:p>
    <w:p w14:paraId="3F6673FF" w14:textId="7BADD5FB" w:rsidR="00072B92" w:rsidRDefault="00E22454" w:rsidP="00B240D6">
      <w:pPr>
        <w:spacing w:after="240" w:line="259" w:lineRule="auto"/>
        <w:jc w:val="both"/>
        <w:rPr>
          <w:rFonts w:ascii="Garamond" w:hAnsi="Garamond"/>
          <w:lang w:val="pt-PT"/>
        </w:rPr>
      </w:pPr>
      <w:r>
        <w:rPr>
          <w:rFonts w:ascii="Garamond" w:hAnsi="Garamond" w:cs="Times New Roman"/>
          <w:lang w:val="pt-PT"/>
        </w:rPr>
        <w:t xml:space="preserve">A mobilização de recursos para as </w:t>
      </w:r>
      <w:proofErr w:type="spellStart"/>
      <w:r>
        <w:rPr>
          <w:rFonts w:ascii="Garamond" w:hAnsi="Garamond" w:cs="Times New Roman"/>
          <w:lang w:val="pt-PT"/>
        </w:rPr>
        <w:t>ações</w:t>
      </w:r>
      <w:proofErr w:type="spellEnd"/>
      <w:r>
        <w:rPr>
          <w:rFonts w:ascii="Garamond" w:hAnsi="Garamond" w:cs="Times New Roman"/>
          <w:lang w:val="pt-PT"/>
        </w:rPr>
        <w:t xml:space="preserve"> descentralizadas </w:t>
      </w:r>
      <w:r w:rsidR="00E05403">
        <w:rPr>
          <w:rFonts w:ascii="Garamond" w:hAnsi="Garamond" w:cs="Times New Roman"/>
          <w:lang w:val="pt-PT"/>
        </w:rPr>
        <w:t xml:space="preserve">previstas </w:t>
      </w:r>
      <w:proofErr w:type="spellStart"/>
      <w:r w:rsidR="00E05403">
        <w:rPr>
          <w:rFonts w:ascii="Garamond" w:hAnsi="Garamond" w:cs="Times New Roman"/>
          <w:lang w:val="pt-PT"/>
        </w:rPr>
        <w:t>pelo</w:t>
      </w:r>
      <w:proofErr w:type="spellEnd"/>
      <w:r>
        <w:rPr>
          <w:rFonts w:ascii="Garamond" w:hAnsi="Garamond" w:cs="Times New Roman"/>
          <w:lang w:val="pt-PT"/>
        </w:rPr>
        <w:t xml:space="preserve"> </w:t>
      </w:r>
      <w:proofErr w:type="spellStart"/>
      <w:r>
        <w:rPr>
          <w:rFonts w:ascii="Garamond" w:hAnsi="Garamond" w:cs="Times New Roman"/>
          <w:lang w:val="pt-PT"/>
        </w:rPr>
        <w:t>PNIG</w:t>
      </w:r>
      <w:proofErr w:type="spellEnd"/>
      <w:r>
        <w:rPr>
          <w:rFonts w:ascii="Garamond" w:hAnsi="Garamond" w:cs="Times New Roman"/>
          <w:lang w:val="pt-PT"/>
        </w:rPr>
        <w:t xml:space="preserve"> é </w:t>
      </w:r>
      <w:r w:rsidR="00E05403">
        <w:rPr>
          <w:rFonts w:ascii="Garamond" w:hAnsi="Garamond" w:cs="Times New Roman"/>
          <w:lang w:val="pt-PT"/>
        </w:rPr>
        <w:t>determinante para a sua efectiva implementação. Apesar de e</w:t>
      </w:r>
      <w:r>
        <w:rPr>
          <w:rFonts w:ascii="Garamond" w:hAnsi="Garamond" w:cs="Times New Roman"/>
          <w:lang w:val="pt-PT"/>
        </w:rPr>
        <w:t>xist</w:t>
      </w:r>
      <w:r w:rsidR="00E05403">
        <w:rPr>
          <w:rFonts w:ascii="Garamond" w:hAnsi="Garamond" w:cs="Times New Roman"/>
          <w:lang w:val="pt-PT"/>
        </w:rPr>
        <w:t>ire</w:t>
      </w:r>
      <w:r>
        <w:rPr>
          <w:rFonts w:ascii="Garamond" w:hAnsi="Garamond" w:cs="Times New Roman"/>
          <w:lang w:val="pt-PT"/>
        </w:rPr>
        <w:t>m oportunidades de mobilização</w:t>
      </w:r>
      <w:r w:rsidR="00E05403">
        <w:rPr>
          <w:rFonts w:ascii="Garamond" w:hAnsi="Garamond" w:cs="Times New Roman"/>
          <w:lang w:val="pt-PT"/>
        </w:rPr>
        <w:t xml:space="preserve"> de recursos</w:t>
      </w:r>
      <w:r>
        <w:rPr>
          <w:rFonts w:ascii="Garamond" w:hAnsi="Garamond" w:cs="Times New Roman"/>
          <w:lang w:val="pt-PT"/>
        </w:rPr>
        <w:t>, incluindo através da apresentação de projectos em chamadas a propostas internacionais</w:t>
      </w:r>
      <w:r w:rsidR="00E05403">
        <w:rPr>
          <w:rFonts w:ascii="Garamond" w:hAnsi="Garamond" w:cs="Times New Roman"/>
          <w:lang w:val="pt-PT"/>
        </w:rPr>
        <w:t>, o acesso à informação, capacidades técnicas e linguísticas podem não estar disponíveis a nível local</w:t>
      </w:r>
      <w:r>
        <w:rPr>
          <w:rFonts w:ascii="Garamond" w:hAnsi="Garamond" w:cs="Times New Roman"/>
          <w:lang w:val="pt-PT"/>
        </w:rPr>
        <w:t xml:space="preserve">. </w:t>
      </w:r>
      <w:r w:rsidR="00E05403">
        <w:rPr>
          <w:rFonts w:ascii="Garamond" w:hAnsi="Garamond" w:cs="Times New Roman"/>
          <w:lang w:val="pt-PT"/>
        </w:rPr>
        <w:t xml:space="preserve">O </w:t>
      </w:r>
      <w:r>
        <w:rPr>
          <w:rFonts w:ascii="Garamond" w:hAnsi="Garamond" w:cs="Times New Roman"/>
          <w:lang w:val="pt-PT"/>
        </w:rPr>
        <w:t>Eixo 6</w:t>
      </w:r>
      <w:r w:rsidR="00E05403">
        <w:rPr>
          <w:rFonts w:ascii="Garamond" w:hAnsi="Garamond" w:cs="Times New Roman"/>
          <w:lang w:val="pt-PT"/>
        </w:rPr>
        <w:t xml:space="preserve"> prevê que </w:t>
      </w:r>
      <w:r w:rsidR="00072B92">
        <w:rPr>
          <w:rFonts w:ascii="Garamond" w:hAnsi="Garamond" w:cs="Times New Roman"/>
          <w:lang w:val="pt-PT"/>
        </w:rPr>
        <w:t xml:space="preserve">o </w:t>
      </w:r>
      <w:proofErr w:type="spellStart"/>
      <w:r w:rsidR="00072B92">
        <w:rPr>
          <w:rFonts w:ascii="Garamond" w:hAnsi="Garamond" w:cs="Times New Roman"/>
          <w:lang w:val="pt-PT"/>
        </w:rPr>
        <w:t>ICIEG</w:t>
      </w:r>
      <w:proofErr w:type="spellEnd"/>
      <w:r w:rsidR="00072B92">
        <w:rPr>
          <w:rFonts w:ascii="Garamond" w:hAnsi="Garamond" w:cs="Times New Roman"/>
          <w:lang w:val="pt-PT"/>
        </w:rPr>
        <w:t xml:space="preserve"> </w:t>
      </w:r>
      <w:r w:rsidR="00E05403">
        <w:rPr>
          <w:rFonts w:ascii="Garamond" w:hAnsi="Garamond" w:cs="Times New Roman"/>
          <w:lang w:val="pt-PT"/>
        </w:rPr>
        <w:t>a</w:t>
      </w:r>
      <w:r w:rsidR="00072B92">
        <w:rPr>
          <w:rFonts w:ascii="Garamond" w:hAnsi="Garamond" w:cs="Times New Roman"/>
          <w:lang w:val="pt-PT"/>
        </w:rPr>
        <w:t>poi</w:t>
      </w:r>
      <w:r w:rsidR="00E05403">
        <w:rPr>
          <w:rFonts w:ascii="Garamond" w:hAnsi="Garamond" w:cs="Times New Roman"/>
          <w:lang w:val="pt-PT"/>
        </w:rPr>
        <w:t>e</w:t>
      </w:r>
      <w:r w:rsidR="00072B92">
        <w:rPr>
          <w:rFonts w:ascii="Garamond" w:hAnsi="Garamond" w:cs="Times New Roman"/>
          <w:lang w:val="pt-PT"/>
        </w:rPr>
        <w:t xml:space="preserve"> </w:t>
      </w:r>
      <w:r w:rsidR="00E05403">
        <w:rPr>
          <w:rFonts w:ascii="Garamond" w:hAnsi="Garamond" w:cs="Times New Roman"/>
          <w:lang w:val="pt-PT"/>
        </w:rPr>
        <w:t>as</w:t>
      </w:r>
      <w:r w:rsidR="00072B92" w:rsidRPr="00806495">
        <w:rPr>
          <w:rFonts w:ascii="Garamond" w:hAnsi="Garamond"/>
          <w:lang w:val="pt-PT"/>
        </w:rPr>
        <w:t xml:space="preserve"> parcerias necessárias </w:t>
      </w:r>
      <w:r w:rsidR="00E05403">
        <w:rPr>
          <w:rFonts w:ascii="Garamond" w:hAnsi="Garamond"/>
          <w:lang w:val="pt-PT"/>
        </w:rPr>
        <w:t>à</w:t>
      </w:r>
      <w:r w:rsidR="00072B92" w:rsidRPr="00806495">
        <w:rPr>
          <w:rFonts w:ascii="Garamond" w:hAnsi="Garamond"/>
          <w:lang w:val="pt-PT"/>
        </w:rPr>
        <w:t xml:space="preserve"> implementação de projectos prioritários </w:t>
      </w:r>
      <w:r w:rsidR="00072B92">
        <w:rPr>
          <w:rFonts w:ascii="Garamond" w:hAnsi="Garamond"/>
          <w:lang w:val="pt-PT"/>
        </w:rPr>
        <w:t xml:space="preserve">de género </w:t>
      </w:r>
      <w:r w:rsidR="00072B92" w:rsidRPr="00806495">
        <w:rPr>
          <w:rFonts w:ascii="Garamond" w:hAnsi="Garamond"/>
          <w:lang w:val="pt-PT"/>
        </w:rPr>
        <w:t>a nível local</w:t>
      </w:r>
      <w:r w:rsidR="00072B92">
        <w:rPr>
          <w:rFonts w:ascii="Garamond" w:hAnsi="Garamond"/>
          <w:lang w:val="pt-PT"/>
        </w:rPr>
        <w:t xml:space="preserve">, </w:t>
      </w:r>
      <w:r w:rsidR="00072B92" w:rsidRPr="00806495">
        <w:rPr>
          <w:rFonts w:ascii="Garamond" w:hAnsi="Garamond"/>
          <w:lang w:val="pt-PT"/>
        </w:rPr>
        <w:t>bem como a mobilização de financiamento quando necessário</w:t>
      </w:r>
      <w:r w:rsidR="00E05403">
        <w:rPr>
          <w:rFonts w:ascii="Garamond" w:hAnsi="Garamond"/>
          <w:lang w:val="pt-PT"/>
        </w:rPr>
        <w:t xml:space="preserve">, nomeadamente </w:t>
      </w:r>
      <w:r w:rsidR="00C11D1E">
        <w:rPr>
          <w:rFonts w:ascii="Garamond" w:hAnsi="Garamond"/>
          <w:lang w:val="pt-PT"/>
        </w:rPr>
        <w:t xml:space="preserve">capacitação </w:t>
      </w:r>
      <w:r w:rsidR="00E95454">
        <w:rPr>
          <w:rFonts w:ascii="Garamond" w:hAnsi="Garamond"/>
          <w:lang w:val="pt-PT"/>
        </w:rPr>
        <w:t>e assistência técnica para a elaboração</w:t>
      </w:r>
      <w:r w:rsidR="00E05403">
        <w:rPr>
          <w:rFonts w:ascii="Garamond" w:hAnsi="Garamond"/>
          <w:lang w:val="pt-PT"/>
        </w:rPr>
        <w:t xml:space="preserve"> e </w:t>
      </w:r>
      <w:r w:rsidR="00E95454">
        <w:rPr>
          <w:rFonts w:ascii="Garamond" w:hAnsi="Garamond"/>
          <w:lang w:val="pt-PT"/>
        </w:rPr>
        <w:t xml:space="preserve">submissão de </w:t>
      </w:r>
      <w:proofErr w:type="spellStart"/>
      <w:r w:rsidR="00E95454">
        <w:rPr>
          <w:rFonts w:ascii="Garamond" w:hAnsi="Garamond"/>
          <w:lang w:val="pt-PT"/>
        </w:rPr>
        <w:t>projetos</w:t>
      </w:r>
      <w:proofErr w:type="spellEnd"/>
      <w:r w:rsidR="00072B92">
        <w:rPr>
          <w:rFonts w:ascii="Garamond" w:hAnsi="Garamond"/>
          <w:lang w:val="pt-PT"/>
        </w:rPr>
        <w:t>.</w:t>
      </w:r>
    </w:p>
    <w:p w14:paraId="147E9333" w14:textId="2D6F1AC7" w:rsidR="00ED3B38" w:rsidRDefault="001946CA" w:rsidP="00B240D6">
      <w:pPr>
        <w:spacing w:line="259" w:lineRule="auto"/>
        <w:jc w:val="both"/>
        <w:rPr>
          <w:rFonts w:ascii="Garamond" w:hAnsi="Garamond" w:cs="Times New Roman"/>
          <w:lang w:val="pt-PT"/>
        </w:rPr>
      </w:pPr>
      <w:r>
        <w:rPr>
          <w:rFonts w:ascii="Garamond" w:hAnsi="Garamond" w:cs="Times New Roman"/>
          <w:lang w:val="pt-PT"/>
        </w:rPr>
        <w:t xml:space="preserve">A estimativa orçamental do </w:t>
      </w:r>
      <w:proofErr w:type="spellStart"/>
      <w:r>
        <w:rPr>
          <w:rFonts w:ascii="Garamond" w:hAnsi="Garamond" w:cs="Times New Roman"/>
          <w:lang w:val="pt-PT"/>
        </w:rPr>
        <w:t>PNIG</w:t>
      </w:r>
      <w:proofErr w:type="spellEnd"/>
      <w:r>
        <w:rPr>
          <w:rFonts w:ascii="Garamond" w:hAnsi="Garamond" w:cs="Times New Roman"/>
          <w:lang w:val="pt-PT"/>
        </w:rPr>
        <w:t xml:space="preserve"> foi elaborada com base numa </w:t>
      </w:r>
      <w:r w:rsidRPr="001946CA">
        <w:rPr>
          <w:rFonts w:ascii="Garamond" w:hAnsi="Garamond" w:cs="Times New Roman"/>
          <w:lang w:val="pt-PT"/>
        </w:rPr>
        <w:t>tabela de custos unitários</w:t>
      </w:r>
      <w:r>
        <w:rPr>
          <w:rFonts w:ascii="Garamond" w:hAnsi="Garamond" w:cs="Times New Roman"/>
          <w:lang w:val="pt-PT"/>
        </w:rPr>
        <w:t xml:space="preserve"> </w:t>
      </w:r>
      <w:r w:rsidRPr="001946CA">
        <w:rPr>
          <w:rFonts w:ascii="Garamond" w:hAnsi="Garamond" w:cs="Times New Roman"/>
          <w:lang w:val="pt-PT"/>
        </w:rPr>
        <w:t>e</w:t>
      </w:r>
      <w:r w:rsidR="00B64B81">
        <w:rPr>
          <w:rFonts w:ascii="Garamond" w:hAnsi="Garamond" w:cs="Times New Roman"/>
          <w:lang w:val="pt-PT"/>
        </w:rPr>
        <w:t xml:space="preserve"> tendo em conta o calendário de implementação das medidas, </w:t>
      </w:r>
      <w:r w:rsidRPr="001946CA">
        <w:rPr>
          <w:rFonts w:ascii="Garamond" w:hAnsi="Garamond" w:cs="Times New Roman"/>
          <w:lang w:val="pt-PT"/>
        </w:rPr>
        <w:t xml:space="preserve">ao longo dos </w:t>
      </w:r>
      <w:r w:rsidR="00D00295">
        <w:rPr>
          <w:rFonts w:ascii="Garamond" w:hAnsi="Garamond" w:cs="Times New Roman"/>
          <w:lang w:val="pt-PT"/>
        </w:rPr>
        <w:t xml:space="preserve">4 </w:t>
      </w:r>
      <w:r w:rsidRPr="001946CA">
        <w:rPr>
          <w:rFonts w:ascii="Garamond" w:hAnsi="Garamond" w:cs="Times New Roman"/>
          <w:lang w:val="pt-PT"/>
        </w:rPr>
        <w:t>anos</w:t>
      </w:r>
      <w:r w:rsidR="00D00295">
        <w:rPr>
          <w:rFonts w:ascii="Garamond" w:hAnsi="Garamond" w:cs="Times New Roman"/>
          <w:lang w:val="pt-PT"/>
        </w:rPr>
        <w:t xml:space="preserve">. O Orçamento total é de </w:t>
      </w:r>
      <w:r w:rsidR="00DE2E62" w:rsidRPr="00AB3369">
        <w:rPr>
          <w:rFonts w:ascii="Garamond" w:hAnsi="Garamond" w:cs="Times New Roman"/>
          <w:lang w:val="pt-PT"/>
        </w:rPr>
        <w:t>356</w:t>
      </w:r>
      <w:r w:rsidR="00420052">
        <w:rPr>
          <w:rFonts w:ascii="Garamond" w:hAnsi="Garamond" w:cs="Times New Roman"/>
          <w:lang w:val="pt-PT"/>
        </w:rPr>
        <w:t>.</w:t>
      </w:r>
      <w:r w:rsidR="00DE2E62" w:rsidRPr="00AB3369">
        <w:rPr>
          <w:rFonts w:ascii="Garamond" w:hAnsi="Garamond" w:cs="Times New Roman"/>
          <w:lang w:val="pt-PT"/>
        </w:rPr>
        <w:t>172</w:t>
      </w:r>
      <w:r w:rsidR="00420052">
        <w:rPr>
          <w:rFonts w:ascii="Garamond" w:hAnsi="Garamond" w:cs="Times New Roman"/>
          <w:lang w:val="pt-PT"/>
        </w:rPr>
        <w:t>.</w:t>
      </w:r>
      <w:r w:rsidR="00DE2E62" w:rsidRPr="00AB3369">
        <w:rPr>
          <w:rFonts w:ascii="Garamond" w:hAnsi="Garamond" w:cs="Times New Roman"/>
          <w:lang w:val="pt-PT"/>
        </w:rPr>
        <w:t>000</w:t>
      </w:r>
      <w:r w:rsidRPr="001946CA">
        <w:rPr>
          <w:rFonts w:ascii="Garamond" w:hAnsi="Garamond" w:cs="Times New Roman"/>
          <w:lang w:val="pt-PT"/>
        </w:rPr>
        <w:t xml:space="preserve"> </w:t>
      </w:r>
      <w:proofErr w:type="spellStart"/>
      <w:r w:rsidR="00DE2E62">
        <w:rPr>
          <w:rFonts w:ascii="Garamond" w:hAnsi="Garamond" w:cs="Times New Roman"/>
          <w:lang w:val="pt-PT"/>
        </w:rPr>
        <w:t>ECV</w:t>
      </w:r>
      <w:proofErr w:type="spellEnd"/>
      <w:r w:rsidR="00DE2E62">
        <w:rPr>
          <w:rFonts w:ascii="Garamond" w:hAnsi="Garamond" w:cs="Times New Roman"/>
          <w:lang w:val="pt-PT"/>
        </w:rPr>
        <w:t xml:space="preserve"> (trezentos e cinquenta e seis mil</w:t>
      </w:r>
      <w:r w:rsidR="003F7768">
        <w:rPr>
          <w:rFonts w:ascii="Garamond" w:hAnsi="Garamond" w:cs="Times New Roman"/>
          <w:lang w:val="pt-PT"/>
        </w:rPr>
        <w:t>hões e</w:t>
      </w:r>
      <w:r w:rsidR="00DE2E62">
        <w:rPr>
          <w:rFonts w:ascii="Garamond" w:hAnsi="Garamond" w:cs="Times New Roman"/>
          <w:lang w:val="pt-PT"/>
        </w:rPr>
        <w:t xml:space="preserve"> cento e setenta e dois mil escudos)</w:t>
      </w:r>
      <w:r w:rsidR="00D00295">
        <w:rPr>
          <w:rFonts w:ascii="Garamond" w:hAnsi="Garamond" w:cs="Times New Roman"/>
          <w:lang w:val="pt-PT"/>
        </w:rPr>
        <w:t xml:space="preserve"> (ver tabela</w:t>
      </w:r>
      <w:r w:rsidR="00DE2E62">
        <w:rPr>
          <w:rFonts w:ascii="Garamond" w:hAnsi="Garamond" w:cs="Times New Roman"/>
          <w:lang w:val="pt-PT"/>
        </w:rPr>
        <w:t xml:space="preserve"> que se segue</w:t>
      </w:r>
      <w:r w:rsidR="00D00295">
        <w:rPr>
          <w:rFonts w:ascii="Garamond" w:hAnsi="Garamond" w:cs="Times New Roman"/>
          <w:lang w:val="pt-PT"/>
        </w:rPr>
        <w:t>).</w:t>
      </w:r>
      <w:r w:rsidR="003F7768">
        <w:rPr>
          <w:rFonts w:ascii="Garamond" w:hAnsi="Garamond" w:cs="Times New Roman"/>
          <w:lang w:val="pt-PT"/>
        </w:rPr>
        <w:t xml:space="preserve"> A Matriz de implementação do </w:t>
      </w:r>
      <w:proofErr w:type="spellStart"/>
      <w:r w:rsidR="003F7768">
        <w:rPr>
          <w:rFonts w:ascii="Garamond" w:hAnsi="Garamond" w:cs="Times New Roman"/>
          <w:lang w:val="pt-PT"/>
        </w:rPr>
        <w:t>PNIG</w:t>
      </w:r>
      <w:proofErr w:type="spellEnd"/>
      <w:r w:rsidR="003F7768">
        <w:rPr>
          <w:rFonts w:ascii="Garamond" w:hAnsi="Garamond" w:cs="Times New Roman"/>
          <w:lang w:val="pt-PT"/>
        </w:rPr>
        <w:t xml:space="preserve"> apresenta a estimativa orçamental por medida de acção (em contos).</w:t>
      </w:r>
    </w:p>
    <w:p w14:paraId="1A631571" w14:textId="77777777" w:rsidR="00ED3B38" w:rsidRDefault="00ED3B38" w:rsidP="00B240D6">
      <w:pPr>
        <w:spacing w:line="259" w:lineRule="auto"/>
        <w:jc w:val="both"/>
        <w:rPr>
          <w:rFonts w:ascii="Garamond" w:hAnsi="Garamond" w:cs="Times New Roman"/>
          <w:lang w:val="pt-PT"/>
        </w:rPr>
      </w:pPr>
    </w:p>
    <w:p w14:paraId="653D66CE" w14:textId="6CDA79C6" w:rsidR="001946CA" w:rsidRDefault="0048343B" w:rsidP="00B240D6">
      <w:pPr>
        <w:spacing w:line="259" w:lineRule="auto"/>
        <w:jc w:val="both"/>
        <w:rPr>
          <w:rFonts w:ascii="Garamond" w:hAnsi="Garamond" w:cs="Times New Roman"/>
          <w:lang w:val="pt-PT"/>
        </w:rPr>
      </w:pPr>
      <w:r>
        <w:rPr>
          <w:rFonts w:ascii="Garamond" w:hAnsi="Garamond" w:cs="Times New Roman"/>
          <w:lang w:val="pt-PT"/>
        </w:rPr>
        <w:t xml:space="preserve">O orçamento total é superior ao anterior </w:t>
      </w:r>
      <w:proofErr w:type="spellStart"/>
      <w:r>
        <w:rPr>
          <w:rFonts w:ascii="Garamond" w:hAnsi="Garamond" w:cs="Times New Roman"/>
          <w:lang w:val="pt-PT"/>
        </w:rPr>
        <w:t>PNIG</w:t>
      </w:r>
      <w:proofErr w:type="spellEnd"/>
      <w:r>
        <w:rPr>
          <w:rFonts w:ascii="Garamond" w:hAnsi="Garamond" w:cs="Times New Roman"/>
          <w:lang w:val="pt-PT"/>
        </w:rPr>
        <w:t xml:space="preserve">, contudo o </w:t>
      </w:r>
      <w:proofErr w:type="spellStart"/>
      <w:r>
        <w:rPr>
          <w:rFonts w:ascii="Garamond" w:hAnsi="Garamond" w:cs="Times New Roman"/>
          <w:lang w:val="pt-PT"/>
        </w:rPr>
        <w:t>PNIG</w:t>
      </w:r>
      <w:proofErr w:type="spellEnd"/>
      <w:r>
        <w:rPr>
          <w:rFonts w:ascii="Garamond" w:hAnsi="Garamond" w:cs="Times New Roman"/>
          <w:lang w:val="pt-PT"/>
        </w:rPr>
        <w:t xml:space="preserve"> (2020-2023) é um plano integrado, </w:t>
      </w:r>
      <w:r w:rsidR="00420052" w:rsidRPr="001C50C8">
        <w:rPr>
          <w:rFonts w:ascii="Garamond" w:hAnsi="Garamond" w:cs="Times New Roman"/>
          <w:lang w:val="pt-PT"/>
        </w:rPr>
        <w:t xml:space="preserve">que inclui a temática da </w:t>
      </w:r>
      <w:proofErr w:type="spellStart"/>
      <w:r w:rsidR="00420052" w:rsidRPr="001C50C8">
        <w:rPr>
          <w:rFonts w:ascii="Garamond" w:hAnsi="Garamond" w:cs="Times New Roman"/>
          <w:lang w:val="pt-PT"/>
        </w:rPr>
        <w:t>VBG</w:t>
      </w:r>
      <w:proofErr w:type="spellEnd"/>
      <w:r w:rsidR="00420052" w:rsidRPr="001C50C8">
        <w:rPr>
          <w:rFonts w:ascii="Garamond" w:hAnsi="Garamond" w:cs="Times New Roman"/>
          <w:lang w:val="pt-PT"/>
        </w:rPr>
        <w:t xml:space="preserve"> e as medidas preconizadas para lhe dar resposta</w:t>
      </w:r>
      <w:r w:rsidR="00420052">
        <w:rPr>
          <w:rFonts w:ascii="Garamond" w:hAnsi="Garamond" w:cs="Times New Roman"/>
          <w:lang w:val="pt-PT"/>
        </w:rPr>
        <w:t>. O</w:t>
      </w:r>
      <w:r>
        <w:rPr>
          <w:rFonts w:ascii="Garamond" w:hAnsi="Garamond" w:cs="Times New Roman"/>
          <w:lang w:val="pt-PT"/>
        </w:rPr>
        <w:t xml:space="preserve"> seu orçamento indicativo é inferior ao total do </w:t>
      </w:r>
      <w:r w:rsidR="00420052">
        <w:rPr>
          <w:rFonts w:ascii="Garamond" w:hAnsi="Garamond" w:cs="Times New Roman"/>
          <w:lang w:val="pt-PT"/>
        </w:rPr>
        <w:t xml:space="preserve">orçamento conjunto do </w:t>
      </w:r>
      <w:r>
        <w:rPr>
          <w:rFonts w:ascii="Garamond" w:hAnsi="Garamond" w:cs="Times New Roman"/>
          <w:lang w:val="pt-PT"/>
        </w:rPr>
        <w:t xml:space="preserve">anterior </w:t>
      </w:r>
      <w:proofErr w:type="spellStart"/>
      <w:r>
        <w:rPr>
          <w:rFonts w:ascii="Garamond" w:hAnsi="Garamond" w:cs="Times New Roman"/>
          <w:lang w:val="pt-PT"/>
        </w:rPr>
        <w:t>PNIG</w:t>
      </w:r>
      <w:proofErr w:type="spellEnd"/>
      <w:r>
        <w:rPr>
          <w:rFonts w:ascii="Garamond" w:hAnsi="Garamond" w:cs="Times New Roman"/>
          <w:lang w:val="pt-PT"/>
        </w:rPr>
        <w:t xml:space="preserve"> e do </w:t>
      </w:r>
      <w:proofErr w:type="spellStart"/>
      <w:r>
        <w:rPr>
          <w:rFonts w:ascii="Garamond" w:hAnsi="Garamond" w:cs="Times New Roman"/>
          <w:lang w:val="pt-PT"/>
        </w:rPr>
        <w:t>PNVBG</w:t>
      </w:r>
      <w:proofErr w:type="spellEnd"/>
      <w:r w:rsidR="00ED3B38">
        <w:rPr>
          <w:rFonts w:ascii="Garamond" w:hAnsi="Garamond" w:cs="Times New Roman"/>
          <w:lang w:val="pt-PT"/>
        </w:rPr>
        <w:t>.</w:t>
      </w:r>
      <w:r w:rsidR="00ED3B38">
        <w:rPr>
          <w:rStyle w:val="Refdenotaderodap"/>
          <w:rFonts w:ascii="Garamond" w:hAnsi="Garamond" w:cs="Times New Roman"/>
          <w:lang w:val="pt-PT"/>
        </w:rPr>
        <w:footnoteReference w:id="133"/>
      </w:r>
    </w:p>
    <w:p w14:paraId="1374076D" w14:textId="654D8FA7" w:rsidR="004723E2" w:rsidRDefault="004723E2" w:rsidP="00B240D6">
      <w:pPr>
        <w:spacing w:line="259" w:lineRule="auto"/>
        <w:jc w:val="both"/>
        <w:rPr>
          <w:rFonts w:ascii="Garamond" w:hAnsi="Garamond" w:cs="Times New Roman"/>
          <w:lang w:val="pt-PT"/>
        </w:rPr>
      </w:pPr>
    </w:p>
    <w:p w14:paraId="541B2844" w14:textId="74DB7228" w:rsidR="00AB3369" w:rsidRPr="004723E2" w:rsidRDefault="004723E2" w:rsidP="004723E2">
      <w:pPr>
        <w:pStyle w:val="Legenda"/>
        <w:jc w:val="center"/>
        <w:rPr>
          <w:rFonts w:ascii="Garamond" w:hAnsi="Garamond" w:cs="Times New Roman"/>
          <w:b/>
          <w:bCs/>
          <w:i w:val="0"/>
          <w:iCs w:val="0"/>
          <w:color w:val="auto"/>
          <w:sz w:val="20"/>
          <w:szCs w:val="20"/>
          <w:lang w:val="pt-PT"/>
        </w:rPr>
      </w:pPr>
      <w:bookmarkStart w:id="120" w:name="_Toc32856928"/>
      <w:r w:rsidRPr="004723E2">
        <w:rPr>
          <w:rFonts w:ascii="Garamond" w:hAnsi="Garamond"/>
          <w:b/>
          <w:bCs/>
          <w:i w:val="0"/>
          <w:iCs w:val="0"/>
          <w:color w:val="auto"/>
          <w:sz w:val="20"/>
          <w:szCs w:val="20"/>
          <w:lang w:val="pt-PT"/>
        </w:rPr>
        <w:t xml:space="preserve">Tabela </w:t>
      </w:r>
      <w:r w:rsidRPr="004723E2">
        <w:rPr>
          <w:rFonts w:ascii="Garamond" w:hAnsi="Garamond"/>
          <w:b/>
          <w:bCs/>
          <w:i w:val="0"/>
          <w:iCs w:val="0"/>
          <w:color w:val="auto"/>
          <w:sz w:val="20"/>
          <w:szCs w:val="20"/>
        </w:rPr>
        <w:fldChar w:fldCharType="begin"/>
      </w:r>
      <w:r w:rsidRPr="004723E2">
        <w:rPr>
          <w:rFonts w:ascii="Garamond" w:hAnsi="Garamond"/>
          <w:b/>
          <w:bCs/>
          <w:i w:val="0"/>
          <w:iCs w:val="0"/>
          <w:color w:val="auto"/>
          <w:sz w:val="20"/>
          <w:szCs w:val="20"/>
          <w:lang w:val="pt-PT"/>
        </w:rPr>
        <w:instrText xml:space="preserve"> SEQ Tabela \* ARABIC </w:instrText>
      </w:r>
      <w:r w:rsidRPr="004723E2">
        <w:rPr>
          <w:rFonts w:ascii="Garamond" w:hAnsi="Garamond"/>
          <w:b/>
          <w:bCs/>
          <w:i w:val="0"/>
          <w:iCs w:val="0"/>
          <w:color w:val="auto"/>
          <w:sz w:val="20"/>
          <w:szCs w:val="20"/>
        </w:rPr>
        <w:fldChar w:fldCharType="separate"/>
      </w:r>
      <w:r w:rsidRPr="004723E2">
        <w:rPr>
          <w:rFonts w:ascii="Garamond" w:hAnsi="Garamond"/>
          <w:b/>
          <w:bCs/>
          <w:i w:val="0"/>
          <w:iCs w:val="0"/>
          <w:noProof/>
          <w:color w:val="auto"/>
          <w:sz w:val="20"/>
          <w:szCs w:val="20"/>
          <w:lang w:val="pt-PT"/>
        </w:rPr>
        <w:t>6</w:t>
      </w:r>
      <w:r w:rsidRPr="004723E2">
        <w:rPr>
          <w:rFonts w:ascii="Garamond" w:hAnsi="Garamond"/>
          <w:b/>
          <w:bCs/>
          <w:i w:val="0"/>
          <w:iCs w:val="0"/>
          <w:color w:val="auto"/>
          <w:sz w:val="20"/>
          <w:szCs w:val="20"/>
        </w:rPr>
        <w:fldChar w:fldCharType="end"/>
      </w:r>
      <w:r w:rsidRPr="004723E2">
        <w:rPr>
          <w:rFonts w:ascii="Garamond" w:hAnsi="Garamond"/>
          <w:b/>
          <w:bCs/>
          <w:i w:val="0"/>
          <w:iCs w:val="0"/>
          <w:color w:val="auto"/>
          <w:sz w:val="20"/>
          <w:szCs w:val="20"/>
          <w:lang w:val="pt-PT"/>
        </w:rPr>
        <w:t xml:space="preserve"> – Estimativa orçamental do </w:t>
      </w:r>
      <w:proofErr w:type="spellStart"/>
      <w:r w:rsidRPr="004723E2">
        <w:rPr>
          <w:rFonts w:ascii="Garamond" w:hAnsi="Garamond"/>
          <w:b/>
          <w:bCs/>
          <w:i w:val="0"/>
          <w:iCs w:val="0"/>
          <w:color w:val="auto"/>
          <w:sz w:val="20"/>
          <w:szCs w:val="20"/>
          <w:lang w:val="pt-PT"/>
        </w:rPr>
        <w:t>PNIG</w:t>
      </w:r>
      <w:proofErr w:type="spellEnd"/>
      <w:r w:rsidRPr="004723E2">
        <w:rPr>
          <w:rFonts w:ascii="Garamond" w:hAnsi="Garamond"/>
          <w:b/>
          <w:bCs/>
          <w:i w:val="0"/>
          <w:iCs w:val="0"/>
          <w:color w:val="auto"/>
          <w:sz w:val="20"/>
          <w:szCs w:val="20"/>
          <w:lang w:val="pt-PT"/>
        </w:rPr>
        <w:t xml:space="preserve"> (2020-2023) por Eixo Estratégico e por Ano</w:t>
      </w:r>
      <w:bookmarkEnd w:id="120"/>
    </w:p>
    <w:tbl>
      <w:tblPr>
        <w:tblW w:w="9351"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1276"/>
        <w:gridCol w:w="1417"/>
        <w:gridCol w:w="1276"/>
        <w:gridCol w:w="1418"/>
        <w:gridCol w:w="1559"/>
      </w:tblGrid>
      <w:tr w:rsidR="007F40AA" w:rsidRPr="00AB3369" w14:paraId="37240C18" w14:textId="77777777" w:rsidTr="007F3C7D">
        <w:trPr>
          <w:trHeight w:val="310"/>
          <w:jc w:val="center"/>
        </w:trPr>
        <w:tc>
          <w:tcPr>
            <w:tcW w:w="2405" w:type="dxa"/>
            <w:tcBorders>
              <w:top w:val="single" w:sz="4" w:space="0" w:color="auto"/>
              <w:bottom w:val="single" w:sz="4" w:space="0" w:color="auto"/>
            </w:tcBorders>
            <w:shd w:val="clear" w:color="auto" w:fill="DEEAF6" w:themeFill="accent5" w:themeFillTint="33"/>
            <w:noWrap/>
            <w:vAlign w:val="center"/>
            <w:hideMark/>
          </w:tcPr>
          <w:p w14:paraId="3FEED8FD" w14:textId="77777777" w:rsidR="00AB3369" w:rsidRPr="00AB3369" w:rsidRDefault="00AB3369" w:rsidP="00AB3369">
            <w:pP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EIXOS</w:t>
            </w:r>
          </w:p>
        </w:tc>
        <w:tc>
          <w:tcPr>
            <w:tcW w:w="1276" w:type="dxa"/>
            <w:tcBorders>
              <w:top w:val="single" w:sz="4" w:space="0" w:color="auto"/>
              <w:bottom w:val="single" w:sz="4" w:space="0" w:color="auto"/>
            </w:tcBorders>
            <w:shd w:val="clear" w:color="auto" w:fill="DEEAF6" w:themeFill="accent5" w:themeFillTint="33"/>
            <w:noWrap/>
            <w:vAlign w:val="center"/>
            <w:hideMark/>
          </w:tcPr>
          <w:p w14:paraId="49072D10"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2020</w:t>
            </w:r>
          </w:p>
        </w:tc>
        <w:tc>
          <w:tcPr>
            <w:tcW w:w="1417" w:type="dxa"/>
            <w:tcBorders>
              <w:top w:val="single" w:sz="4" w:space="0" w:color="auto"/>
              <w:bottom w:val="single" w:sz="4" w:space="0" w:color="auto"/>
            </w:tcBorders>
            <w:shd w:val="clear" w:color="auto" w:fill="DEEAF6" w:themeFill="accent5" w:themeFillTint="33"/>
            <w:noWrap/>
            <w:vAlign w:val="center"/>
            <w:hideMark/>
          </w:tcPr>
          <w:p w14:paraId="33589FC5"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2021</w:t>
            </w:r>
          </w:p>
        </w:tc>
        <w:tc>
          <w:tcPr>
            <w:tcW w:w="1276" w:type="dxa"/>
            <w:tcBorders>
              <w:top w:val="single" w:sz="4" w:space="0" w:color="auto"/>
              <w:bottom w:val="single" w:sz="4" w:space="0" w:color="auto"/>
            </w:tcBorders>
            <w:shd w:val="clear" w:color="auto" w:fill="DEEAF6" w:themeFill="accent5" w:themeFillTint="33"/>
            <w:noWrap/>
            <w:vAlign w:val="center"/>
            <w:hideMark/>
          </w:tcPr>
          <w:p w14:paraId="69F6240D"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2022</w:t>
            </w:r>
          </w:p>
        </w:tc>
        <w:tc>
          <w:tcPr>
            <w:tcW w:w="1418" w:type="dxa"/>
            <w:tcBorders>
              <w:top w:val="single" w:sz="4" w:space="0" w:color="auto"/>
              <w:bottom w:val="single" w:sz="4" w:space="0" w:color="auto"/>
            </w:tcBorders>
            <w:shd w:val="clear" w:color="auto" w:fill="DEEAF6" w:themeFill="accent5" w:themeFillTint="33"/>
            <w:noWrap/>
            <w:vAlign w:val="center"/>
            <w:hideMark/>
          </w:tcPr>
          <w:p w14:paraId="22D1FE9C"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2023</w:t>
            </w:r>
          </w:p>
        </w:tc>
        <w:tc>
          <w:tcPr>
            <w:tcW w:w="1559" w:type="dxa"/>
            <w:tcBorders>
              <w:top w:val="single" w:sz="4" w:space="0" w:color="auto"/>
              <w:bottom w:val="single" w:sz="4" w:space="0" w:color="auto"/>
            </w:tcBorders>
            <w:shd w:val="clear" w:color="auto" w:fill="DEEAF6" w:themeFill="accent5" w:themeFillTint="33"/>
            <w:noWrap/>
            <w:vAlign w:val="center"/>
            <w:hideMark/>
          </w:tcPr>
          <w:p w14:paraId="6D21721F"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TOTAL</w:t>
            </w:r>
          </w:p>
        </w:tc>
      </w:tr>
      <w:tr w:rsidR="007F40AA" w:rsidRPr="00AB3369" w14:paraId="1CD4F4AD"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7CF0BFDE" w14:textId="18A435B9"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Empoderamento Económico e Igualdade no Trabalho</w:t>
            </w:r>
            <w:r w:rsidR="004B545E">
              <w:rPr>
                <w:rFonts w:ascii="Garamond" w:eastAsia="Times New Roman" w:hAnsi="Garamond" w:cs="Calibri"/>
                <w:b/>
                <w:bCs/>
                <w:color w:val="000000"/>
                <w:sz w:val="20"/>
                <w:szCs w:val="20"/>
                <w:lang w:val="pt-PT" w:eastAsia="pt-PT"/>
              </w:rPr>
              <w:t xml:space="preserve"> </w:t>
            </w:r>
          </w:p>
        </w:tc>
        <w:tc>
          <w:tcPr>
            <w:tcW w:w="1276" w:type="dxa"/>
            <w:tcBorders>
              <w:top w:val="single" w:sz="4" w:space="0" w:color="auto"/>
              <w:bottom w:val="single" w:sz="4" w:space="0" w:color="auto"/>
            </w:tcBorders>
            <w:shd w:val="clear" w:color="auto" w:fill="auto"/>
            <w:noWrap/>
            <w:vAlign w:val="center"/>
            <w:hideMark/>
          </w:tcPr>
          <w:p w14:paraId="3AFDAEF8"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21 381 000</w:t>
            </w:r>
          </w:p>
        </w:tc>
        <w:tc>
          <w:tcPr>
            <w:tcW w:w="1417" w:type="dxa"/>
            <w:tcBorders>
              <w:top w:val="single" w:sz="4" w:space="0" w:color="auto"/>
              <w:bottom w:val="single" w:sz="4" w:space="0" w:color="auto"/>
            </w:tcBorders>
            <w:shd w:val="clear" w:color="auto" w:fill="auto"/>
            <w:noWrap/>
            <w:vAlign w:val="center"/>
            <w:hideMark/>
          </w:tcPr>
          <w:p w14:paraId="312E3BBB"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19 529 000</w:t>
            </w:r>
          </w:p>
        </w:tc>
        <w:tc>
          <w:tcPr>
            <w:tcW w:w="1276" w:type="dxa"/>
            <w:tcBorders>
              <w:top w:val="single" w:sz="4" w:space="0" w:color="auto"/>
              <w:bottom w:val="single" w:sz="4" w:space="0" w:color="auto"/>
            </w:tcBorders>
            <w:shd w:val="clear" w:color="auto" w:fill="auto"/>
            <w:noWrap/>
            <w:vAlign w:val="center"/>
            <w:hideMark/>
          </w:tcPr>
          <w:p w14:paraId="55B65464"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23 727 000</w:t>
            </w:r>
          </w:p>
        </w:tc>
        <w:tc>
          <w:tcPr>
            <w:tcW w:w="1418" w:type="dxa"/>
            <w:tcBorders>
              <w:top w:val="single" w:sz="4" w:space="0" w:color="auto"/>
              <w:bottom w:val="single" w:sz="4" w:space="0" w:color="auto"/>
            </w:tcBorders>
            <w:shd w:val="clear" w:color="auto" w:fill="auto"/>
            <w:noWrap/>
            <w:vAlign w:val="center"/>
            <w:hideMark/>
          </w:tcPr>
          <w:p w14:paraId="4ED069E7"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19 434 000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2C7B9A23"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84 071 000</w:t>
            </w:r>
          </w:p>
        </w:tc>
      </w:tr>
      <w:tr w:rsidR="007F40AA" w:rsidRPr="00AB3369" w14:paraId="4B110966"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30BB6106" w14:textId="1917D6CD"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Violência Baseada no Género (</w:t>
            </w:r>
            <w:proofErr w:type="spellStart"/>
            <w:r w:rsidRPr="007F40AA">
              <w:rPr>
                <w:rFonts w:ascii="Garamond" w:eastAsia="Times New Roman" w:hAnsi="Garamond" w:cs="Calibri"/>
                <w:b/>
                <w:bCs/>
                <w:color w:val="000000"/>
                <w:sz w:val="20"/>
                <w:szCs w:val="20"/>
                <w:lang w:val="pt-PT" w:eastAsia="pt-PT"/>
              </w:rPr>
              <w:t>VBG</w:t>
            </w:r>
            <w:proofErr w:type="spellEnd"/>
            <w:r w:rsidRPr="007F40AA">
              <w:rPr>
                <w:rFonts w:ascii="Garamond" w:eastAsia="Times New Roman" w:hAnsi="Garamond" w:cs="Calibri"/>
                <w:b/>
                <w:bCs/>
                <w:color w:val="000000"/>
                <w:sz w:val="20"/>
                <w:szCs w:val="20"/>
                <w:lang w:val="pt-PT" w:eastAsia="pt-PT"/>
              </w:rPr>
              <w:t>)</w:t>
            </w:r>
          </w:p>
        </w:tc>
        <w:tc>
          <w:tcPr>
            <w:tcW w:w="1276" w:type="dxa"/>
            <w:tcBorders>
              <w:top w:val="single" w:sz="4" w:space="0" w:color="auto"/>
              <w:bottom w:val="single" w:sz="4" w:space="0" w:color="auto"/>
            </w:tcBorders>
            <w:shd w:val="clear" w:color="auto" w:fill="auto"/>
            <w:noWrap/>
            <w:vAlign w:val="center"/>
            <w:hideMark/>
          </w:tcPr>
          <w:p w14:paraId="1F85E44B"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19 321 000</w:t>
            </w:r>
          </w:p>
        </w:tc>
        <w:tc>
          <w:tcPr>
            <w:tcW w:w="1417" w:type="dxa"/>
            <w:tcBorders>
              <w:top w:val="single" w:sz="4" w:space="0" w:color="auto"/>
              <w:bottom w:val="single" w:sz="4" w:space="0" w:color="auto"/>
            </w:tcBorders>
            <w:shd w:val="clear" w:color="auto" w:fill="auto"/>
            <w:noWrap/>
            <w:vAlign w:val="center"/>
            <w:hideMark/>
          </w:tcPr>
          <w:p w14:paraId="6E93E52A"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26 155 000</w:t>
            </w:r>
          </w:p>
        </w:tc>
        <w:tc>
          <w:tcPr>
            <w:tcW w:w="1276" w:type="dxa"/>
            <w:tcBorders>
              <w:top w:val="single" w:sz="4" w:space="0" w:color="auto"/>
              <w:bottom w:val="single" w:sz="4" w:space="0" w:color="auto"/>
            </w:tcBorders>
            <w:shd w:val="clear" w:color="auto" w:fill="auto"/>
            <w:noWrap/>
            <w:vAlign w:val="center"/>
            <w:hideMark/>
          </w:tcPr>
          <w:p w14:paraId="3ACB66E2"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17 338 000</w:t>
            </w:r>
          </w:p>
        </w:tc>
        <w:tc>
          <w:tcPr>
            <w:tcW w:w="1418" w:type="dxa"/>
            <w:tcBorders>
              <w:top w:val="single" w:sz="4" w:space="0" w:color="auto"/>
              <w:bottom w:val="single" w:sz="4" w:space="0" w:color="auto"/>
            </w:tcBorders>
            <w:shd w:val="clear" w:color="auto" w:fill="auto"/>
            <w:noWrap/>
            <w:vAlign w:val="center"/>
            <w:hideMark/>
          </w:tcPr>
          <w:p w14:paraId="2836B1DD"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10 113 000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555222E2"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72 927 000</w:t>
            </w:r>
          </w:p>
        </w:tc>
      </w:tr>
      <w:tr w:rsidR="007F40AA" w:rsidRPr="00AB3369" w14:paraId="6B6503F0"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67A26AF7" w14:textId="4298230E"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Educação e Formação Profissional</w:t>
            </w:r>
            <w:r w:rsidR="004B545E">
              <w:rPr>
                <w:rFonts w:ascii="Garamond" w:eastAsia="Times New Roman" w:hAnsi="Garamond" w:cs="Calibri"/>
                <w:b/>
                <w:bCs/>
                <w:color w:val="000000"/>
                <w:sz w:val="20"/>
                <w:szCs w:val="20"/>
                <w:lang w:val="pt-PT" w:eastAsia="pt-PT"/>
              </w:rPr>
              <w:t xml:space="preserve"> </w:t>
            </w:r>
          </w:p>
        </w:tc>
        <w:tc>
          <w:tcPr>
            <w:tcW w:w="1276" w:type="dxa"/>
            <w:tcBorders>
              <w:top w:val="single" w:sz="4" w:space="0" w:color="auto"/>
              <w:bottom w:val="single" w:sz="4" w:space="0" w:color="auto"/>
            </w:tcBorders>
            <w:shd w:val="clear" w:color="auto" w:fill="auto"/>
            <w:noWrap/>
            <w:vAlign w:val="center"/>
            <w:hideMark/>
          </w:tcPr>
          <w:p w14:paraId="5CEE688F"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12 930 000</w:t>
            </w:r>
          </w:p>
        </w:tc>
        <w:tc>
          <w:tcPr>
            <w:tcW w:w="1417" w:type="dxa"/>
            <w:tcBorders>
              <w:top w:val="single" w:sz="4" w:space="0" w:color="auto"/>
              <w:bottom w:val="single" w:sz="4" w:space="0" w:color="auto"/>
            </w:tcBorders>
            <w:shd w:val="clear" w:color="auto" w:fill="auto"/>
            <w:noWrap/>
            <w:vAlign w:val="center"/>
            <w:hideMark/>
          </w:tcPr>
          <w:p w14:paraId="412E2631"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16 460 000</w:t>
            </w:r>
          </w:p>
        </w:tc>
        <w:tc>
          <w:tcPr>
            <w:tcW w:w="1276" w:type="dxa"/>
            <w:tcBorders>
              <w:top w:val="single" w:sz="4" w:space="0" w:color="auto"/>
              <w:bottom w:val="single" w:sz="4" w:space="0" w:color="auto"/>
            </w:tcBorders>
            <w:shd w:val="clear" w:color="auto" w:fill="auto"/>
            <w:noWrap/>
            <w:vAlign w:val="center"/>
            <w:hideMark/>
          </w:tcPr>
          <w:p w14:paraId="227C0363"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6 410 000</w:t>
            </w:r>
          </w:p>
        </w:tc>
        <w:tc>
          <w:tcPr>
            <w:tcW w:w="1418" w:type="dxa"/>
            <w:tcBorders>
              <w:top w:val="single" w:sz="4" w:space="0" w:color="auto"/>
              <w:bottom w:val="single" w:sz="4" w:space="0" w:color="auto"/>
            </w:tcBorders>
            <w:shd w:val="clear" w:color="auto" w:fill="auto"/>
            <w:noWrap/>
            <w:vAlign w:val="center"/>
            <w:hideMark/>
          </w:tcPr>
          <w:p w14:paraId="0A9AC1CA"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5 555 000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6E09072C"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41 355 000</w:t>
            </w:r>
          </w:p>
        </w:tc>
      </w:tr>
      <w:tr w:rsidR="007F40AA" w:rsidRPr="00AB3369" w14:paraId="211EF6A0"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1D551031" w14:textId="76F64DA2"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Saúde e Direitos Sexuais e Reprodutivos</w:t>
            </w:r>
          </w:p>
        </w:tc>
        <w:tc>
          <w:tcPr>
            <w:tcW w:w="1276" w:type="dxa"/>
            <w:tcBorders>
              <w:top w:val="single" w:sz="4" w:space="0" w:color="auto"/>
              <w:bottom w:val="single" w:sz="4" w:space="0" w:color="auto"/>
            </w:tcBorders>
            <w:shd w:val="clear" w:color="auto" w:fill="auto"/>
            <w:noWrap/>
            <w:vAlign w:val="center"/>
            <w:hideMark/>
          </w:tcPr>
          <w:p w14:paraId="635AE0F8"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10 260 000</w:t>
            </w:r>
          </w:p>
        </w:tc>
        <w:tc>
          <w:tcPr>
            <w:tcW w:w="1417" w:type="dxa"/>
            <w:tcBorders>
              <w:top w:val="single" w:sz="4" w:space="0" w:color="auto"/>
              <w:bottom w:val="single" w:sz="4" w:space="0" w:color="auto"/>
            </w:tcBorders>
            <w:shd w:val="clear" w:color="auto" w:fill="auto"/>
            <w:noWrap/>
            <w:vAlign w:val="center"/>
            <w:hideMark/>
          </w:tcPr>
          <w:p w14:paraId="30757AA3"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13 342 000</w:t>
            </w:r>
          </w:p>
        </w:tc>
        <w:tc>
          <w:tcPr>
            <w:tcW w:w="1276" w:type="dxa"/>
            <w:tcBorders>
              <w:top w:val="single" w:sz="4" w:space="0" w:color="auto"/>
              <w:bottom w:val="single" w:sz="4" w:space="0" w:color="auto"/>
            </w:tcBorders>
            <w:shd w:val="clear" w:color="auto" w:fill="auto"/>
            <w:noWrap/>
            <w:vAlign w:val="center"/>
            <w:hideMark/>
          </w:tcPr>
          <w:p w14:paraId="25EE9250"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11 204 000</w:t>
            </w:r>
          </w:p>
        </w:tc>
        <w:tc>
          <w:tcPr>
            <w:tcW w:w="1418" w:type="dxa"/>
            <w:tcBorders>
              <w:top w:val="single" w:sz="4" w:space="0" w:color="auto"/>
              <w:bottom w:val="single" w:sz="4" w:space="0" w:color="auto"/>
            </w:tcBorders>
            <w:shd w:val="clear" w:color="auto" w:fill="auto"/>
            <w:noWrap/>
            <w:vAlign w:val="center"/>
            <w:hideMark/>
          </w:tcPr>
          <w:p w14:paraId="4C6FCB66"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6 784 000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77DAD4B4"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41 590 000</w:t>
            </w:r>
          </w:p>
        </w:tc>
      </w:tr>
      <w:tr w:rsidR="007F40AA" w:rsidRPr="00AB3369" w14:paraId="7948597B"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3BE82E11" w14:textId="7EA601F0"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Participação Política e Exercício do Poder</w:t>
            </w:r>
          </w:p>
        </w:tc>
        <w:tc>
          <w:tcPr>
            <w:tcW w:w="1276" w:type="dxa"/>
            <w:tcBorders>
              <w:top w:val="single" w:sz="4" w:space="0" w:color="auto"/>
              <w:bottom w:val="single" w:sz="4" w:space="0" w:color="auto"/>
            </w:tcBorders>
            <w:shd w:val="clear" w:color="auto" w:fill="auto"/>
            <w:noWrap/>
            <w:vAlign w:val="center"/>
            <w:hideMark/>
          </w:tcPr>
          <w:p w14:paraId="553C2920"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20 176 500</w:t>
            </w:r>
          </w:p>
        </w:tc>
        <w:tc>
          <w:tcPr>
            <w:tcW w:w="1417" w:type="dxa"/>
            <w:tcBorders>
              <w:top w:val="single" w:sz="4" w:space="0" w:color="auto"/>
              <w:bottom w:val="single" w:sz="4" w:space="0" w:color="auto"/>
            </w:tcBorders>
            <w:shd w:val="clear" w:color="auto" w:fill="auto"/>
            <w:noWrap/>
            <w:vAlign w:val="center"/>
            <w:hideMark/>
          </w:tcPr>
          <w:p w14:paraId="0002A07F"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14 482 500</w:t>
            </w:r>
          </w:p>
        </w:tc>
        <w:tc>
          <w:tcPr>
            <w:tcW w:w="1276" w:type="dxa"/>
            <w:tcBorders>
              <w:top w:val="single" w:sz="4" w:space="0" w:color="auto"/>
              <w:bottom w:val="single" w:sz="4" w:space="0" w:color="auto"/>
            </w:tcBorders>
            <w:shd w:val="clear" w:color="auto" w:fill="auto"/>
            <w:noWrap/>
            <w:vAlign w:val="center"/>
            <w:hideMark/>
          </w:tcPr>
          <w:p w14:paraId="7FD3E2E0"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4 680 000</w:t>
            </w:r>
          </w:p>
        </w:tc>
        <w:tc>
          <w:tcPr>
            <w:tcW w:w="1418" w:type="dxa"/>
            <w:tcBorders>
              <w:top w:val="single" w:sz="4" w:space="0" w:color="auto"/>
              <w:bottom w:val="single" w:sz="4" w:space="0" w:color="auto"/>
            </w:tcBorders>
            <w:shd w:val="clear" w:color="auto" w:fill="auto"/>
            <w:noWrap/>
            <w:vAlign w:val="center"/>
            <w:hideMark/>
          </w:tcPr>
          <w:p w14:paraId="7EB3BB29"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3 190 000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50201166"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42 529 000</w:t>
            </w:r>
          </w:p>
        </w:tc>
      </w:tr>
      <w:tr w:rsidR="007F40AA" w:rsidRPr="00AB3369" w14:paraId="43EFCC0D" w14:textId="77777777" w:rsidTr="007F3C7D">
        <w:trPr>
          <w:trHeight w:val="310"/>
          <w:jc w:val="center"/>
        </w:trPr>
        <w:tc>
          <w:tcPr>
            <w:tcW w:w="2405" w:type="dxa"/>
            <w:tcBorders>
              <w:top w:val="single" w:sz="4" w:space="0" w:color="auto"/>
              <w:bottom w:val="single" w:sz="4" w:space="0" w:color="auto"/>
            </w:tcBorders>
            <w:shd w:val="clear" w:color="auto" w:fill="F2F2F2" w:themeFill="background1" w:themeFillShade="F2"/>
            <w:noWrap/>
            <w:vAlign w:val="center"/>
            <w:hideMark/>
          </w:tcPr>
          <w:p w14:paraId="679DC54F" w14:textId="7C63A895" w:rsidR="00AB3369" w:rsidRPr="007F40AA" w:rsidRDefault="00AB3369" w:rsidP="007F3C7D">
            <w:pPr>
              <w:pStyle w:val="PargrafodaLista"/>
              <w:numPr>
                <w:ilvl w:val="0"/>
                <w:numId w:val="95"/>
              </w:numPr>
              <w:spacing w:before="60" w:after="60"/>
              <w:ind w:left="210" w:hanging="170"/>
              <w:contextualSpacing w:val="0"/>
              <w:rPr>
                <w:rFonts w:ascii="Garamond" w:eastAsia="Times New Roman" w:hAnsi="Garamond" w:cs="Calibri"/>
                <w:b/>
                <w:bCs/>
                <w:color w:val="000000"/>
                <w:sz w:val="20"/>
                <w:szCs w:val="20"/>
                <w:lang w:val="pt-PT" w:eastAsia="pt-PT"/>
              </w:rPr>
            </w:pPr>
            <w:proofErr w:type="spellStart"/>
            <w:r w:rsidRPr="007F40AA">
              <w:rPr>
                <w:rFonts w:ascii="Garamond" w:eastAsia="Times New Roman" w:hAnsi="Garamond" w:cs="Calibri"/>
                <w:b/>
                <w:bCs/>
                <w:color w:val="000000"/>
                <w:sz w:val="20"/>
                <w:szCs w:val="20"/>
                <w:lang w:val="pt-PT" w:eastAsia="pt-PT"/>
              </w:rPr>
              <w:t>Transversalização</w:t>
            </w:r>
            <w:proofErr w:type="spellEnd"/>
            <w:r w:rsidRPr="007F40AA">
              <w:rPr>
                <w:rFonts w:ascii="Garamond" w:eastAsia="Times New Roman" w:hAnsi="Garamond" w:cs="Calibri"/>
                <w:b/>
                <w:bCs/>
                <w:color w:val="000000"/>
                <w:sz w:val="20"/>
                <w:szCs w:val="20"/>
                <w:lang w:val="pt-PT" w:eastAsia="pt-PT"/>
              </w:rPr>
              <w:t xml:space="preserve"> da Abordagem de Género</w:t>
            </w:r>
          </w:p>
        </w:tc>
        <w:tc>
          <w:tcPr>
            <w:tcW w:w="1276" w:type="dxa"/>
            <w:tcBorders>
              <w:top w:val="single" w:sz="4" w:space="0" w:color="auto"/>
              <w:bottom w:val="single" w:sz="4" w:space="0" w:color="auto"/>
            </w:tcBorders>
            <w:shd w:val="clear" w:color="auto" w:fill="auto"/>
            <w:noWrap/>
            <w:vAlign w:val="center"/>
            <w:hideMark/>
          </w:tcPr>
          <w:p w14:paraId="2AA74AD5"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20 852 500</w:t>
            </w:r>
          </w:p>
        </w:tc>
        <w:tc>
          <w:tcPr>
            <w:tcW w:w="1417" w:type="dxa"/>
            <w:tcBorders>
              <w:top w:val="single" w:sz="4" w:space="0" w:color="auto"/>
              <w:bottom w:val="single" w:sz="4" w:space="0" w:color="auto"/>
            </w:tcBorders>
            <w:shd w:val="clear" w:color="auto" w:fill="auto"/>
            <w:noWrap/>
            <w:vAlign w:val="center"/>
            <w:hideMark/>
          </w:tcPr>
          <w:p w14:paraId="6EEE8CC4"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29 567 500</w:t>
            </w:r>
          </w:p>
        </w:tc>
        <w:tc>
          <w:tcPr>
            <w:tcW w:w="1276" w:type="dxa"/>
            <w:tcBorders>
              <w:top w:val="single" w:sz="4" w:space="0" w:color="auto"/>
              <w:bottom w:val="single" w:sz="4" w:space="0" w:color="auto"/>
            </w:tcBorders>
            <w:shd w:val="clear" w:color="auto" w:fill="auto"/>
            <w:noWrap/>
            <w:vAlign w:val="center"/>
            <w:hideMark/>
          </w:tcPr>
          <w:p w14:paraId="509B2EAB"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10 777 500</w:t>
            </w:r>
          </w:p>
        </w:tc>
        <w:tc>
          <w:tcPr>
            <w:tcW w:w="1418" w:type="dxa"/>
            <w:tcBorders>
              <w:top w:val="single" w:sz="4" w:space="0" w:color="auto"/>
              <w:bottom w:val="single" w:sz="4" w:space="0" w:color="auto"/>
            </w:tcBorders>
            <w:shd w:val="clear" w:color="auto" w:fill="auto"/>
            <w:noWrap/>
            <w:vAlign w:val="center"/>
            <w:hideMark/>
          </w:tcPr>
          <w:p w14:paraId="6C5A2C83" w14:textId="77777777" w:rsidR="00AB3369" w:rsidRPr="00AB3369" w:rsidRDefault="00AB3369" w:rsidP="00AB3369">
            <w:pPr>
              <w:jc w:val="center"/>
              <w:rPr>
                <w:rFonts w:ascii="Garamond" w:eastAsia="Times New Roman" w:hAnsi="Garamond" w:cs="Calibri"/>
                <w:color w:val="000000"/>
                <w:sz w:val="20"/>
                <w:szCs w:val="20"/>
                <w:lang w:val="pt-PT" w:eastAsia="pt-PT"/>
              </w:rPr>
            </w:pPr>
            <w:r w:rsidRPr="00AB3369">
              <w:rPr>
                <w:rFonts w:ascii="Garamond" w:eastAsia="Times New Roman" w:hAnsi="Garamond" w:cs="Calibri"/>
                <w:color w:val="000000"/>
                <w:sz w:val="20"/>
                <w:szCs w:val="20"/>
                <w:lang w:val="pt-PT" w:eastAsia="pt-PT"/>
              </w:rPr>
              <w:t>12 502 500</w:t>
            </w:r>
          </w:p>
        </w:tc>
        <w:tc>
          <w:tcPr>
            <w:tcW w:w="1559" w:type="dxa"/>
            <w:tcBorders>
              <w:top w:val="single" w:sz="4" w:space="0" w:color="auto"/>
              <w:bottom w:val="single" w:sz="4" w:space="0" w:color="auto"/>
            </w:tcBorders>
            <w:shd w:val="clear" w:color="auto" w:fill="F2F2F2" w:themeFill="background1" w:themeFillShade="F2"/>
            <w:noWrap/>
            <w:vAlign w:val="center"/>
            <w:hideMark/>
          </w:tcPr>
          <w:p w14:paraId="5A6A87FD" w14:textId="77777777" w:rsidR="00AB3369" w:rsidRPr="00AB3369" w:rsidRDefault="00AB3369" w:rsidP="00AB3369">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73 700 000</w:t>
            </w:r>
          </w:p>
        </w:tc>
      </w:tr>
      <w:tr w:rsidR="007F40AA" w:rsidRPr="00AB3369" w14:paraId="6D7B7BF6" w14:textId="77777777" w:rsidTr="007F3C7D">
        <w:trPr>
          <w:trHeight w:val="290"/>
          <w:jc w:val="center"/>
        </w:trPr>
        <w:tc>
          <w:tcPr>
            <w:tcW w:w="2405" w:type="dxa"/>
            <w:tcBorders>
              <w:top w:val="single" w:sz="4" w:space="0" w:color="auto"/>
            </w:tcBorders>
            <w:shd w:val="clear" w:color="auto" w:fill="DEEAF6" w:themeFill="accent5" w:themeFillTint="33"/>
            <w:noWrap/>
            <w:vAlign w:val="bottom"/>
            <w:hideMark/>
          </w:tcPr>
          <w:p w14:paraId="6173F213" w14:textId="6C5AA04E" w:rsidR="00AB3369" w:rsidRPr="00AB3369" w:rsidRDefault="007F40AA" w:rsidP="007F3C7D">
            <w:pPr>
              <w:jc w:val="center"/>
              <w:rPr>
                <w:rFonts w:ascii="Garamond" w:eastAsia="Times New Roman" w:hAnsi="Garamond" w:cs="Calibri"/>
                <w:b/>
                <w:bCs/>
                <w:color w:val="000000"/>
                <w:sz w:val="20"/>
                <w:szCs w:val="20"/>
                <w:lang w:val="pt-PT" w:eastAsia="pt-PT"/>
              </w:rPr>
            </w:pPr>
            <w:r w:rsidRPr="007F40AA">
              <w:rPr>
                <w:rFonts w:ascii="Garamond" w:eastAsia="Times New Roman" w:hAnsi="Garamond" w:cs="Calibri"/>
                <w:b/>
                <w:bCs/>
                <w:color w:val="000000"/>
                <w:sz w:val="20"/>
                <w:szCs w:val="20"/>
                <w:lang w:val="pt-PT" w:eastAsia="pt-PT"/>
              </w:rPr>
              <w:t>TOTAL</w:t>
            </w:r>
          </w:p>
        </w:tc>
        <w:tc>
          <w:tcPr>
            <w:tcW w:w="1276" w:type="dxa"/>
            <w:tcBorders>
              <w:top w:val="single" w:sz="4" w:space="0" w:color="auto"/>
            </w:tcBorders>
            <w:shd w:val="clear" w:color="auto" w:fill="DEEAF6" w:themeFill="accent5" w:themeFillTint="33"/>
            <w:noWrap/>
            <w:vAlign w:val="center"/>
            <w:hideMark/>
          </w:tcPr>
          <w:p w14:paraId="381ABD90" w14:textId="77777777" w:rsidR="00AB3369" w:rsidRPr="00AB3369" w:rsidRDefault="00AB3369" w:rsidP="007F3C7D">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104 921 000</w:t>
            </w:r>
          </w:p>
        </w:tc>
        <w:tc>
          <w:tcPr>
            <w:tcW w:w="1417" w:type="dxa"/>
            <w:tcBorders>
              <w:top w:val="single" w:sz="4" w:space="0" w:color="auto"/>
            </w:tcBorders>
            <w:shd w:val="clear" w:color="auto" w:fill="DEEAF6" w:themeFill="accent5" w:themeFillTint="33"/>
            <w:noWrap/>
            <w:vAlign w:val="center"/>
            <w:hideMark/>
          </w:tcPr>
          <w:p w14:paraId="74E6FE0C" w14:textId="77777777" w:rsidR="00AB3369" w:rsidRPr="00AB3369" w:rsidRDefault="00AB3369" w:rsidP="007F3C7D">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119 536 000</w:t>
            </w:r>
          </w:p>
        </w:tc>
        <w:tc>
          <w:tcPr>
            <w:tcW w:w="1276" w:type="dxa"/>
            <w:tcBorders>
              <w:top w:val="single" w:sz="4" w:space="0" w:color="auto"/>
            </w:tcBorders>
            <w:shd w:val="clear" w:color="auto" w:fill="DEEAF6" w:themeFill="accent5" w:themeFillTint="33"/>
            <w:noWrap/>
            <w:vAlign w:val="center"/>
            <w:hideMark/>
          </w:tcPr>
          <w:p w14:paraId="5CAD102A" w14:textId="77777777" w:rsidR="00AB3369" w:rsidRPr="00AB3369" w:rsidRDefault="00AB3369" w:rsidP="007F3C7D">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74 136 500</w:t>
            </w:r>
          </w:p>
        </w:tc>
        <w:tc>
          <w:tcPr>
            <w:tcW w:w="1418" w:type="dxa"/>
            <w:tcBorders>
              <w:top w:val="single" w:sz="4" w:space="0" w:color="auto"/>
            </w:tcBorders>
            <w:shd w:val="clear" w:color="auto" w:fill="DEEAF6" w:themeFill="accent5" w:themeFillTint="33"/>
            <w:noWrap/>
            <w:vAlign w:val="center"/>
            <w:hideMark/>
          </w:tcPr>
          <w:p w14:paraId="7651F432" w14:textId="77777777" w:rsidR="00AB3369" w:rsidRPr="00AB3369" w:rsidRDefault="00AB3369" w:rsidP="007F3C7D">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57 578 500</w:t>
            </w:r>
          </w:p>
        </w:tc>
        <w:tc>
          <w:tcPr>
            <w:tcW w:w="1559" w:type="dxa"/>
            <w:tcBorders>
              <w:top w:val="single" w:sz="4" w:space="0" w:color="auto"/>
            </w:tcBorders>
            <w:shd w:val="clear" w:color="auto" w:fill="DEEAF6" w:themeFill="accent5" w:themeFillTint="33"/>
            <w:noWrap/>
            <w:vAlign w:val="center"/>
            <w:hideMark/>
          </w:tcPr>
          <w:p w14:paraId="4112134E" w14:textId="77777777" w:rsidR="00AB3369" w:rsidRPr="00AB3369" w:rsidRDefault="00AB3369" w:rsidP="007F3C7D">
            <w:pPr>
              <w:jc w:val="center"/>
              <w:rPr>
                <w:rFonts w:ascii="Garamond" w:eastAsia="Times New Roman" w:hAnsi="Garamond" w:cs="Calibri"/>
                <w:b/>
                <w:bCs/>
                <w:color w:val="000000"/>
                <w:sz w:val="20"/>
                <w:szCs w:val="20"/>
                <w:lang w:val="pt-PT" w:eastAsia="pt-PT"/>
              </w:rPr>
            </w:pPr>
            <w:r w:rsidRPr="00AB3369">
              <w:rPr>
                <w:rFonts w:ascii="Garamond" w:eastAsia="Times New Roman" w:hAnsi="Garamond" w:cs="Calibri"/>
                <w:b/>
                <w:bCs/>
                <w:color w:val="000000"/>
                <w:sz w:val="20"/>
                <w:szCs w:val="20"/>
                <w:lang w:val="pt-PT" w:eastAsia="pt-PT"/>
              </w:rPr>
              <w:t>356 172 000</w:t>
            </w:r>
          </w:p>
        </w:tc>
      </w:tr>
    </w:tbl>
    <w:p w14:paraId="2B4183B4" w14:textId="24FD51D3" w:rsidR="004723E2" w:rsidRPr="004723E2" w:rsidRDefault="004723E2" w:rsidP="004723E2">
      <w:pPr>
        <w:pStyle w:val="Legenda"/>
        <w:jc w:val="center"/>
        <w:rPr>
          <w:rFonts w:ascii="Garamond" w:hAnsi="Garamond" w:cs="Times New Roman"/>
          <w:b/>
          <w:bCs/>
          <w:i w:val="0"/>
          <w:iCs w:val="0"/>
          <w:color w:val="auto"/>
          <w:sz w:val="20"/>
          <w:szCs w:val="20"/>
          <w:lang w:val="pt-PT"/>
        </w:rPr>
      </w:pPr>
      <w:r>
        <w:rPr>
          <w:rFonts w:ascii="Garamond" w:hAnsi="Garamond"/>
          <w:b/>
          <w:bCs/>
          <w:i w:val="0"/>
          <w:iCs w:val="0"/>
          <w:color w:val="auto"/>
          <w:sz w:val="20"/>
          <w:szCs w:val="20"/>
          <w:lang w:val="pt-PT"/>
        </w:rPr>
        <w:t xml:space="preserve">Fonte: elaboração própria com base no </w:t>
      </w:r>
      <w:r w:rsidR="00CA6F19">
        <w:rPr>
          <w:rFonts w:ascii="Garamond" w:hAnsi="Garamond"/>
          <w:b/>
          <w:bCs/>
          <w:i w:val="0"/>
          <w:iCs w:val="0"/>
          <w:color w:val="auto"/>
          <w:sz w:val="20"/>
          <w:szCs w:val="20"/>
          <w:lang w:val="pt-PT"/>
        </w:rPr>
        <w:t>E</w:t>
      </w:r>
      <w:r>
        <w:rPr>
          <w:rFonts w:ascii="Garamond" w:hAnsi="Garamond"/>
          <w:b/>
          <w:bCs/>
          <w:i w:val="0"/>
          <w:iCs w:val="0"/>
          <w:color w:val="auto"/>
          <w:sz w:val="20"/>
          <w:szCs w:val="20"/>
          <w:lang w:val="pt-PT"/>
        </w:rPr>
        <w:t>xcel detalhado d</w:t>
      </w:r>
      <w:r w:rsidR="00CA6F19">
        <w:rPr>
          <w:rFonts w:ascii="Garamond" w:hAnsi="Garamond"/>
          <w:b/>
          <w:bCs/>
          <w:i w:val="0"/>
          <w:iCs w:val="0"/>
          <w:color w:val="auto"/>
          <w:sz w:val="20"/>
          <w:szCs w:val="20"/>
          <w:lang w:val="pt-PT"/>
        </w:rPr>
        <w:t xml:space="preserve">e unidades-custo por medida de </w:t>
      </w:r>
      <w:proofErr w:type="spellStart"/>
      <w:r w:rsidR="00CA6F19">
        <w:rPr>
          <w:rFonts w:ascii="Garamond" w:hAnsi="Garamond"/>
          <w:b/>
          <w:bCs/>
          <w:i w:val="0"/>
          <w:iCs w:val="0"/>
          <w:color w:val="auto"/>
          <w:sz w:val="20"/>
          <w:szCs w:val="20"/>
          <w:lang w:val="pt-PT"/>
        </w:rPr>
        <w:t>ação</w:t>
      </w:r>
      <w:proofErr w:type="spellEnd"/>
    </w:p>
    <w:p w14:paraId="4BC867D1" w14:textId="77777777" w:rsidR="00AB3369" w:rsidRPr="001946CA" w:rsidRDefault="00AB3369" w:rsidP="00B240D6">
      <w:pPr>
        <w:spacing w:line="259" w:lineRule="auto"/>
        <w:jc w:val="both"/>
        <w:rPr>
          <w:rFonts w:ascii="Garamond" w:hAnsi="Garamond" w:cs="Times New Roman"/>
          <w:lang w:val="pt-PT"/>
        </w:rPr>
      </w:pPr>
    </w:p>
    <w:p w14:paraId="4E5BB143" w14:textId="5BE24B5E" w:rsidR="0009505B" w:rsidRDefault="0009505B" w:rsidP="00531CA7">
      <w:pPr>
        <w:spacing w:line="276" w:lineRule="auto"/>
        <w:jc w:val="both"/>
        <w:rPr>
          <w:rFonts w:ascii="Garamond" w:hAnsi="Garamond" w:cs="Times New Roman"/>
          <w:b/>
          <w:bCs/>
          <w:lang w:val="pt-PT"/>
        </w:rPr>
      </w:pPr>
    </w:p>
    <w:p w14:paraId="1D8B3706" w14:textId="73D61A11" w:rsidR="00531CA7" w:rsidRDefault="00531CA7" w:rsidP="00531CA7">
      <w:pPr>
        <w:spacing w:line="276" w:lineRule="auto"/>
        <w:jc w:val="both"/>
        <w:rPr>
          <w:rFonts w:ascii="Garamond" w:hAnsi="Garamond" w:cs="Times New Roman"/>
          <w:lang w:val="pt-PT"/>
        </w:rPr>
      </w:pPr>
    </w:p>
    <w:p w14:paraId="55CA24AB" w14:textId="77777777" w:rsidR="00E05403" w:rsidRDefault="00E05403">
      <w:pPr>
        <w:rPr>
          <w:rFonts w:ascii="Garamond" w:hAnsi="Garamond" w:cs="Times New Roman"/>
          <w:lang w:val="pt-PT"/>
        </w:rPr>
      </w:pPr>
    </w:p>
    <w:p w14:paraId="220FEC2E" w14:textId="77777777" w:rsidR="00E05403" w:rsidRDefault="00E05403">
      <w:pPr>
        <w:rPr>
          <w:rFonts w:ascii="Garamond" w:hAnsi="Garamond" w:cs="Times New Roman"/>
          <w:lang w:val="pt-PT"/>
        </w:rPr>
      </w:pPr>
    </w:p>
    <w:p w14:paraId="77B2F9A8" w14:textId="5678BD2D" w:rsidR="00782921" w:rsidRDefault="00E05403">
      <w:pPr>
        <w:rPr>
          <w:rFonts w:ascii="Garamond" w:hAnsi="Garamond" w:cs="Times New Roman"/>
          <w:lang w:val="pt-PT"/>
        </w:rPr>
      </w:pPr>
      <w:r>
        <w:rPr>
          <w:rFonts w:ascii="Garamond" w:hAnsi="Garamond" w:cs="Times New Roman"/>
          <w:lang w:val="pt-PT"/>
        </w:rPr>
        <w:br w:type="page"/>
      </w:r>
    </w:p>
    <w:p w14:paraId="580923FD" w14:textId="753ECD2B" w:rsidR="00782921" w:rsidRPr="00E05403" w:rsidRDefault="00F57BB1" w:rsidP="00782921">
      <w:pPr>
        <w:pStyle w:val="Ttulo1"/>
        <w:rPr>
          <w:rFonts w:ascii="Garamond" w:hAnsi="Garamond"/>
          <w:bCs w:val="0"/>
          <w:sz w:val="28"/>
          <w:szCs w:val="28"/>
          <w:lang w:val="pt-PT"/>
        </w:rPr>
      </w:pPr>
      <w:bookmarkStart w:id="121" w:name="_Toc32858141"/>
      <w:r>
        <w:rPr>
          <w:rFonts w:ascii="Garamond" w:hAnsi="Garamond"/>
          <w:bCs w:val="0"/>
          <w:sz w:val="28"/>
          <w:szCs w:val="28"/>
          <w:lang w:val="pt-PT"/>
        </w:rPr>
        <w:t>S</w:t>
      </w:r>
      <w:r w:rsidR="009F6506">
        <w:rPr>
          <w:rFonts w:ascii="Garamond" w:hAnsi="Garamond"/>
          <w:bCs w:val="0"/>
          <w:sz w:val="28"/>
          <w:szCs w:val="28"/>
          <w:lang w:val="pt-PT"/>
        </w:rPr>
        <w:t>iglas e acrónimos</w:t>
      </w:r>
      <w:bookmarkEnd w:id="121"/>
    </w:p>
    <w:p w14:paraId="3BD41E45" w14:textId="75F3C8FF" w:rsidR="00E05403" w:rsidRDefault="00E05403">
      <w:pPr>
        <w:rPr>
          <w:rFonts w:ascii="Garamond" w:hAnsi="Garamond" w:cs="Times New Roman"/>
          <w:lang w:val="pt-PT"/>
        </w:rPr>
      </w:pPr>
    </w:p>
    <w:p w14:paraId="2472D1BB" w14:textId="63E4A668" w:rsidR="00F57BB1" w:rsidRDefault="00F57BB1">
      <w:pPr>
        <w:rPr>
          <w:rFonts w:ascii="Garamond" w:hAnsi="Garamond" w:cs="Times New Roman"/>
          <w:lang w:val="pt-PT"/>
        </w:rPr>
      </w:pPr>
    </w:p>
    <w:p w14:paraId="55D0DBD1" w14:textId="426BDE00" w:rsidR="007F3F54" w:rsidRDefault="007F3F54">
      <w:pPr>
        <w:rPr>
          <w:rFonts w:ascii="Garamond" w:hAnsi="Garamond" w:cs="Times New Roman"/>
          <w:lang w:val="pt-PT"/>
        </w:rPr>
      </w:pPr>
      <w:r>
        <w:rPr>
          <w:rFonts w:ascii="Garamond" w:hAnsi="Garamond" w:cs="Times New Roman"/>
          <w:lang w:val="pt-PT"/>
        </w:rPr>
        <w:br w:type="page"/>
      </w:r>
    </w:p>
    <w:p w14:paraId="74107D85" w14:textId="302D08C3" w:rsidR="00664A2D" w:rsidRPr="00E05403" w:rsidRDefault="00531CA7" w:rsidP="00E05403">
      <w:pPr>
        <w:pStyle w:val="Ttulo1"/>
        <w:rPr>
          <w:rFonts w:ascii="Garamond" w:hAnsi="Garamond"/>
          <w:bCs w:val="0"/>
          <w:sz w:val="28"/>
          <w:szCs w:val="28"/>
          <w:lang w:val="pt-PT"/>
        </w:rPr>
      </w:pPr>
      <w:bookmarkStart w:id="122" w:name="_Toc32858142"/>
      <w:r w:rsidRPr="00512C73">
        <w:rPr>
          <w:rFonts w:ascii="Garamond" w:hAnsi="Garamond"/>
          <w:bCs w:val="0"/>
          <w:sz w:val="28"/>
          <w:szCs w:val="28"/>
          <w:lang w:val="pt-PT"/>
        </w:rPr>
        <w:t>A</w:t>
      </w:r>
      <w:r w:rsidR="009F6506">
        <w:rPr>
          <w:rFonts w:ascii="Garamond" w:hAnsi="Garamond"/>
          <w:bCs w:val="0"/>
          <w:sz w:val="28"/>
          <w:szCs w:val="28"/>
          <w:lang w:val="pt-PT"/>
        </w:rPr>
        <w:t>nexos</w:t>
      </w:r>
      <w:bookmarkEnd w:id="122"/>
    </w:p>
    <w:p w14:paraId="6AA06FE2" w14:textId="27F13188" w:rsidR="00664A2D" w:rsidRDefault="00664A2D" w:rsidP="006E27ED">
      <w:pPr>
        <w:spacing w:after="240"/>
        <w:jc w:val="both"/>
        <w:rPr>
          <w:rFonts w:ascii="Garamond" w:hAnsi="Garamond" w:cs="Times New Roman"/>
          <w:b/>
          <w:color w:val="000000" w:themeColor="text1"/>
          <w:lang w:val="pt-PT"/>
        </w:rPr>
      </w:pPr>
    </w:p>
    <w:p w14:paraId="6B05EE9E" w14:textId="5DA016C9" w:rsidR="00664A2D" w:rsidRDefault="00664A2D" w:rsidP="006E27ED">
      <w:pPr>
        <w:spacing w:after="240"/>
        <w:jc w:val="both"/>
        <w:rPr>
          <w:rFonts w:ascii="Garamond" w:hAnsi="Garamond" w:cs="Times New Roman"/>
          <w:b/>
          <w:color w:val="000000" w:themeColor="text1"/>
          <w:lang w:val="pt-PT"/>
        </w:rPr>
      </w:pPr>
    </w:p>
    <w:p w14:paraId="619712BB" w14:textId="77777777" w:rsidR="00664A2D" w:rsidRPr="00C96041" w:rsidRDefault="00664A2D" w:rsidP="006E27ED">
      <w:pPr>
        <w:spacing w:after="240"/>
        <w:jc w:val="both"/>
        <w:rPr>
          <w:rFonts w:ascii="Garamond" w:hAnsi="Garamond" w:cs="Times New Roman"/>
          <w:b/>
          <w:color w:val="000000" w:themeColor="text1"/>
          <w:lang w:val="pt-PT"/>
        </w:rPr>
      </w:pPr>
    </w:p>
    <w:sectPr w:rsidR="00664A2D" w:rsidRPr="00C96041" w:rsidSect="00BE2A0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EBD5A" w14:textId="77777777" w:rsidR="0030343B" w:rsidRDefault="0030343B" w:rsidP="004A7EB2">
      <w:r>
        <w:separator/>
      </w:r>
    </w:p>
  </w:endnote>
  <w:endnote w:type="continuationSeparator" w:id="0">
    <w:p w14:paraId="1BBFEFF9" w14:textId="77777777" w:rsidR="0030343B" w:rsidRDefault="0030343B" w:rsidP="004A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Gotham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15598172"/>
      <w:docPartObj>
        <w:docPartGallery w:val="Page Numbers (Bottom of Page)"/>
        <w:docPartUnique/>
      </w:docPartObj>
    </w:sdtPr>
    <w:sdtContent>
      <w:p w14:paraId="4257F4FC" w14:textId="13247773" w:rsidR="009F122A" w:rsidRDefault="009F122A" w:rsidP="0019039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7668061" w14:textId="77777777" w:rsidR="009F122A" w:rsidRDefault="009F122A" w:rsidP="0025474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113936417"/>
      <w:docPartObj>
        <w:docPartGallery w:val="Page Numbers (Bottom of Page)"/>
        <w:docPartUnique/>
      </w:docPartObj>
    </w:sdtPr>
    <w:sdtContent>
      <w:p w14:paraId="6AFF14B2" w14:textId="6F161B7D" w:rsidR="009F122A" w:rsidRDefault="009F122A" w:rsidP="0019039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B61336F" w14:textId="77777777" w:rsidR="009F122A" w:rsidRDefault="009F122A" w:rsidP="0025474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4C6B" w14:textId="77777777" w:rsidR="0030343B" w:rsidRDefault="0030343B" w:rsidP="004A7EB2">
      <w:r>
        <w:separator/>
      </w:r>
    </w:p>
  </w:footnote>
  <w:footnote w:type="continuationSeparator" w:id="0">
    <w:p w14:paraId="19039783" w14:textId="77777777" w:rsidR="0030343B" w:rsidRDefault="0030343B" w:rsidP="004A7EB2">
      <w:r>
        <w:continuationSeparator/>
      </w:r>
    </w:p>
  </w:footnote>
  <w:footnote w:id="1">
    <w:p w14:paraId="7571AB71" w14:textId="5E0A69A3" w:rsidR="009F122A" w:rsidRPr="001C50C8" w:rsidRDefault="009F122A" w:rsidP="00705C64">
      <w:pPr>
        <w:pStyle w:val="Textodenotaderodap"/>
        <w:jc w:val="both"/>
      </w:pPr>
      <w:r w:rsidRPr="001C50C8">
        <w:rPr>
          <w:rStyle w:val="Refdenotaderodap"/>
        </w:rPr>
        <w:footnoteRef/>
      </w:r>
      <w:r w:rsidRPr="001C50C8">
        <w:t xml:space="preserve"> </w:t>
      </w:r>
      <w:r w:rsidRPr="001C50C8">
        <w:rPr>
          <w:rFonts w:ascii="Garamond" w:hAnsi="Garamond"/>
        </w:rPr>
        <w:t xml:space="preserve">O que já havia acontecido de 2011 a 2014 com </w:t>
      </w:r>
      <w:proofErr w:type="spellStart"/>
      <w:r w:rsidRPr="001C50C8">
        <w:rPr>
          <w:rFonts w:ascii="Garamond" w:hAnsi="Garamond"/>
        </w:rPr>
        <w:t>PAPIG</w:t>
      </w:r>
      <w:proofErr w:type="spellEnd"/>
      <w:r w:rsidRPr="001C50C8">
        <w:rPr>
          <w:rFonts w:ascii="Garamond" w:hAnsi="Garamond"/>
        </w:rPr>
        <w:t xml:space="preserve"> – </w:t>
      </w:r>
      <w:r w:rsidRPr="001C50C8">
        <w:rPr>
          <w:rFonts w:ascii="Garamond" w:hAnsi="Garamond"/>
          <w:i/>
          <w:iCs/>
        </w:rPr>
        <w:t xml:space="preserve">Programa de </w:t>
      </w:r>
      <w:proofErr w:type="spellStart"/>
      <w:r w:rsidRPr="001C50C8">
        <w:rPr>
          <w:rFonts w:ascii="Garamond" w:hAnsi="Garamond"/>
          <w:i/>
          <w:iCs/>
        </w:rPr>
        <w:t>Ação</w:t>
      </w:r>
      <w:proofErr w:type="spellEnd"/>
      <w:r w:rsidRPr="001C50C8">
        <w:rPr>
          <w:rFonts w:ascii="Garamond" w:hAnsi="Garamond"/>
          <w:i/>
          <w:iCs/>
        </w:rPr>
        <w:t xml:space="preserve"> para a Promoção da Igualdade de Género</w:t>
      </w:r>
      <w:r w:rsidRPr="001C50C8">
        <w:rPr>
          <w:rFonts w:ascii="Garamond" w:hAnsi="Garamond"/>
        </w:rPr>
        <w:t xml:space="preserve">, que definiu 5 áreas de acção: (i) Implementação da Lei </w:t>
      </w:r>
      <w:proofErr w:type="spellStart"/>
      <w:r w:rsidRPr="001C50C8">
        <w:rPr>
          <w:rFonts w:ascii="Garamond" w:hAnsi="Garamond"/>
        </w:rPr>
        <w:t>VBG</w:t>
      </w:r>
      <w:proofErr w:type="spellEnd"/>
      <w:r w:rsidRPr="001C50C8">
        <w:rPr>
          <w:rFonts w:ascii="Garamond" w:hAnsi="Garamond"/>
        </w:rPr>
        <w:t xml:space="preserve">, (ii) Reforço institucional, (iii) </w:t>
      </w:r>
      <w:proofErr w:type="spellStart"/>
      <w:r w:rsidRPr="001C50C8">
        <w:rPr>
          <w:rFonts w:ascii="Garamond" w:hAnsi="Garamond"/>
        </w:rPr>
        <w:t>Transversalização</w:t>
      </w:r>
      <w:proofErr w:type="spellEnd"/>
      <w:r w:rsidRPr="001C50C8">
        <w:rPr>
          <w:rFonts w:ascii="Garamond" w:hAnsi="Garamond"/>
        </w:rPr>
        <w:t xml:space="preserve"> da abordagem género, (iv) Educação e comunicação para a mudança; (v) Oportunidades económicas.</w:t>
      </w:r>
    </w:p>
  </w:footnote>
  <w:footnote w:id="2">
    <w:p w14:paraId="749DB234" w14:textId="77777777" w:rsidR="009F122A" w:rsidRPr="001C50C8" w:rsidRDefault="009F122A" w:rsidP="00F1265A">
      <w:pPr>
        <w:jc w:val="both"/>
        <w:rPr>
          <w:rFonts w:ascii="Garamond" w:eastAsiaTheme="minorEastAsia" w:hAnsi="Garamond"/>
          <w:sz w:val="20"/>
          <w:szCs w:val="20"/>
          <w:lang w:val="pt-PT" w:eastAsia="pt-PT"/>
        </w:rPr>
      </w:pPr>
      <w:r w:rsidRPr="008E460A">
        <w:rPr>
          <w:rStyle w:val="Refdenotaderodap"/>
          <w:rFonts w:eastAsiaTheme="minorEastAsia"/>
          <w:sz w:val="20"/>
          <w:szCs w:val="20"/>
          <w:lang w:val="pt-PT" w:eastAsia="pt-PT"/>
        </w:rPr>
        <w:footnoteRef/>
      </w:r>
      <w:r w:rsidRPr="00153BF5">
        <w:rPr>
          <w:rStyle w:val="Refdenotaderodap"/>
          <w:rFonts w:eastAsiaTheme="minorEastAsia"/>
          <w:sz w:val="20"/>
          <w:szCs w:val="20"/>
          <w:lang w:val="pt-PT" w:eastAsia="pt-PT"/>
        </w:rPr>
        <w:t xml:space="preserve"> </w:t>
      </w:r>
      <w:r w:rsidRPr="008E460A">
        <w:rPr>
          <w:rFonts w:ascii="Garamond" w:eastAsiaTheme="minorEastAsia" w:hAnsi="Garamond"/>
          <w:sz w:val="20"/>
          <w:szCs w:val="20"/>
          <w:lang w:val="pt-PT" w:eastAsia="pt-PT"/>
        </w:rPr>
        <w:t xml:space="preserve">Revisão documental, em particular de documentos de planificação e </w:t>
      </w:r>
      <w:proofErr w:type="spellStart"/>
      <w:r w:rsidRPr="008E460A">
        <w:rPr>
          <w:rFonts w:ascii="Garamond" w:eastAsiaTheme="minorEastAsia" w:hAnsi="Garamond"/>
          <w:sz w:val="20"/>
          <w:szCs w:val="20"/>
          <w:lang w:val="pt-PT" w:eastAsia="pt-PT"/>
        </w:rPr>
        <w:t>respetivos</w:t>
      </w:r>
      <w:proofErr w:type="spellEnd"/>
      <w:r w:rsidRPr="008E460A">
        <w:rPr>
          <w:rFonts w:ascii="Garamond" w:eastAsiaTheme="minorEastAsia" w:hAnsi="Garamond"/>
          <w:sz w:val="20"/>
          <w:szCs w:val="20"/>
          <w:lang w:val="pt-PT" w:eastAsia="pt-PT"/>
        </w:rPr>
        <w:t xml:space="preserve"> relatórios, de 2015 a 2018 do </w:t>
      </w:r>
      <w:proofErr w:type="spellStart"/>
      <w:r w:rsidRPr="008E460A">
        <w:rPr>
          <w:rFonts w:ascii="Garamond" w:eastAsiaTheme="minorEastAsia" w:hAnsi="Garamond"/>
          <w:sz w:val="20"/>
          <w:szCs w:val="20"/>
          <w:lang w:val="pt-PT" w:eastAsia="pt-PT"/>
        </w:rPr>
        <w:t>ICIEG</w:t>
      </w:r>
      <w:proofErr w:type="spellEnd"/>
      <w:r w:rsidRPr="008E460A">
        <w:rPr>
          <w:rFonts w:ascii="Garamond" w:eastAsiaTheme="minorEastAsia" w:hAnsi="Garamond"/>
          <w:sz w:val="20"/>
          <w:szCs w:val="20"/>
          <w:lang w:val="pt-PT" w:eastAsia="pt-PT"/>
        </w:rPr>
        <w:t xml:space="preserve"> (planos de </w:t>
      </w:r>
      <w:proofErr w:type="spellStart"/>
      <w:r w:rsidRPr="008E460A">
        <w:rPr>
          <w:rFonts w:ascii="Garamond" w:eastAsiaTheme="minorEastAsia" w:hAnsi="Garamond"/>
          <w:sz w:val="20"/>
          <w:szCs w:val="20"/>
          <w:lang w:val="pt-PT" w:eastAsia="pt-PT"/>
        </w:rPr>
        <w:t>atividades</w:t>
      </w:r>
      <w:proofErr w:type="spellEnd"/>
      <w:r w:rsidRPr="008E460A">
        <w:rPr>
          <w:rFonts w:ascii="Garamond" w:eastAsiaTheme="minorEastAsia" w:hAnsi="Garamond"/>
          <w:sz w:val="20"/>
          <w:szCs w:val="20"/>
          <w:lang w:val="pt-PT" w:eastAsia="pt-PT"/>
        </w:rPr>
        <w:t xml:space="preserve">, </w:t>
      </w:r>
      <w:proofErr w:type="spellStart"/>
      <w:r w:rsidRPr="008E460A">
        <w:rPr>
          <w:rFonts w:ascii="Garamond" w:eastAsiaTheme="minorEastAsia" w:hAnsi="Garamond"/>
          <w:sz w:val="20"/>
          <w:szCs w:val="20"/>
          <w:lang w:val="pt-PT" w:eastAsia="pt-PT"/>
        </w:rPr>
        <w:t>projetos</w:t>
      </w:r>
      <w:proofErr w:type="spellEnd"/>
      <w:r w:rsidRPr="008E460A">
        <w:rPr>
          <w:rFonts w:ascii="Garamond" w:eastAsiaTheme="minorEastAsia" w:hAnsi="Garamond"/>
          <w:sz w:val="20"/>
          <w:szCs w:val="20"/>
          <w:lang w:val="pt-PT" w:eastAsia="pt-PT"/>
        </w:rPr>
        <w:t xml:space="preserve">, </w:t>
      </w:r>
      <w:proofErr w:type="spellStart"/>
      <w:r w:rsidRPr="008E460A">
        <w:rPr>
          <w:rFonts w:ascii="Garamond" w:eastAsiaTheme="minorEastAsia" w:hAnsi="Garamond"/>
          <w:sz w:val="20"/>
          <w:szCs w:val="20"/>
          <w:lang w:val="pt-PT" w:eastAsia="pt-PT"/>
        </w:rPr>
        <w:t>contratos</w:t>
      </w:r>
      <w:proofErr w:type="spellEnd"/>
      <w:r w:rsidRPr="008E460A">
        <w:rPr>
          <w:rFonts w:ascii="Garamond" w:eastAsiaTheme="minorEastAsia" w:hAnsi="Garamond"/>
          <w:sz w:val="20"/>
          <w:szCs w:val="20"/>
          <w:lang w:val="pt-PT" w:eastAsia="pt-PT"/>
        </w:rPr>
        <w:t xml:space="preserve">, memorandos, relatórios de implementação, etc.), produção legislativa, os documentos estratégicos de desenvolvimento do país, as avaliações e relatórios de avanço disponíveis, assim como as </w:t>
      </w:r>
      <w:r w:rsidRPr="001C50C8">
        <w:rPr>
          <w:rFonts w:ascii="Garamond" w:eastAsiaTheme="minorEastAsia" w:hAnsi="Garamond"/>
          <w:sz w:val="20"/>
          <w:szCs w:val="20"/>
          <w:lang w:val="pt-PT" w:eastAsia="pt-PT"/>
        </w:rPr>
        <w:t xml:space="preserve">informações estatísticas relevantes e literatura internacional comparada. Ver bibliografia anexa ao documento. </w:t>
      </w:r>
    </w:p>
  </w:footnote>
  <w:footnote w:id="3">
    <w:p w14:paraId="3CC2986E" w14:textId="5FF5C2C9" w:rsidR="009F122A" w:rsidRPr="00166C9D" w:rsidRDefault="009F122A">
      <w:pPr>
        <w:pStyle w:val="Textodenotaderodap"/>
        <w:rPr>
          <w:rFonts w:ascii="Garamond" w:hAnsi="Garamond"/>
        </w:rPr>
      </w:pPr>
      <w:r w:rsidRPr="00166C9D">
        <w:rPr>
          <w:rStyle w:val="Refdenotaderodap"/>
          <w:rFonts w:ascii="Garamond" w:hAnsi="Garamond"/>
        </w:rPr>
        <w:footnoteRef/>
      </w:r>
      <w:r w:rsidRPr="00166C9D">
        <w:rPr>
          <w:rFonts w:ascii="Garamond" w:hAnsi="Garamond"/>
        </w:rPr>
        <w:t xml:space="preserve"> As questões </w:t>
      </w:r>
      <w:r>
        <w:rPr>
          <w:rFonts w:ascii="Garamond" w:hAnsi="Garamond"/>
        </w:rPr>
        <w:t>relativas ao</w:t>
      </w:r>
      <w:r w:rsidRPr="00166C9D">
        <w:rPr>
          <w:rFonts w:ascii="Garamond" w:hAnsi="Garamond"/>
        </w:rPr>
        <w:t xml:space="preserve"> dividendo demográfico</w:t>
      </w:r>
      <w:r>
        <w:rPr>
          <w:rFonts w:ascii="Garamond" w:hAnsi="Garamond"/>
        </w:rPr>
        <w:t xml:space="preserve"> são tratadas no Eixo 1 no contexto das questões económicas</w:t>
      </w:r>
    </w:p>
  </w:footnote>
  <w:footnote w:id="4">
    <w:p w14:paraId="65914077" w14:textId="0276345F" w:rsidR="009F122A" w:rsidRPr="007113B4" w:rsidRDefault="009F122A" w:rsidP="007113B4">
      <w:pPr>
        <w:jc w:val="both"/>
        <w:rPr>
          <w:rFonts w:ascii="Garamond" w:hAnsi="Garamond"/>
          <w:sz w:val="20"/>
          <w:szCs w:val="20"/>
          <w:lang w:val="pt-PT"/>
        </w:rPr>
      </w:pPr>
      <w:r w:rsidRPr="007F1D5E">
        <w:rPr>
          <w:rStyle w:val="Refdenotaderodap"/>
          <w:rFonts w:ascii="Garamond" w:hAnsi="Garamond"/>
          <w:sz w:val="20"/>
          <w:szCs w:val="20"/>
        </w:rPr>
        <w:footnoteRef/>
      </w:r>
      <w:r w:rsidRPr="00CC0CEF">
        <w:rPr>
          <w:rFonts w:ascii="Garamond" w:hAnsi="Garamond"/>
          <w:sz w:val="20"/>
          <w:szCs w:val="20"/>
          <w:lang w:val="en-GB"/>
        </w:rPr>
        <w:t xml:space="preserve"> </w:t>
      </w:r>
      <w:proofErr w:type="spellStart"/>
      <w:r w:rsidRPr="00CC0CEF">
        <w:rPr>
          <w:rFonts w:ascii="Garamond" w:hAnsi="Garamond"/>
          <w:sz w:val="20"/>
          <w:szCs w:val="20"/>
          <w:lang w:val="en-GB"/>
        </w:rPr>
        <w:t>Lisboa</w:t>
      </w:r>
      <w:proofErr w:type="spellEnd"/>
      <w:r w:rsidRPr="00CC0CEF">
        <w:rPr>
          <w:rFonts w:ascii="Garamond" w:hAnsi="Garamond"/>
          <w:sz w:val="20"/>
          <w:szCs w:val="20"/>
          <w:lang w:val="en-GB"/>
        </w:rPr>
        <w:t xml:space="preserve"> (2006), cit. in. </w:t>
      </w:r>
      <w:proofErr w:type="spellStart"/>
      <w:r w:rsidRPr="007F1D5E">
        <w:rPr>
          <w:rFonts w:ascii="Garamond" w:hAnsi="Garamond"/>
          <w:sz w:val="20"/>
          <w:szCs w:val="20"/>
          <w:lang w:val="en-GB"/>
        </w:rPr>
        <w:t>INE</w:t>
      </w:r>
      <w:proofErr w:type="spellEnd"/>
      <w:r w:rsidRPr="007F1D5E">
        <w:rPr>
          <w:rFonts w:ascii="Garamond" w:hAnsi="Garamond"/>
          <w:sz w:val="20"/>
          <w:szCs w:val="20"/>
          <w:lang w:val="en-GB"/>
        </w:rPr>
        <w:t xml:space="preserve"> (s/d). </w:t>
      </w:r>
      <w:r w:rsidRPr="00FE1548">
        <w:rPr>
          <w:rFonts w:ascii="Garamond" w:hAnsi="Garamond"/>
          <w:sz w:val="20"/>
          <w:szCs w:val="20"/>
          <w:lang w:val="pt-PT"/>
        </w:rPr>
        <w:t>Feminino, Masculino e questões de género: uma leitura com base no Recenseamento Geral da População e da Habitação 2010 p46.</w:t>
      </w:r>
    </w:p>
  </w:footnote>
  <w:footnote w:id="5">
    <w:p w14:paraId="72BB1334" w14:textId="28CDF46F" w:rsidR="009F122A" w:rsidRPr="00337F9F" w:rsidRDefault="009F122A">
      <w:pPr>
        <w:pStyle w:val="Textodenotaderodap"/>
        <w:rPr>
          <w:rFonts w:ascii="Garamond" w:hAnsi="Garamond"/>
        </w:rPr>
      </w:pPr>
      <w:r>
        <w:rPr>
          <w:rStyle w:val="Refdenotaderodap"/>
        </w:rPr>
        <w:footnoteRef/>
      </w:r>
      <w:r>
        <w:t xml:space="preserve"> </w:t>
      </w:r>
      <w:proofErr w:type="spellStart"/>
      <w:r w:rsidRPr="00337F9F">
        <w:rPr>
          <w:rFonts w:ascii="Garamond" w:hAnsi="Garamond"/>
        </w:rPr>
        <w:t>MICS</w:t>
      </w:r>
      <w:proofErr w:type="spellEnd"/>
      <w:r w:rsidRPr="00337F9F">
        <w:rPr>
          <w:rFonts w:ascii="Garamond" w:hAnsi="Garamond"/>
        </w:rPr>
        <w:t xml:space="preserve"> – Sigla inglesa para Pais de Rendimento Médio (</w:t>
      </w:r>
      <w:proofErr w:type="spellStart"/>
      <w:r w:rsidRPr="00337F9F">
        <w:rPr>
          <w:rFonts w:ascii="Garamond" w:hAnsi="Garamond"/>
          <w:i/>
          <w:iCs/>
        </w:rPr>
        <w:t>Middle</w:t>
      </w:r>
      <w:proofErr w:type="spellEnd"/>
      <w:r w:rsidRPr="00337F9F">
        <w:rPr>
          <w:rFonts w:ascii="Garamond" w:hAnsi="Garamond"/>
          <w:i/>
          <w:iCs/>
        </w:rPr>
        <w:t xml:space="preserve"> </w:t>
      </w:r>
      <w:proofErr w:type="spellStart"/>
      <w:r w:rsidRPr="00337F9F">
        <w:rPr>
          <w:rFonts w:ascii="Garamond" w:hAnsi="Garamond"/>
          <w:i/>
          <w:iCs/>
        </w:rPr>
        <w:t>Income</w:t>
      </w:r>
      <w:proofErr w:type="spellEnd"/>
      <w:r w:rsidRPr="00337F9F">
        <w:rPr>
          <w:rFonts w:ascii="Garamond" w:hAnsi="Garamond"/>
          <w:i/>
          <w:iCs/>
        </w:rPr>
        <w:t xml:space="preserve"> Country</w:t>
      </w:r>
      <w:r w:rsidRPr="00337F9F">
        <w:rPr>
          <w:rFonts w:ascii="Garamond" w:hAnsi="Garamond"/>
        </w:rPr>
        <w:t>)</w:t>
      </w:r>
    </w:p>
  </w:footnote>
  <w:footnote w:id="6">
    <w:p w14:paraId="324C5F2E" w14:textId="7A388344" w:rsidR="009F122A" w:rsidRPr="00C960B4" w:rsidRDefault="009F122A">
      <w:pPr>
        <w:pStyle w:val="Textodenotaderodap"/>
        <w:rPr>
          <w:rFonts w:ascii="Garamond" w:hAnsi="Garamond"/>
        </w:rPr>
      </w:pPr>
      <w:r w:rsidRPr="00C960B4">
        <w:rPr>
          <w:rStyle w:val="Refdenotaderodap"/>
          <w:rFonts w:ascii="Garamond" w:hAnsi="Garamond"/>
        </w:rPr>
        <w:footnoteRef/>
      </w:r>
      <w:r w:rsidRPr="00C960B4">
        <w:rPr>
          <w:rFonts w:ascii="Garamond" w:hAnsi="Garamond"/>
        </w:rPr>
        <w:t xml:space="preserve"> Cabo Verde é o único país Africano que faz parte, desde 2018 da </w:t>
      </w:r>
      <w:proofErr w:type="spellStart"/>
      <w:r w:rsidRPr="004630B5">
        <w:rPr>
          <w:rFonts w:ascii="Garamond" w:eastAsia="Times New Roman" w:hAnsi="Garamond" w:cs="Times New Roman"/>
          <w:b/>
          <w:bCs/>
        </w:rPr>
        <w:t>Equal</w:t>
      </w:r>
      <w:proofErr w:type="spellEnd"/>
      <w:r w:rsidRPr="004630B5">
        <w:rPr>
          <w:rFonts w:ascii="Garamond" w:eastAsia="Times New Roman" w:hAnsi="Garamond" w:cs="Times New Roman"/>
          <w:b/>
          <w:bCs/>
        </w:rPr>
        <w:t xml:space="preserve"> </w:t>
      </w:r>
      <w:proofErr w:type="spellStart"/>
      <w:r w:rsidRPr="004630B5">
        <w:rPr>
          <w:rFonts w:ascii="Garamond" w:eastAsia="Times New Roman" w:hAnsi="Garamond" w:cs="Times New Roman"/>
          <w:b/>
          <w:bCs/>
        </w:rPr>
        <w:t>Rights</w:t>
      </w:r>
      <w:proofErr w:type="spellEnd"/>
      <w:r w:rsidRPr="004630B5">
        <w:rPr>
          <w:rFonts w:ascii="Garamond" w:eastAsia="Times New Roman" w:hAnsi="Garamond" w:cs="Times New Roman"/>
          <w:b/>
          <w:bCs/>
        </w:rPr>
        <w:t xml:space="preserve"> </w:t>
      </w:r>
      <w:proofErr w:type="spellStart"/>
      <w:r w:rsidRPr="004630B5">
        <w:rPr>
          <w:rFonts w:ascii="Garamond" w:eastAsia="Times New Roman" w:hAnsi="Garamond" w:cs="Times New Roman"/>
          <w:b/>
          <w:bCs/>
        </w:rPr>
        <w:t>Coalition</w:t>
      </w:r>
      <w:proofErr w:type="spellEnd"/>
      <w:r w:rsidRPr="00C960B4">
        <w:rPr>
          <w:rFonts w:ascii="Garamond" w:hAnsi="Garamond"/>
        </w:rPr>
        <w:t xml:space="preserve"> </w:t>
      </w:r>
    </w:p>
  </w:footnote>
  <w:footnote w:id="7">
    <w:p w14:paraId="60CA5B04" w14:textId="70CE9D67" w:rsidR="009F122A" w:rsidRPr="000858DA" w:rsidRDefault="009F122A" w:rsidP="00E01E0C">
      <w:pPr>
        <w:pStyle w:val="Textodenotaderodap"/>
        <w:jc w:val="both"/>
      </w:pPr>
      <w:r>
        <w:rPr>
          <w:rStyle w:val="Refdenotaderodap"/>
        </w:rPr>
        <w:footnoteRef/>
      </w:r>
      <w:r>
        <w:t xml:space="preserve"> </w:t>
      </w:r>
      <w:r w:rsidRPr="00E01E0C">
        <w:rPr>
          <w:rFonts w:ascii="Garamond" w:hAnsi="Garamond"/>
        </w:rPr>
        <w:t xml:space="preserve">Mais informações sobre progressos na implementação da agenda de género </w:t>
      </w:r>
      <w:r>
        <w:rPr>
          <w:rFonts w:ascii="Garamond" w:hAnsi="Garamond"/>
        </w:rPr>
        <w:t>no país n</w:t>
      </w:r>
      <w:r w:rsidRPr="00E01E0C">
        <w:rPr>
          <w:rFonts w:ascii="Garamond" w:hAnsi="Garamond"/>
        </w:rPr>
        <w:t>o Relatório Beijing+25</w:t>
      </w:r>
      <w:r>
        <w:rPr>
          <w:rFonts w:ascii="Garamond" w:hAnsi="Garamond"/>
        </w:rPr>
        <w:t xml:space="preserve"> (</w:t>
      </w:r>
      <w:r w:rsidRPr="00E01E0C">
        <w:rPr>
          <w:rFonts w:ascii="Garamond" w:hAnsi="Garamond"/>
        </w:rPr>
        <w:t>2019</w:t>
      </w:r>
      <w:r>
        <w:rPr>
          <w:rFonts w:ascii="Garamond" w:hAnsi="Garamond"/>
        </w:rPr>
        <w:t>)</w:t>
      </w:r>
      <w:r>
        <w:t xml:space="preserve"> </w:t>
      </w:r>
    </w:p>
  </w:footnote>
  <w:footnote w:id="8">
    <w:p w14:paraId="4E129878" w14:textId="77777777" w:rsidR="009F122A" w:rsidRPr="00C0147E" w:rsidRDefault="009F122A" w:rsidP="00F1265A">
      <w:pPr>
        <w:shd w:val="clear" w:color="auto" w:fill="FFFFFF"/>
        <w:ind w:right="74"/>
        <w:jc w:val="both"/>
        <w:rPr>
          <w:rFonts w:ascii="Garamond" w:hAnsi="Garamond"/>
          <w:sz w:val="20"/>
          <w:szCs w:val="20"/>
          <w:lang w:val="pt-PT"/>
        </w:rPr>
      </w:pPr>
      <w:r w:rsidRPr="00C85792">
        <w:rPr>
          <w:rStyle w:val="Refdenotaderodap"/>
          <w:rFonts w:eastAsiaTheme="minorEastAsia"/>
          <w:sz w:val="20"/>
          <w:szCs w:val="20"/>
          <w:lang w:val="pt-PT" w:eastAsia="pt-PT"/>
        </w:rPr>
        <w:footnoteRef/>
      </w:r>
      <w:r w:rsidRPr="00153BF5">
        <w:rPr>
          <w:rStyle w:val="Refdenotaderodap"/>
          <w:rFonts w:eastAsiaTheme="minorEastAsia"/>
          <w:sz w:val="20"/>
          <w:szCs w:val="20"/>
          <w:lang w:val="pt-PT" w:eastAsia="pt-PT"/>
        </w:rPr>
        <w:t xml:space="preserve"> </w:t>
      </w:r>
      <w:r w:rsidRPr="00C0147E">
        <w:rPr>
          <w:rFonts w:ascii="Garamond" w:eastAsiaTheme="minorEastAsia" w:hAnsi="Garamond"/>
          <w:sz w:val="20"/>
          <w:szCs w:val="20"/>
          <w:lang w:val="pt-PT" w:eastAsia="pt-PT"/>
        </w:rPr>
        <w:t xml:space="preserve">Para mais informações ver a Recomendação Geral nº25 do Comité </w:t>
      </w:r>
      <w:proofErr w:type="spellStart"/>
      <w:r w:rsidRPr="00C0147E">
        <w:rPr>
          <w:rFonts w:ascii="Garamond" w:eastAsiaTheme="minorEastAsia" w:hAnsi="Garamond"/>
          <w:sz w:val="20"/>
          <w:szCs w:val="20"/>
          <w:lang w:val="pt-PT" w:eastAsia="pt-PT"/>
        </w:rPr>
        <w:t>CEDAW</w:t>
      </w:r>
      <w:proofErr w:type="spellEnd"/>
      <w:r w:rsidRPr="00C0147E">
        <w:rPr>
          <w:rFonts w:ascii="Garamond" w:eastAsiaTheme="minorEastAsia" w:hAnsi="Garamond"/>
          <w:sz w:val="20"/>
          <w:szCs w:val="20"/>
          <w:lang w:val="pt-PT" w:eastAsia="pt-PT"/>
        </w:rPr>
        <w:t xml:space="preserve"> sobre Medidas Especiais Temporárias </w:t>
      </w:r>
      <w:hyperlink r:id="rId1" w:history="1">
        <w:r w:rsidRPr="00C0147E">
          <w:rPr>
            <w:rStyle w:val="Hiperligao"/>
            <w:rFonts w:ascii="Garamond" w:hAnsi="Garamond"/>
            <w:sz w:val="20"/>
            <w:szCs w:val="20"/>
            <w:lang w:val="pt-PT"/>
          </w:rPr>
          <w:t>https://www.ohchr.org/EN/HRBodies/CEDAW/Pages/Recommendations.aspx</w:t>
        </w:r>
      </w:hyperlink>
    </w:p>
    <w:p w14:paraId="3A7022A3" w14:textId="77777777" w:rsidR="009F122A" w:rsidRPr="004909E4" w:rsidRDefault="009F122A" w:rsidP="00F1265A">
      <w:pPr>
        <w:shd w:val="clear" w:color="auto" w:fill="FFFFFF"/>
        <w:ind w:right="74"/>
        <w:jc w:val="both"/>
        <w:rPr>
          <w:sz w:val="20"/>
          <w:szCs w:val="20"/>
          <w:lang w:val="pt-PT"/>
        </w:rPr>
      </w:pPr>
      <w:hyperlink r:id="rId2" w:history="1">
        <w:r w:rsidRPr="00C0147E">
          <w:rPr>
            <w:rStyle w:val="Hiperligao"/>
            <w:rFonts w:ascii="Garamond" w:hAnsi="Garamond"/>
            <w:sz w:val="20"/>
            <w:szCs w:val="20"/>
            <w:lang w:val="pt-PT"/>
          </w:rPr>
          <w:t>https://tbinternet.ohchr.org/_layouts/15/treatybodyexternal/Download.aspx?symbolno=INT/CEDAW/GEC/3733&amp;Lang=en</w:t>
        </w:r>
      </w:hyperlink>
    </w:p>
  </w:footnote>
  <w:footnote w:id="9">
    <w:p w14:paraId="1E0FE541" w14:textId="77777777" w:rsidR="009F122A" w:rsidRPr="00A13064" w:rsidRDefault="009F122A" w:rsidP="00FB69C4">
      <w:pPr>
        <w:pStyle w:val="Textodenotaderodap"/>
        <w:rPr>
          <w:rFonts w:ascii="Garamond" w:hAnsi="Garamond"/>
        </w:rPr>
      </w:pPr>
      <w:r w:rsidRPr="00FC2D2C">
        <w:rPr>
          <w:rStyle w:val="Refdenotaderodap"/>
          <w:rFonts w:ascii="Garamond" w:hAnsi="Garamond"/>
        </w:rPr>
        <w:footnoteRef/>
      </w:r>
      <w:r w:rsidRPr="00FC2D2C">
        <w:rPr>
          <w:rFonts w:ascii="Garamond" w:hAnsi="Garamond"/>
        </w:rPr>
        <w:t xml:space="preserve"> </w:t>
      </w:r>
      <w:r w:rsidRPr="00A13064">
        <w:rPr>
          <w:rFonts w:ascii="Garamond" w:hAnsi="Garamond"/>
        </w:rPr>
        <w:t xml:space="preserve">INE (2015) </w:t>
      </w:r>
      <w:proofErr w:type="spellStart"/>
      <w:r w:rsidRPr="00A13064">
        <w:rPr>
          <w:rFonts w:ascii="Garamond" w:hAnsi="Garamond"/>
        </w:rPr>
        <w:t>IDRF</w:t>
      </w:r>
      <w:proofErr w:type="spellEnd"/>
      <w:r w:rsidRPr="00A13064">
        <w:rPr>
          <w:rFonts w:ascii="Garamond" w:hAnsi="Garamond"/>
        </w:rPr>
        <w:t xml:space="preserve"> </w:t>
      </w:r>
      <w:proofErr w:type="spellStart"/>
      <w:r w:rsidRPr="00A13064">
        <w:rPr>
          <w:rFonts w:ascii="Garamond" w:hAnsi="Garamond"/>
        </w:rPr>
        <w:t>IIII</w:t>
      </w:r>
      <w:proofErr w:type="spellEnd"/>
    </w:p>
  </w:footnote>
  <w:footnote w:id="10">
    <w:p w14:paraId="62DAA216" w14:textId="77777777" w:rsidR="009F122A" w:rsidRPr="00153BF5" w:rsidRDefault="009F122A" w:rsidP="00FB69C4">
      <w:pPr>
        <w:pStyle w:val="Textodenotaderodap"/>
        <w:jc w:val="both"/>
        <w:rPr>
          <w:rFonts w:ascii="Garamond" w:hAnsi="Garamond"/>
        </w:rPr>
      </w:pPr>
      <w:r w:rsidRPr="00FC2D2C">
        <w:rPr>
          <w:rStyle w:val="Refdenotaderodap"/>
          <w:rFonts w:ascii="Garamond" w:hAnsi="Garamond"/>
        </w:rPr>
        <w:footnoteRef/>
      </w:r>
      <w:r w:rsidRPr="00FC2D2C">
        <w:rPr>
          <w:rFonts w:ascii="Garamond" w:hAnsi="Garamond"/>
        </w:rPr>
        <w:t xml:space="preserve"> </w:t>
      </w:r>
      <w:r>
        <w:rPr>
          <w:rFonts w:ascii="Garamond" w:hAnsi="Garamond" w:cs="Arial"/>
        </w:rPr>
        <w:t>E</w:t>
      </w:r>
      <w:r w:rsidRPr="00153BF5">
        <w:rPr>
          <w:rFonts w:ascii="Garamond" w:hAnsi="Garamond"/>
        </w:rPr>
        <w:t>ntre 2007-2015 a pobreza absoluta desceu 13,5 pontos percentuais (pp) no meio rural versus 7 pp no meio urbano, quando no período anterior (2002-2007) apenas havia descido 6,6 pp</w:t>
      </w:r>
      <w:r>
        <w:rPr>
          <w:rFonts w:ascii="Garamond" w:hAnsi="Garamond"/>
        </w:rPr>
        <w:t>.</w:t>
      </w:r>
    </w:p>
  </w:footnote>
  <w:footnote w:id="11">
    <w:p w14:paraId="78891E06" w14:textId="77777777" w:rsidR="009F122A" w:rsidRPr="003E0EDD" w:rsidRDefault="009F122A" w:rsidP="00FB69C4">
      <w:pPr>
        <w:pStyle w:val="Textodenotaderodap"/>
        <w:jc w:val="both"/>
        <w:rPr>
          <w:rFonts w:ascii="Garamond" w:hAnsi="Garamond"/>
        </w:rPr>
      </w:pPr>
      <w:r w:rsidRPr="00070B0A">
        <w:rPr>
          <w:rStyle w:val="Refdenotaderodap"/>
          <w:rFonts w:ascii="Garamond" w:hAnsi="Garamond"/>
        </w:rPr>
        <w:footnoteRef/>
      </w:r>
      <w:r w:rsidRPr="00070B0A">
        <w:rPr>
          <w:rFonts w:ascii="Garamond" w:hAnsi="Garamond"/>
        </w:rPr>
        <w:t xml:space="preserve"> </w:t>
      </w:r>
      <w:bookmarkStart w:id="27" w:name="_Hlk21112120"/>
      <w:r w:rsidRPr="003E0EDD">
        <w:rPr>
          <w:rFonts w:ascii="Garamond" w:hAnsi="Garamond"/>
        </w:rPr>
        <w:t>Santiago (</w:t>
      </w:r>
      <w:r w:rsidRPr="007470D7">
        <w:rPr>
          <w:rFonts w:ascii="Garamond" w:hAnsi="Garamond"/>
        </w:rPr>
        <w:t>São Salvador do Mundo</w:t>
      </w:r>
      <w:r w:rsidRPr="003E0EDD">
        <w:rPr>
          <w:rFonts w:ascii="Garamond" w:hAnsi="Garamond"/>
        </w:rPr>
        <w:t xml:space="preserve">, </w:t>
      </w:r>
      <w:r w:rsidRPr="007470D7">
        <w:rPr>
          <w:rFonts w:ascii="Garamond" w:hAnsi="Garamond"/>
        </w:rPr>
        <w:t>São Lourenço dos Órgãos</w:t>
      </w:r>
      <w:r w:rsidRPr="003E0EDD">
        <w:rPr>
          <w:rFonts w:ascii="Garamond" w:hAnsi="Garamond"/>
        </w:rPr>
        <w:t xml:space="preserve">, </w:t>
      </w:r>
      <w:r w:rsidRPr="007470D7">
        <w:rPr>
          <w:rFonts w:ascii="Garamond" w:hAnsi="Garamond"/>
        </w:rPr>
        <w:t>Santa Cruz</w:t>
      </w:r>
      <w:r w:rsidRPr="003E0EDD">
        <w:rPr>
          <w:rFonts w:ascii="Garamond" w:hAnsi="Garamond"/>
        </w:rPr>
        <w:t xml:space="preserve">, </w:t>
      </w:r>
      <w:r w:rsidRPr="007470D7">
        <w:rPr>
          <w:rFonts w:ascii="Garamond" w:hAnsi="Garamond"/>
        </w:rPr>
        <w:t>São Domingos</w:t>
      </w:r>
      <w:r w:rsidRPr="003E0EDD">
        <w:rPr>
          <w:rFonts w:ascii="Garamond" w:hAnsi="Garamond"/>
        </w:rPr>
        <w:t xml:space="preserve"> e </w:t>
      </w:r>
      <w:r w:rsidRPr="007470D7">
        <w:rPr>
          <w:rFonts w:ascii="Garamond" w:hAnsi="Garamond"/>
        </w:rPr>
        <w:t>Ribeira Grande de Santiago</w:t>
      </w:r>
      <w:r w:rsidRPr="003E0EDD">
        <w:rPr>
          <w:rFonts w:ascii="Garamond" w:hAnsi="Garamond"/>
        </w:rPr>
        <w:t>), Santo Antão (Porto Novo, Paul), São Nicolau (Tarrafal de São Nicolau), Fogo (São Filipe) e Brava</w:t>
      </w:r>
    </w:p>
    <w:bookmarkEnd w:id="27"/>
  </w:footnote>
  <w:footnote w:id="12">
    <w:p w14:paraId="3F51CBEF" w14:textId="77777777" w:rsidR="009F122A" w:rsidRPr="00CB6626" w:rsidRDefault="009F122A" w:rsidP="00FB69C4">
      <w:pPr>
        <w:pStyle w:val="Textodenotaderodap"/>
        <w:jc w:val="both"/>
        <w:rPr>
          <w:rFonts w:ascii="Garamond" w:hAnsi="Garamond"/>
        </w:rPr>
      </w:pPr>
      <w:r w:rsidRPr="00070B0A">
        <w:rPr>
          <w:rStyle w:val="Refdenotaderodap"/>
          <w:rFonts w:ascii="Garamond" w:hAnsi="Garamond"/>
        </w:rPr>
        <w:footnoteRef/>
      </w:r>
      <w:r w:rsidRPr="00070B0A">
        <w:rPr>
          <w:rFonts w:ascii="Garamond" w:hAnsi="Garamond"/>
        </w:rPr>
        <w:t xml:space="preserve"> </w:t>
      </w:r>
      <w:r w:rsidRPr="00CB6626">
        <w:rPr>
          <w:rFonts w:ascii="Garamond" w:hAnsi="Garamond"/>
        </w:rPr>
        <w:t xml:space="preserve">Rácio entre menor de 15 anos e idosos de 65 anos ou mais / pessoas de 15-64 anos (potencialmente </w:t>
      </w:r>
      <w:proofErr w:type="spellStart"/>
      <w:r w:rsidRPr="00CB6626">
        <w:rPr>
          <w:rFonts w:ascii="Garamond" w:hAnsi="Garamond"/>
        </w:rPr>
        <w:t>ativas</w:t>
      </w:r>
      <w:proofErr w:type="spellEnd"/>
      <w:r w:rsidRPr="00CB6626">
        <w:rPr>
          <w:rFonts w:ascii="Garamond" w:hAnsi="Garamond"/>
        </w:rPr>
        <w:t>)</w:t>
      </w:r>
    </w:p>
  </w:footnote>
  <w:footnote w:id="13">
    <w:p w14:paraId="40095E20" w14:textId="77777777" w:rsidR="009F122A" w:rsidRPr="00701131" w:rsidRDefault="009F122A" w:rsidP="00FB69C4">
      <w:pPr>
        <w:pStyle w:val="Textodenotaderodap"/>
      </w:pPr>
      <w:r w:rsidRPr="00070B0A">
        <w:rPr>
          <w:rStyle w:val="Refdenotaderodap"/>
          <w:rFonts w:ascii="Garamond" w:hAnsi="Garamond"/>
        </w:rPr>
        <w:footnoteRef/>
      </w:r>
      <w:r w:rsidRPr="00070B0A">
        <w:rPr>
          <w:rFonts w:ascii="Garamond" w:hAnsi="Garamond"/>
        </w:rPr>
        <w:t xml:space="preserve"> </w:t>
      </w:r>
      <w:r w:rsidRPr="001064B5">
        <w:rPr>
          <w:rFonts w:ascii="Garamond" w:hAnsi="Garamond"/>
        </w:rPr>
        <w:t>INE (2012). Inquérito Multiobjectivo Contínuo (IMC) – Uso do Tempo</w:t>
      </w:r>
    </w:p>
  </w:footnote>
  <w:footnote w:id="14">
    <w:p w14:paraId="426CC459" w14:textId="77777777" w:rsidR="009F122A" w:rsidRPr="0016766E" w:rsidRDefault="009F122A" w:rsidP="00FB69C4">
      <w:pPr>
        <w:pStyle w:val="Textodenotaderodap"/>
        <w:jc w:val="both"/>
        <w:rPr>
          <w:rFonts w:ascii="Garamond" w:hAnsi="Garamond" w:cs="Arial"/>
          <w:lang w:val="pt-BR"/>
        </w:rPr>
      </w:pPr>
      <w:r>
        <w:rPr>
          <w:rStyle w:val="Refdenotaderodap"/>
        </w:rPr>
        <w:footnoteRef/>
      </w:r>
      <w:r>
        <w:t xml:space="preserve"> </w:t>
      </w:r>
      <w:r>
        <w:rPr>
          <w:rFonts w:ascii="Garamond" w:hAnsi="Garamond" w:cs="Arial"/>
          <w:lang w:val="pt-BR"/>
        </w:rPr>
        <w:t>Tr</w:t>
      </w:r>
      <w:r w:rsidRPr="0016766E">
        <w:rPr>
          <w:rFonts w:ascii="Garamond" w:hAnsi="Garamond" w:cs="Arial"/>
          <w:lang w:val="pt-BR"/>
        </w:rPr>
        <w:t>ansferência mensal e por um período de 2 anos de 5.500 ECV, a famílias identificadas através do Cadastro Social Único: em 2018 foram beneficiadas 1.026 famílias (54% representadas por uma mulher e 46% por homem); nestas famílias um total de 52 crianças se encontravam fora da escola (39 meninas e 13 meninos); as famílias beneficiadas são acompanhadas pela equipa social das Câmaras Municipais, competindo ao MFIS a elaboração de Guias de orientação e mobilização de recursos para desenvolvimento de atividades que promovam a inclusão produtiva. No início de 2019 o número de famílias beneficiárias ascende a 2.410.</w:t>
      </w:r>
    </w:p>
  </w:footnote>
  <w:footnote w:id="15">
    <w:p w14:paraId="61B55230" w14:textId="77777777" w:rsidR="009F122A" w:rsidRPr="00BF7226" w:rsidRDefault="009F122A" w:rsidP="00FB69C4">
      <w:pPr>
        <w:pStyle w:val="Textodenotaderodap"/>
      </w:pPr>
      <w:r w:rsidRPr="001B28FC">
        <w:rPr>
          <w:rStyle w:val="Refdenotaderodap"/>
          <w:rFonts w:ascii="Garamond" w:hAnsi="Garamond"/>
        </w:rPr>
        <w:footnoteRef/>
      </w:r>
      <w:r w:rsidRPr="001B28FC">
        <w:rPr>
          <w:rFonts w:ascii="Garamond" w:hAnsi="Garamond"/>
        </w:rPr>
        <w:t xml:space="preserve"> </w:t>
      </w:r>
      <w:r w:rsidRPr="00BF7226">
        <w:rPr>
          <w:rFonts w:ascii="Garamond" w:hAnsi="Garamond" w:cs="Arial"/>
          <w:lang w:val="pt-BR"/>
        </w:rPr>
        <w:t>Decreto-regulamentar nº7/2018, de 20 de Setembro</w:t>
      </w:r>
    </w:p>
  </w:footnote>
  <w:footnote w:id="16">
    <w:p w14:paraId="041EDCB3" w14:textId="77777777" w:rsidR="009F122A" w:rsidRPr="003F62BC" w:rsidRDefault="009F122A" w:rsidP="00FB69C4">
      <w:pPr>
        <w:pStyle w:val="Textodenotaderodap"/>
        <w:jc w:val="both"/>
        <w:rPr>
          <w:rFonts w:ascii="Garamond" w:hAnsi="Garamond" w:cs="Arial"/>
          <w:lang w:val="pt-BR"/>
        </w:rPr>
      </w:pPr>
      <w:r w:rsidRPr="001B28FC">
        <w:rPr>
          <w:rStyle w:val="Refdenotaderodap"/>
          <w:rFonts w:ascii="Garamond" w:hAnsi="Garamond"/>
        </w:rPr>
        <w:footnoteRef/>
      </w:r>
      <w:r w:rsidRPr="001B28FC">
        <w:rPr>
          <w:rFonts w:ascii="Garamond" w:hAnsi="Garamond"/>
        </w:rPr>
        <w:t xml:space="preserve"> </w:t>
      </w:r>
      <w:r w:rsidRPr="00BF7226">
        <w:rPr>
          <w:rFonts w:ascii="Garamond" w:hAnsi="Garamond" w:cs="Arial"/>
          <w:lang w:val="pt-BR"/>
        </w:rPr>
        <w:t>D</w:t>
      </w:r>
      <w:r w:rsidRPr="003F62BC">
        <w:rPr>
          <w:rFonts w:ascii="Garamond" w:hAnsi="Garamond" w:cs="Arial"/>
          <w:lang w:val="pt-BR"/>
        </w:rPr>
        <w:t>efinido pela Portaria nº 37/2018, de 6 de Novembro: o modelo econométrico de cálculo baseia-se nos dados da pobreza (IDRF III 2015)</w:t>
      </w:r>
      <w:r>
        <w:rPr>
          <w:rFonts w:ascii="Garamond" w:hAnsi="Garamond" w:cs="Arial"/>
          <w:lang w:val="pt-BR"/>
        </w:rPr>
        <w:t>, a</w:t>
      </w:r>
      <w:r w:rsidRPr="003F62BC">
        <w:rPr>
          <w:rFonts w:ascii="Garamond" w:hAnsi="Garamond" w:cs="Arial"/>
          <w:lang w:val="pt-BR"/>
        </w:rPr>
        <w:t xml:space="preserve"> pontuação </w:t>
      </w:r>
      <w:r>
        <w:rPr>
          <w:rFonts w:ascii="Garamond" w:hAnsi="Garamond" w:cs="Arial"/>
          <w:lang w:val="pt-BR"/>
        </w:rPr>
        <w:t xml:space="preserve">é </w:t>
      </w:r>
      <w:r w:rsidRPr="003F62BC">
        <w:rPr>
          <w:rFonts w:ascii="Garamond" w:hAnsi="Garamond" w:cs="Arial"/>
          <w:lang w:val="pt-BR"/>
        </w:rPr>
        <w:t xml:space="preserve">obtida </w:t>
      </w:r>
      <w:r>
        <w:rPr>
          <w:rFonts w:ascii="Garamond" w:hAnsi="Garamond" w:cs="Arial"/>
          <w:lang w:val="pt-BR"/>
        </w:rPr>
        <w:t xml:space="preserve">através da </w:t>
      </w:r>
      <w:r w:rsidRPr="003F62BC">
        <w:rPr>
          <w:rFonts w:ascii="Garamond" w:hAnsi="Garamond" w:cs="Arial"/>
          <w:lang w:val="pt-BR"/>
        </w:rPr>
        <w:t>agregação de diferentes variáveis preditor</w:t>
      </w:r>
      <w:r>
        <w:rPr>
          <w:rFonts w:ascii="Garamond" w:hAnsi="Garamond" w:cs="Arial"/>
          <w:lang w:val="pt-BR"/>
        </w:rPr>
        <w:t>a</w:t>
      </w:r>
      <w:r w:rsidRPr="003F62BC">
        <w:rPr>
          <w:rFonts w:ascii="Garamond" w:hAnsi="Garamond" w:cs="Arial"/>
          <w:lang w:val="pt-BR"/>
        </w:rPr>
        <w:t xml:space="preserve">s do gasto nos agregados em condição de pobreza, </w:t>
      </w:r>
      <w:r>
        <w:rPr>
          <w:rFonts w:ascii="Garamond" w:hAnsi="Garamond" w:cs="Arial"/>
          <w:lang w:val="pt-BR"/>
        </w:rPr>
        <w:t xml:space="preserve">incluindo as dimensões </w:t>
      </w:r>
      <w:r w:rsidRPr="003F62BC">
        <w:rPr>
          <w:rFonts w:ascii="Garamond" w:hAnsi="Garamond" w:cs="Arial"/>
          <w:lang w:val="pt-BR"/>
        </w:rPr>
        <w:t xml:space="preserve">de género, </w:t>
      </w:r>
      <w:r>
        <w:rPr>
          <w:rFonts w:ascii="Garamond" w:hAnsi="Garamond" w:cs="Arial"/>
          <w:lang w:val="pt-BR"/>
        </w:rPr>
        <w:t xml:space="preserve">por exemplo </w:t>
      </w:r>
      <w:r w:rsidRPr="003F62BC">
        <w:rPr>
          <w:rFonts w:ascii="Garamond" w:hAnsi="Garamond" w:cs="Arial"/>
          <w:lang w:val="pt-BR"/>
        </w:rPr>
        <w:t xml:space="preserve">através das características demográficas do agregado (7 variáveis </w:t>
      </w:r>
      <w:r>
        <w:rPr>
          <w:rFonts w:ascii="Garamond" w:hAnsi="Garamond" w:cs="Arial"/>
          <w:lang w:val="pt-BR"/>
        </w:rPr>
        <w:t>de</w:t>
      </w:r>
      <w:r w:rsidRPr="003F62BC">
        <w:rPr>
          <w:rFonts w:ascii="Garamond" w:hAnsi="Garamond" w:cs="Arial"/>
          <w:lang w:val="pt-BR"/>
        </w:rPr>
        <w:t xml:space="preserve"> caracteriza</w:t>
      </w:r>
      <w:r>
        <w:rPr>
          <w:rFonts w:ascii="Garamond" w:hAnsi="Garamond" w:cs="Arial"/>
          <w:lang w:val="pt-BR"/>
        </w:rPr>
        <w:t>ção do</w:t>
      </w:r>
      <w:r w:rsidRPr="003F62BC">
        <w:rPr>
          <w:rFonts w:ascii="Garamond" w:hAnsi="Garamond" w:cs="Arial"/>
          <w:lang w:val="pt-BR"/>
        </w:rPr>
        <w:t xml:space="preserve"> representante do agregado), condições educativas do agregado (4 variáveis), entre várias outras do total de 56 variáveis consideradas</w:t>
      </w:r>
    </w:p>
  </w:footnote>
  <w:footnote w:id="17">
    <w:p w14:paraId="2F0569AA" w14:textId="77777777" w:rsidR="009F122A" w:rsidRPr="005E3F3B" w:rsidRDefault="009F122A" w:rsidP="00FB69C4">
      <w:pPr>
        <w:jc w:val="both"/>
        <w:rPr>
          <w:rFonts w:ascii="Garamond" w:hAnsi="Garamond" w:cs="Arial"/>
          <w:sz w:val="28"/>
          <w:szCs w:val="28"/>
          <w:lang w:val="pt-BR"/>
        </w:rPr>
      </w:pPr>
      <w:r w:rsidRPr="001B28FC">
        <w:rPr>
          <w:rStyle w:val="Refdenotaderodap"/>
          <w:rFonts w:ascii="Garamond" w:eastAsiaTheme="minorEastAsia" w:hAnsi="Garamond"/>
          <w:sz w:val="20"/>
          <w:szCs w:val="20"/>
          <w:lang w:val="pt-PT" w:eastAsia="pt-PT"/>
        </w:rPr>
        <w:footnoteRef/>
      </w:r>
      <w:r w:rsidRPr="001B28FC">
        <w:rPr>
          <w:rStyle w:val="Refdenotaderodap"/>
          <w:rFonts w:ascii="Garamond" w:eastAsiaTheme="minorEastAsia" w:hAnsi="Garamond"/>
          <w:sz w:val="20"/>
          <w:szCs w:val="20"/>
          <w:lang w:val="pt-PT" w:eastAsia="pt-PT"/>
        </w:rPr>
        <w:t xml:space="preserve"> </w:t>
      </w:r>
      <w:r>
        <w:rPr>
          <w:rFonts w:ascii="Garamond" w:eastAsiaTheme="minorEastAsia" w:hAnsi="Garamond" w:cs="Arial"/>
          <w:sz w:val="20"/>
          <w:szCs w:val="20"/>
          <w:lang w:val="pt-BR" w:eastAsia="pt-PT"/>
        </w:rPr>
        <w:t>A</w:t>
      </w:r>
      <w:r w:rsidRPr="00D767EF">
        <w:rPr>
          <w:rFonts w:ascii="Garamond" w:eastAsiaTheme="minorEastAsia" w:hAnsi="Garamond" w:cs="Arial"/>
          <w:sz w:val="20"/>
          <w:szCs w:val="20"/>
          <w:lang w:val="pt-BR" w:eastAsia="pt-PT"/>
        </w:rPr>
        <w:t xml:space="preserve"> </w:t>
      </w:r>
      <w:r>
        <w:rPr>
          <w:rFonts w:ascii="Garamond" w:eastAsiaTheme="minorEastAsia" w:hAnsi="Garamond" w:cs="Arial"/>
          <w:sz w:val="20"/>
          <w:szCs w:val="20"/>
          <w:lang w:val="pt-BR" w:eastAsia="pt-PT"/>
        </w:rPr>
        <w:t xml:space="preserve">pensão social destina-se a </w:t>
      </w:r>
      <w:r w:rsidRPr="00D767EF">
        <w:rPr>
          <w:rFonts w:ascii="Garamond" w:eastAsiaTheme="minorEastAsia" w:hAnsi="Garamond" w:cs="Arial"/>
          <w:sz w:val="20"/>
          <w:szCs w:val="20"/>
          <w:lang w:val="pt-BR" w:eastAsia="pt-PT"/>
        </w:rPr>
        <w:t xml:space="preserve">pessoas em situação de pobreza, em risco e/ou numa stuação de exlusão social, </w:t>
      </w:r>
      <w:r>
        <w:rPr>
          <w:rFonts w:ascii="Garamond" w:eastAsiaTheme="minorEastAsia" w:hAnsi="Garamond" w:cs="Arial"/>
          <w:sz w:val="20"/>
          <w:szCs w:val="20"/>
          <w:lang w:val="pt-BR" w:eastAsia="pt-PT"/>
        </w:rPr>
        <w:t xml:space="preserve">com vista a </w:t>
      </w:r>
      <w:r w:rsidRPr="00D767EF">
        <w:rPr>
          <w:rFonts w:ascii="Garamond" w:eastAsiaTheme="minorEastAsia" w:hAnsi="Garamond" w:cs="Arial"/>
          <w:sz w:val="20"/>
          <w:szCs w:val="20"/>
          <w:lang w:val="pt-BR" w:eastAsia="pt-PT"/>
        </w:rPr>
        <w:t>garanti</w:t>
      </w:r>
      <w:r>
        <w:rPr>
          <w:rFonts w:ascii="Garamond" w:eastAsiaTheme="minorEastAsia" w:hAnsi="Garamond" w:cs="Arial"/>
          <w:sz w:val="20"/>
          <w:szCs w:val="20"/>
          <w:lang w:val="pt-BR" w:eastAsia="pt-PT"/>
        </w:rPr>
        <w:t>r</w:t>
      </w:r>
      <w:r w:rsidRPr="00D767EF">
        <w:rPr>
          <w:rFonts w:ascii="Garamond" w:eastAsiaTheme="minorEastAsia" w:hAnsi="Garamond" w:cs="Arial"/>
          <w:sz w:val="20"/>
          <w:szCs w:val="20"/>
          <w:lang w:val="pt-BR" w:eastAsia="pt-PT"/>
        </w:rPr>
        <w:t xml:space="preserve"> a todos os que não estão integrados em nenhum sistema de protecção social as condições mínimas a uma existência mais condigna. </w:t>
      </w:r>
      <w:r>
        <w:rPr>
          <w:rFonts w:ascii="Garamond" w:eastAsiaTheme="minorEastAsia" w:hAnsi="Garamond" w:cs="Arial"/>
          <w:sz w:val="20"/>
          <w:szCs w:val="20"/>
          <w:lang w:val="pt-BR" w:eastAsia="pt-PT"/>
        </w:rPr>
        <w:t xml:space="preserve">A </w:t>
      </w:r>
      <w:r w:rsidRPr="00D767EF">
        <w:rPr>
          <w:rFonts w:ascii="Garamond" w:eastAsiaTheme="minorEastAsia" w:hAnsi="Garamond" w:cs="Arial"/>
          <w:sz w:val="20"/>
          <w:szCs w:val="20"/>
          <w:lang w:val="pt-BR" w:eastAsia="pt-PT"/>
        </w:rPr>
        <w:t xml:space="preserve">pensão social passou </w:t>
      </w:r>
      <w:r>
        <w:rPr>
          <w:rFonts w:ascii="Garamond" w:eastAsiaTheme="minorEastAsia" w:hAnsi="Garamond" w:cs="Arial"/>
          <w:sz w:val="20"/>
          <w:szCs w:val="20"/>
          <w:lang w:val="pt-BR" w:eastAsia="pt-PT"/>
        </w:rPr>
        <w:t xml:space="preserve">recentmeente </w:t>
      </w:r>
      <w:r w:rsidRPr="00D767EF">
        <w:rPr>
          <w:rFonts w:ascii="Garamond" w:eastAsiaTheme="minorEastAsia" w:hAnsi="Garamond" w:cs="Arial"/>
          <w:sz w:val="20"/>
          <w:szCs w:val="20"/>
          <w:lang w:val="pt-BR" w:eastAsia="pt-PT"/>
        </w:rPr>
        <w:t>de 5.000 ECV para 6.000 ECV e o plafond anual para aquisição de medicamentos nas farmácias privadas de 2.500 ECV para 3.750 ECV.</w:t>
      </w:r>
    </w:p>
  </w:footnote>
  <w:footnote w:id="18">
    <w:p w14:paraId="7DB35FCB" w14:textId="77777777" w:rsidR="009F122A" w:rsidRPr="001C50C8" w:rsidRDefault="009F122A" w:rsidP="00FB69C4">
      <w:pPr>
        <w:pStyle w:val="Textodenotaderodap"/>
        <w:jc w:val="both"/>
        <w:rPr>
          <w:rFonts w:ascii="Garamond" w:hAnsi="Garamond"/>
        </w:rPr>
      </w:pPr>
      <w:r w:rsidRPr="007D6419">
        <w:rPr>
          <w:rStyle w:val="Refdenotaderodap"/>
          <w:rFonts w:ascii="Garamond" w:hAnsi="Garamond"/>
        </w:rPr>
        <w:footnoteRef/>
      </w:r>
      <w:r w:rsidRPr="007D6419">
        <w:rPr>
          <w:rFonts w:ascii="Garamond" w:hAnsi="Garamond"/>
        </w:rPr>
        <w:t xml:space="preserve"> </w:t>
      </w:r>
      <w:r w:rsidRPr="001C50C8">
        <w:rPr>
          <w:rFonts w:ascii="Garamond" w:hAnsi="Garamond"/>
        </w:rPr>
        <w:t>INE (201</w:t>
      </w:r>
      <w:r>
        <w:rPr>
          <w:rFonts w:ascii="Garamond" w:hAnsi="Garamond"/>
        </w:rPr>
        <w:t>9</w:t>
      </w:r>
      <w:r w:rsidRPr="001C50C8">
        <w:rPr>
          <w:rFonts w:ascii="Garamond" w:hAnsi="Garamond"/>
        </w:rPr>
        <w:t xml:space="preserve">) </w:t>
      </w:r>
      <w:r w:rsidRPr="007D6419">
        <w:rPr>
          <w:rFonts w:ascii="Garamond" w:hAnsi="Garamond"/>
        </w:rPr>
        <w:t>I</w:t>
      </w:r>
      <w:r>
        <w:rPr>
          <w:rFonts w:ascii="Garamond" w:hAnsi="Garamond"/>
        </w:rPr>
        <w:t xml:space="preserve">ndicadores do Mercado de Trabalho </w:t>
      </w:r>
      <w:r w:rsidRPr="007D6419">
        <w:rPr>
          <w:rFonts w:ascii="Garamond" w:hAnsi="Garamond"/>
        </w:rPr>
        <w:t>2018</w:t>
      </w:r>
      <w:r>
        <w:rPr>
          <w:rFonts w:ascii="Garamond" w:hAnsi="Garamond"/>
        </w:rPr>
        <w:t xml:space="preserve"> (IMC), informação à comunicação social</w:t>
      </w:r>
    </w:p>
  </w:footnote>
  <w:footnote w:id="19">
    <w:p w14:paraId="656EE20F" w14:textId="77777777" w:rsidR="009F122A" w:rsidRPr="001064B5" w:rsidRDefault="009F122A" w:rsidP="00FB69C4">
      <w:pPr>
        <w:pStyle w:val="Textodenotaderodap"/>
        <w:jc w:val="both"/>
        <w:rPr>
          <w:rFonts w:ascii="Garamond" w:hAnsi="Garamond"/>
        </w:rPr>
      </w:pPr>
      <w:r w:rsidRPr="007D211E">
        <w:rPr>
          <w:rStyle w:val="Refdenotaderodap"/>
          <w:rFonts w:ascii="Garamond" w:hAnsi="Garamond"/>
        </w:rPr>
        <w:footnoteRef/>
      </w:r>
      <w:r w:rsidRPr="007D211E">
        <w:rPr>
          <w:rFonts w:ascii="Garamond" w:hAnsi="Garamond"/>
        </w:rPr>
        <w:t xml:space="preserve"> </w:t>
      </w:r>
      <w:r w:rsidRPr="001C50C8">
        <w:rPr>
          <w:rFonts w:ascii="Garamond" w:hAnsi="Garamond"/>
        </w:rPr>
        <w:t xml:space="preserve">Seria fundamental que os dados em relação à invalidez, doença e acidente fossem apresentados em separado dos </w:t>
      </w:r>
      <w:r w:rsidRPr="001064B5">
        <w:rPr>
          <w:rFonts w:ascii="Garamond" w:hAnsi="Garamond"/>
        </w:rPr>
        <w:t xml:space="preserve">dados de gravidez, tanto de um ponto de vista conceptual, como da utilidade dos dados. </w:t>
      </w:r>
    </w:p>
  </w:footnote>
  <w:footnote w:id="20">
    <w:p w14:paraId="69E34844" w14:textId="77777777" w:rsidR="009F122A" w:rsidRPr="00E878B9" w:rsidRDefault="009F122A" w:rsidP="00FB69C4">
      <w:pPr>
        <w:jc w:val="both"/>
        <w:rPr>
          <w:rFonts w:ascii="Garamond" w:hAnsi="Garamond"/>
          <w:lang w:val="pt-PT"/>
        </w:rPr>
      </w:pPr>
      <w:r w:rsidRPr="00E878B9">
        <w:rPr>
          <w:rStyle w:val="Refdenotaderodap"/>
          <w:rFonts w:ascii="Garamond" w:eastAsiaTheme="minorEastAsia" w:hAnsi="Garamond"/>
          <w:sz w:val="20"/>
          <w:szCs w:val="20"/>
          <w:lang w:val="pt-PT" w:eastAsia="pt-PT"/>
        </w:rPr>
        <w:footnoteRef/>
      </w:r>
      <w:r w:rsidRPr="00E878B9">
        <w:rPr>
          <w:rStyle w:val="Refdenotaderodap"/>
          <w:rFonts w:eastAsiaTheme="minorEastAsia"/>
          <w:sz w:val="20"/>
          <w:szCs w:val="20"/>
          <w:lang w:val="pt-PT" w:eastAsia="pt-PT"/>
        </w:rPr>
        <w:t xml:space="preserve"> </w:t>
      </w:r>
      <w:r w:rsidRPr="00E878B9">
        <w:rPr>
          <w:rFonts w:ascii="Garamond" w:eastAsiaTheme="minorEastAsia" w:hAnsi="Garamond"/>
          <w:sz w:val="20"/>
          <w:szCs w:val="20"/>
          <w:lang w:val="pt-PT" w:eastAsia="pt-PT"/>
        </w:rPr>
        <w:t xml:space="preserve">INE </w:t>
      </w:r>
      <w:r w:rsidRPr="00E878B9">
        <w:rPr>
          <w:rFonts w:ascii="Garamond" w:eastAsiaTheme="minorEastAsia" w:hAnsi="Garamond"/>
          <w:i/>
          <w:iCs/>
          <w:sz w:val="20"/>
          <w:szCs w:val="20"/>
          <w:lang w:val="pt-PT" w:eastAsia="pt-PT"/>
        </w:rPr>
        <w:t>Perfil Dividendo Demográfico-Cabo Verde: evidências &amp; implicações nas políticas públicas</w:t>
      </w:r>
      <w:r w:rsidRPr="00E878B9">
        <w:rPr>
          <w:rFonts w:ascii="Garamond" w:eastAsiaTheme="minorEastAsia" w:hAnsi="Garamond"/>
          <w:sz w:val="20"/>
          <w:szCs w:val="20"/>
          <w:lang w:val="pt-PT" w:eastAsia="pt-PT"/>
        </w:rPr>
        <w:t xml:space="preserve"> </w:t>
      </w:r>
      <w:r>
        <w:rPr>
          <w:rFonts w:ascii="Garamond" w:eastAsiaTheme="minorEastAsia" w:hAnsi="Garamond"/>
          <w:sz w:val="20"/>
          <w:szCs w:val="20"/>
          <w:lang w:val="pt-PT" w:eastAsia="pt-PT"/>
        </w:rPr>
        <w:t xml:space="preserve">(apresentação 2019, MF) </w:t>
      </w:r>
    </w:p>
  </w:footnote>
  <w:footnote w:id="21">
    <w:p w14:paraId="4F584B58" w14:textId="77777777" w:rsidR="009F122A" w:rsidRPr="001064B5" w:rsidRDefault="009F122A" w:rsidP="00FB69C4">
      <w:pPr>
        <w:pStyle w:val="Textodenotaderodap"/>
        <w:jc w:val="both"/>
        <w:rPr>
          <w:rFonts w:ascii="Garamond" w:hAnsi="Garamond"/>
        </w:rPr>
      </w:pPr>
      <w:r w:rsidRPr="00E878B9">
        <w:rPr>
          <w:rStyle w:val="Refdenotaderodap"/>
          <w:rFonts w:ascii="Garamond" w:hAnsi="Garamond"/>
        </w:rPr>
        <w:footnoteRef/>
      </w:r>
      <w:r w:rsidRPr="00E878B9">
        <w:rPr>
          <w:rFonts w:ascii="Garamond" w:hAnsi="Garamond"/>
        </w:rPr>
        <w:t xml:space="preserve"> </w:t>
      </w:r>
      <w:r w:rsidRPr="001064B5">
        <w:rPr>
          <w:rFonts w:ascii="Garamond" w:hAnsi="Garamond"/>
        </w:rPr>
        <w:t>De acordo com o Inquérito sobre o Uso do Tempo (INE, 2012), as mulheres têm uma carga total de trabalho (remunerado e não remunerado) que representa 62% de todo o trabalho realizado em Cabo Verde (remunerado e não remunerado), sendo a parte que cabe aos homens de 38%, essencialmente relativa ao trabalho remunerado</w:t>
      </w:r>
    </w:p>
  </w:footnote>
  <w:footnote w:id="22">
    <w:p w14:paraId="094F455D" w14:textId="77777777" w:rsidR="009F122A" w:rsidRPr="006F1C12" w:rsidRDefault="009F122A" w:rsidP="00FB69C4">
      <w:pPr>
        <w:pStyle w:val="Textodenotaderodap"/>
        <w:jc w:val="both"/>
      </w:pPr>
      <w:r w:rsidRPr="000C64F0">
        <w:rPr>
          <w:rStyle w:val="Refdenotaderodap"/>
          <w:rFonts w:ascii="Garamond" w:hAnsi="Garamond"/>
        </w:rPr>
        <w:footnoteRef/>
      </w:r>
      <w:r w:rsidRPr="000C64F0">
        <w:rPr>
          <w:rFonts w:ascii="Garamond" w:hAnsi="Garamond"/>
        </w:rPr>
        <w:t xml:space="preserve"> </w:t>
      </w:r>
      <w:proofErr w:type="spellStart"/>
      <w:r w:rsidRPr="007A4DB8">
        <w:rPr>
          <w:rFonts w:ascii="Garamond" w:hAnsi="Garamond"/>
        </w:rPr>
        <w:t>ICIEG</w:t>
      </w:r>
      <w:proofErr w:type="spellEnd"/>
      <w:r w:rsidRPr="007A4DB8">
        <w:rPr>
          <w:rFonts w:ascii="Garamond" w:hAnsi="Garamond"/>
        </w:rPr>
        <w:t xml:space="preserve"> (2017). O Sector Informal em Cabo Verde: uma leitura com base numa abordagem de género</w:t>
      </w:r>
    </w:p>
  </w:footnote>
  <w:footnote w:id="23">
    <w:p w14:paraId="4124C4D2" w14:textId="77777777" w:rsidR="009F122A" w:rsidRPr="007A4DB8" w:rsidRDefault="009F122A" w:rsidP="00FB69C4">
      <w:pPr>
        <w:pStyle w:val="Textodenotaderodap"/>
        <w:jc w:val="both"/>
        <w:rPr>
          <w:rFonts w:ascii="Garamond" w:hAnsi="Garamond"/>
        </w:rPr>
      </w:pPr>
      <w:r w:rsidRPr="000C64F0">
        <w:rPr>
          <w:rStyle w:val="Refdenotaderodap"/>
          <w:rFonts w:ascii="Garamond" w:hAnsi="Garamond"/>
        </w:rPr>
        <w:footnoteRef/>
      </w:r>
      <w:r w:rsidRPr="000C64F0">
        <w:rPr>
          <w:rFonts w:ascii="Garamond" w:hAnsi="Garamond"/>
        </w:rPr>
        <w:t xml:space="preserve"> </w:t>
      </w:r>
      <w:r w:rsidRPr="007A4DB8">
        <w:rPr>
          <w:rFonts w:ascii="Garamond" w:hAnsi="Garamond"/>
        </w:rPr>
        <w:t>INE (2018) IMC - Emprego</w:t>
      </w:r>
    </w:p>
  </w:footnote>
  <w:footnote w:id="24">
    <w:p w14:paraId="3A9F836E" w14:textId="77777777" w:rsidR="009F122A" w:rsidRPr="004C1F62" w:rsidRDefault="009F122A" w:rsidP="00FB69C4">
      <w:pPr>
        <w:autoSpaceDE w:val="0"/>
        <w:autoSpaceDN w:val="0"/>
        <w:adjustRightInd w:val="0"/>
        <w:jc w:val="both"/>
        <w:rPr>
          <w:rFonts w:ascii="Garamond" w:eastAsiaTheme="minorEastAsia" w:hAnsi="Garamond"/>
          <w:sz w:val="20"/>
          <w:szCs w:val="20"/>
          <w:lang w:val="pt-PT" w:eastAsia="pt-PT"/>
        </w:rPr>
      </w:pPr>
      <w:r w:rsidRPr="000C64F0">
        <w:rPr>
          <w:rStyle w:val="Refdenotaderodap"/>
          <w:rFonts w:ascii="Garamond" w:eastAsiaTheme="minorEastAsia" w:hAnsi="Garamond"/>
          <w:lang w:val="pt-PT" w:eastAsia="pt-PT"/>
        </w:rPr>
        <w:footnoteRef/>
      </w:r>
      <w:r w:rsidRPr="000C64F0">
        <w:rPr>
          <w:rFonts w:ascii="Garamond" w:hAnsi="Garamond"/>
          <w:lang w:val="pt-PT"/>
        </w:rPr>
        <w:t xml:space="preserve"> </w:t>
      </w:r>
      <w:r>
        <w:rPr>
          <w:rFonts w:ascii="Garamond" w:eastAsiaTheme="minorEastAsia" w:hAnsi="Garamond"/>
          <w:sz w:val="20"/>
          <w:szCs w:val="20"/>
          <w:lang w:val="pt-PT" w:eastAsia="pt-PT"/>
        </w:rPr>
        <w:t>D</w:t>
      </w:r>
      <w:r w:rsidRPr="007A4DB8">
        <w:rPr>
          <w:rFonts w:ascii="Garamond" w:eastAsiaTheme="minorEastAsia" w:hAnsi="Garamond"/>
          <w:sz w:val="20"/>
          <w:szCs w:val="20"/>
          <w:lang w:val="pt-PT" w:eastAsia="pt-PT"/>
        </w:rPr>
        <w:t xml:space="preserve">ecreto-lei nº23/2017, 29 </w:t>
      </w:r>
      <w:proofErr w:type="spellStart"/>
      <w:r w:rsidRPr="007A4DB8">
        <w:rPr>
          <w:rFonts w:ascii="Garamond" w:eastAsiaTheme="minorEastAsia" w:hAnsi="Garamond"/>
          <w:sz w:val="20"/>
          <w:szCs w:val="20"/>
          <w:lang w:val="pt-PT" w:eastAsia="pt-PT"/>
        </w:rPr>
        <w:t>maio</w:t>
      </w:r>
      <w:proofErr w:type="spellEnd"/>
      <w:r>
        <w:rPr>
          <w:rFonts w:ascii="Garamond" w:eastAsiaTheme="minorEastAsia" w:hAnsi="Garamond"/>
          <w:sz w:val="20"/>
          <w:szCs w:val="20"/>
          <w:lang w:val="pt-PT" w:eastAsia="pt-PT"/>
        </w:rPr>
        <w:t>, artigo 2º nº2</w:t>
      </w:r>
      <w:r w:rsidRPr="007A4DB8">
        <w:rPr>
          <w:rFonts w:ascii="Garamond" w:eastAsiaTheme="minorEastAsia" w:hAnsi="Garamond"/>
          <w:sz w:val="20"/>
          <w:szCs w:val="20"/>
          <w:lang w:val="pt-PT" w:eastAsia="pt-PT"/>
        </w:rPr>
        <w:t xml:space="preserve">: </w:t>
      </w:r>
      <w:r>
        <w:rPr>
          <w:rFonts w:ascii="Garamond" w:eastAsiaTheme="minorEastAsia" w:hAnsi="Garamond"/>
          <w:sz w:val="20"/>
          <w:szCs w:val="20"/>
          <w:lang w:val="pt-PT" w:eastAsia="pt-PT"/>
        </w:rPr>
        <w:t>«</w:t>
      </w:r>
      <w:r w:rsidRPr="007A4DB8">
        <w:rPr>
          <w:rFonts w:ascii="Garamond" w:eastAsiaTheme="minorEastAsia" w:hAnsi="Garamond"/>
          <w:i/>
          <w:iCs/>
          <w:sz w:val="20"/>
          <w:szCs w:val="20"/>
          <w:lang w:val="pt-PT" w:eastAsia="pt-PT"/>
        </w:rPr>
        <w:t xml:space="preserve">A integração dos regimes especiais de </w:t>
      </w:r>
      <w:proofErr w:type="spellStart"/>
      <w:r w:rsidRPr="007A4DB8">
        <w:rPr>
          <w:rFonts w:ascii="Garamond" w:eastAsiaTheme="minorEastAsia" w:hAnsi="Garamond"/>
          <w:i/>
          <w:iCs/>
          <w:sz w:val="20"/>
          <w:szCs w:val="20"/>
          <w:lang w:val="pt-PT" w:eastAsia="pt-PT"/>
        </w:rPr>
        <w:t>proteção</w:t>
      </w:r>
      <w:proofErr w:type="spellEnd"/>
      <w:r w:rsidRPr="007A4DB8">
        <w:rPr>
          <w:rFonts w:ascii="Garamond" w:eastAsiaTheme="minorEastAsia" w:hAnsi="Garamond"/>
          <w:i/>
          <w:iCs/>
          <w:sz w:val="20"/>
          <w:szCs w:val="20"/>
          <w:lang w:val="pt-PT" w:eastAsia="pt-PT"/>
        </w:rPr>
        <w:t xml:space="preserve"> social dos trabalhadores por conta de outrem, designadamente os segurados do Regime Especial das Micro e Pequenas Empresas, os Agentes da Administração Pública e os Profissionais do Serviço Doméstico, é feita </w:t>
      </w:r>
      <w:r w:rsidRPr="0091466C">
        <w:rPr>
          <w:rFonts w:ascii="Garamond" w:eastAsiaTheme="minorEastAsia" w:hAnsi="Garamond"/>
          <w:i/>
          <w:iCs/>
          <w:sz w:val="20"/>
          <w:szCs w:val="20"/>
          <w:u w:val="single"/>
          <w:lang w:val="pt-PT" w:eastAsia="pt-PT"/>
        </w:rPr>
        <w:t>de forma faseada, em condições a definir em diploma próprio</w:t>
      </w:r>
      <w:r w:rsidRPr="007A4DB8">
        <w:rPr>
          <w:rFonts w:ascii="Garamond" w:eastAsiaTheme="minorEastAsia" w:hAnsi="Garamond"/>
          <w:i/>
          <w:iCs/>
          <w:sz w:val="20"/>
          <w:szCs w:val="20"/>
          <w:lang w:val="pt-PT" w:eastAsia="pt-PT"/>
        </w:rPr>
        <w:t>, conforme as circunstâncias e as especificidades de cada um desses regimes</w:t>
      </w:r>
      <w:r w:rsidRPr="007A4DB8">
        <w:rPr>
          <w:rFonts w:ascii="Garamond" w:eastAsiaTheme="minorEastAsia" w:hAnsi="Garamond"/>
          <w:sz w:val="20"/>
          <w:szCs w:val="20"/>
          <w:lang w:val="pt-PT" w:eastAsia="pt-PT"/>
        </w:rPr>
        <w:t>.</w:t>
      </w:r>
      <w:r>
        <w:rPr>
          <w:rFonts w:ascii="Garamond" w:eastAsiaTheme="minorEastAsia" w:hAnsi="Garamond"/>
          <w:sz w:val="20"/>
          <w:szCs w:val="20"/>
          <w:lang w:val="pt-PT" w:eastAsia="pt-PT"/>
        </w:rPr>
        <w:t>»</w:t>
      </w:r>
    </w:p>
  </w:footnote>
  <w:footnote w:id="25">
    <w:p w14:paraId="1481F652" w14:textId="77777777" w:rsidR="009F122A" w:rsidRPr="004C1F62" w:rsidRDefault="009F122A" w:rsidP="00FB69C4">
      <w:pPr>
        <w:pStyle w:val="Textodenotaderodap"/>
        <w:rPr>
          <w:rFonts w:ascii="Garamond" w:hAnsi="Garamond"/>
        </w:rPr>
      </w:pPr>
      <w:r w:rsidRPr="004C1F62">
        <w:rPr>
          <w:rStyle w:val="Refdenotaderodap"/>
          <w:rFonts w:ascii="Garamond" w:hAnsi="Garamond"/>
        </w:rPr>
        <w:footnoteRef/>
      </w:r>
      <w:r w:rsidRPr="004C1F62">
        <w:rPr>
          <w:rFonts w:ascii="Garamond" w:hAnsi="Garamond"/>
        </w:rPr>
        <w:t xml:space="preserve"> Parágrafo 33 (a) </w:t>
      </w:r>
      <w:r w:rsidRPr="004C1F62">
        <w:rPr>
          <w:rFonts w:ascii="Garamond" w:hAnsi="Garamond"/>
          <w:color w:val="FF0000"/>
        </w:rPr>
        <w:t>das Recomendações (anexo)</w:t>
      </w:r>
    </w:p>
  </w:footnote>
  <w:footnote w:id="26">
    <w:p w14:paraId="58D355B8" w14:textId="77777777" w:rsidR="009F122A" w:rsidRPr="004A0678" w:rsidRDefault="009F122A" w:rsidP="00FB69C4">
      <w:pPr>
        <w:pStyle w:val="Textodenotaderodap"/>
        <w:jc w:val="both"/>
      </w:pPr>
      <w:r w:rsidRPr="000C64F0">
        <w:rPr>
          <w:rStyle w:val="Refdenotaderodap"/>
          <w:rFonts w:ascii="Garamond" w:hAnsi="Garamond"/>
        </w:rPr>
        <w:footnoteRef/>
      </w:r>
      <w:r w:rsidRPr="000C64F0">
        <w:rPr>
          <w:rFonts w:ascii="Garamond" w:hAnsi="Garamond"/>
        </w:rPr>
        <w:t xml:space="preserve"> </w:t>
      </w:r>
      <w:r w:rsidRPr="00BD1101">
        <w:rPr>
          <w:rFonts w:ascii="Garamond" w:hAnsi="Garamond"/>
        </w:rPr>
        <w:t xml:space="preserve">Medido </w:t>
      </w:r>
      <w:proofErr w:type="spellStart"/>
      <w:r w:rsidRPr="00BD1101">
        <w:rPr>
          <w:rFonts w:ascii="Garamond" w:hAnsi="Garamond"/>
        </w:rPr>
        <w:t>pelo</w:t>
      </w:r>
      <w:proofErr w:type="spellEnd"/>
      <w:r w:rsidRPr="00BD1101">
        <w:rPr>
          <w:rFonts w:ascii="Garamond" w:hAnsi="Garamond"/>
        </w:rPr>
        <w:t xml:space="preserve"> INE em termos de horas trabalhadas semanalmente inferior a 35h, quando a pessoa declara querer trabalhar mais horas, se encontrasse outra actividade</w:t>
      </w:r>
    </w:p>
  </w:footnote>
  <w:footnote w:id="27">
    <w:p w14:paraId="3E8C5AF2" w14:textId="77777777" w:rsidR="009F122A" w:rsidRDefault="009F122A" w:rsidP="00FB69C4">
      <w:pPr>
        <w:pStyle w:val="Textodenotaderodap"/>
        <w:jc w:val="both"/>
      </w:pPr>
      <w:r w:rsidRPr="000C64F0">
        <w:rPr>
          <w:rStyle w:val="Refdenotaderodap"/>
          <w:rFonts w:ascii="Garamond" w:hAnsi="Garamond"/>
        </w:rPr>
        <w:footnoteRef/>
      </w:r>
      <w:r w:rsidRPr="000C64F0">
        <w:rPr>
          <w:rFonts w:ascii="Garamond" w:hAnsi="Garamond"/>
        </w:rPr>
        <w:t xml:space="preserve"> </w:t>
      </w:r>
      <w:r w:rsidRPr="00BD1101">
        <w:rPr>
          <w:rFonts w:ascii="Garamond" w:hAnsi="Garamond"/>
          <w:i/>
          <w:iCs/>
        </w:rPr>
        <w:t xml:space="preserve">Cabo Verde </w:t>
      </w:r>
      <w:proofErr w:type="spellStart"/>
      <w:r w:rsidRPr="00BD1101">
        <w:rPr>
          <w:rFonts w:ascii="Garamond" w:hAnsi="Garamond"/>
          <w:i/>
          <w:iCs/>
        </w:rPr>
        <w:t>Multi-Sector</w:t>
      </w:r>
      <w:proofErr w:type="spellEnd"/>
      <w:r w:rsidRPr="00BD1101">
        <w:rPr>
          <w:rFonts w:ascii="Garamond" w:hAnsi="Garamond"/>
          <w:i/>
          <w:iCs/>
        </w:rPr>
        <w:t xml:space="preserve"> </w:t>
      </w:r>
      <w:proofErr w:type="spellStart"/>
      <w:r w:rsidRPr="00BD1101">
        <w:rPr>
          <w:rFonts w:ascii="Garamond" w:hAnsi="Garamond"/>
          <w:i/>
          <w:iCs/>
        </w:rPr>
        <w:t>Drought</w:t>
      </w:r>
      <w:proofErr w:type="spellEnd"/>
      <w:r w:rsidRPr="00BD1101">
        <w:rPr>
          <w:rFonts w:ascii="Garamond" w:hAnsi="Garamond"/>
          <w:i/>
          <w:iCs/>
        </w:rPr>
        <w:t xml:space="preserve"> Response </w:t>
      </w:r>
      <w:proofErr w:type="spellStart"/>
      <w:r w:rsidRPr="00BD1101">
        <w:rPr>
          <w:rFonts w:ascii="Garamond" w:hAnsi="Garamond"/>
          <w:i/>
          <w:iCs/>
        </w:rPr>
        <w:t>Plan</w:t>
      </w:r>
      <w:proofErr w:type="spellEnd"/>
    </w:p>
  </w:footnote>
  <w:footnote w:id="28">
    <w:p w14:paraId="2989CD5B" w14:textId="77777777" w:rsidR="009F122A" w:rsidRDefault="009F122A" w:rsidP="00FB69C4">
      <w:pPr>
        <w:pStyle w:val="Textodenotaderodap"/>
        <w:jc w:val="both"/>
      </w:pPr>
      <w:r w:rsidRPr="000C64F0">
        <w:rPr>
          <w:rStyle w:val="Refdenotaderodap"/>
          <w:rFonts w:ascii="Garamond" w:hAnsi="Garamond"/>
        </w:rPr>
        <w:footnoteRef/>
      </w:r>
      <w:r w:rsidRPr="000C64F0">
        <w:rPr>
          <w:rFonts w:ascii="Garamond" w:hAnsi="Garamond"/>
        </w:rPr>
        <w:t xml:space="preserve"> </w:t>
      </w:r>
      <w:r w:rsidRPr="00BD1101">
        <w:rPr>
          <w:rFonts w:ascii="Garamond" w:hAnsi="Garamond"/>
        </w:rPr>
        <w:t xml:space="preserve">FIDA (2018) Relatório de Supervisão do </w:t>
      </w:r>
      <w:proofErr w:type="spellStart"/>
      <w:r w:rsidRPr="00BD1101">
        <w:rPr>
          <w:rFonts w:ascii="Garamond" w:hAnsi="Garamond"/>
        </w:rPr>
        <w:t>Projeto</w:t>
      </w:r>
      <w:proofErr w:type="spellEnd"/>
      <w:r w:rsidRPr="00BD1101">
        <w:rPr>
          <w:rFonts w:ascii="Garamond" w:hAnsi="Garamond"/>
        </w:rPr>
        <w:t xml:space="preserve"> Promoção de Oportunidades Socioeconómicas Rurais</w:t>
      </w:r>
    </w:p>
  </w:footnote>
  <w:footnote w:id="29">
    <w:p w14:paraId="2697F4ED" w14:textId="77777777" w:rsidR="009F122A" w:rsidRDefault="009F122A" w:rsidP="00FB69C4">
      <w:pPr>
        <w:pStyle w:val="Textodenotaderodap"/>
        <w:jc w:val="both"/>
      </w:pPr>
      <w:r w:rsidRPr="004929EA">
        <w:rPr>
          <w:rStyle w:val="Refdenotaderodap"/>
          <w:rFonts w:ascii="Garamond" w:hAnsi="Garamond"/>
        </w:rPr>
        <w:footnoteRef/>
      </w:r>
      <w:r w:rsidRPr="004929EA">
        <w:rPr>
          <w:rFonts w:ascii="Garamond" w:hAnsi="Garamond"/>
        </w:rPr>
        <w:t xml:space="preserve"> </w:t>
      </w:r>
      <w:r w:rsidRPr="001B1B58">
        <w:rPr>
          <w:rFonts w:ascii="Garamond" w:eastAsia="Times New Roman" w:hAnsi="Garamond" w:cs="Tahoma"/>
          <w:bCs/>
          <w:lang w:eastAsia="en-US"/>
        </w:rPr>
        <w:t>A ilha do Sal também</w:t>
      </w:r>
      <w:r>
        <w:rPr>
          <w:rFonts w:ascii="Garamond" w:eastAsia="Times New Roman" w:hAnsi="Garamond" w:cs="Tahoma"/>
          <w:bCs/>
          <w:lang w:eastAsia="en-US"/>
        </w:rPr>
        <w:t>,</w:t>
      </w:r>
      <w:r w:rsidRPr="001B1B58">
        <w:rPr>
          <w:rFonts w:ascii="Garamond" w:eastAsia="Times New Roman" w:hAnsi="Garamond" w:cs="Tahoma"/>
          <w:bCs/>
          <w:lang w:eastAsia="en-US"/>
        </w:rPr>
        <w:t xml:space="preserve"> no caso dos homens</w:t>
      </w:r>
      <w:r>
        <w:rPr>
          <w:rFonts w:ascii="Garamond" w:eastAsia="Times New Roman" w:hAnsi="Garamond" w:cs="Tahoma"/>
          <w:bCs/>
          <w:lang w:eastAsia="en-US"/>
        </w:rPr>
        <w:t>, uma ilha com especificidades em termos de agricultura</w:t>
      </w:r>
    </w:p>
  </w:footnote>
  <w:footnote w:id="30">
    <w:p w14:paraId="2E9BEBE9" w14:textId="77777777" w:rsidR="009F122A" w:rsidRPr="00D70684" w:rsidRDefault="009F122A" w:rsidP="00FB69C4">
      <w:pPr>
        <w:jc w:val="both"/>
        <w:rPr>
          <w:rFonts w:ascii="Garamond" w:eastAsia="Times New Roman" w:hAnsi="Garamond" w:cs="Tahoma"/>
          <w:bCs/>
          <w:sz w:val="20"/>
          <w:szCs w:val="20"/>
          <w:lang w:val="pt-PT"/>
        </w:rPr>
      </w:pPr>
      <w:r w:rsidRPr="00D70684">
        <w:rPr>
          <w:rStyle w:val="Refdenotaderodap"/>
          <w:rFonts w:ascii="Garamond" w:eastAsiaTheme="minorEastAsia" w:hAnsi="Garamond"/>
          <w:sz w:val="20"/>
          <w:szCs w:val="20"/>
          <w:lang w:val="pt-PT" w:eastAsia="pt-PT"/>
        </w:rPr>
        <w:footnoteRef/>
      </w:r>
      <w:r w:rsidRPr="00D70684">
        <w:rPr>
          <w:rStyle w:val="Refdenotaderodap"/>
          <w:rFonts w:ascii="Garamond" w:eastAsiaTheme="minorEastAsia" w:hAnsi="Garamond"/>
          <w:sz w:val="20"/>
          <w:szCs w:val="20"/>
          <w:lang w:val="pt-PT" w:eastAsia="pt-PT"/>
        </w:rPr>
        <w:t xml:space="preserve"> </w:t>
      </w:r>
      <w:r w:rsidRPr="00D70684">
        <w:rPr>
          <w:rFonts w:ascii="Garamond" w:eastAsia="Times New Roman" w:hAnsi="Garamond" w:cs="Tahoma"/>
          <w:bCs/>
          <w:sz w:val="20"/>
          <w:szCs w:val="20"/>
          <w:lang w:val="pt-PT"/>
        </w:rPr>
        <w:t xml:space="preserve">Os principais Planos e Programas da Agricultura incluem </w:t>
      </w:r>
      <w:r>
        <w:rPr>
          <w:rFonts w:ascii="Garamond" w:eastAsia="Times New Roman" w:hAnsi="Garamond" w:cs="Tahoma"/>
          <w:bCs/>
          <w:sz w:val="20"/>
          <w:szCs w:val="20"/>
          <w:lang w:val="pt-PT"/>
        </w:rPr>
        <w:t xml:space="preserve">a </w:t>
      </w:r>
      <w:proofErr w:type="spellStart"/>
      <w:r w:rsidRPr="00D70684">
        <w:rPr>
          <w:rFonts w:ascii="Garamond" w:eastAsia="Times New Roman" w:hAnsi="Garamond" w:cs="Tahoma"/>
          <w:bCs/>
          <w:sz w:val="20"/>
          <w:szCs w:val="20"/>
          <w:lang w:val="pt-PT"/>
        </w:rPr>
        <w:t>ENSAN</w:t>
      </w:r>
      <w:proofErr w:type="spellEnd"/>
      <w:r w:rsidRPr="00D70684">
        <w:rPr>
          <w:rFonts w:ascii="Garamond" w:eastAsia="Times New Roman" w:hAnsi="Garamond" w:cs="Tahoma"/>
          <w:bCs/>
          <w:sz w:val="20"/>
          <w:szCs w:val="20"/>
          <w:lang w:val="pt-PT"/>
        </w:rPr>
        <w:t xml:space="preserve"> e </w:t>
      </w:r>
      <w:proofErr w:type="spellStart"/>
      <w:r w:rsidRPr="00D70684">
        <w:rPr>
          <w:rFonts w:ascii="Garamond" w:eastAsia="Times New Roman" w:hAnsi="Garamond" w:cs="Tahoma"/>
          <w:bCs/>
          <w:sz w:val="20"/>
          <w:szCs w:val="20"/>
          <w:lang w:val="pt-PT"/>
        </w:rPr>
        <w:t>PNIASAN</w:t>
      </w:r>
      <w:proofErr w:type="spellEnd"/>
      <w:r w:rsidRPr="00D70684">
        <w:rPr>
          <w:rFonts w:ascii="Garamond" w:eastAsia="Times New Roman" w:hAnsi="Garamond" w:cs="Tahoma"/>
          <w:bCs/>
          <w:sz w:val="20"/>
          <w:szCs w:val="20"/>
          <w:lang w:val="pt-PT"/>
        </w:rPr>
        <w:t xml:space="preserve">, Plano Estratégico de Extensão Rural, Plano </w:t>
      </w:r>
      <w:proofErr w:type="spellStart"/>
      <w:r w:rsidRPr="00D70684">
        <w:rPr>
          <w:rFonts w:ascii="Garamond" w:eastAsia="Times New Roman" w:hAnsi="Garamond" w:cs="Tahoma"/>
          <w:bCs/>
          <w:sz w:val="20"/>
          <w:szCs w:val="20"/>
          <w:lang w:val="pt-PT"/>
        </w:rPr>
        <w:t>Diretor</w:t>
      </w:r>
      <w:proofErr w:type="spellEnd"/>
      <w:r w:rsidRPr="00D70684">
        <w:rPr>
          <w:rFonts w:ascii="Garamond" w:eastAsia="Times New Roman" w:hAnsi="Garamond" w:cs="Tahoma"/>
          <w:bCs/>
          <w:sz w:val="20"/>
          <w:szCs w:val="20"/>
          <w:lang w:val="pt-PT"/>
        </w:rPr>
        <w:t xml:space="preserve"> de Pecuária, Plano Estratégico de Investigação Agrícola, Programa Nacional de Investimento Florestal, Plano Estratégico de Desenvolvimento das Estatísticas Agrícolas e Rurais de Cabo Verde e os Programas de Emergência para mitigação </w:t>
      </w:r>
      <w:r>
        <w:rPr>
          <w:rFonts w:ascii="Garamond" w:eastAsia="Times New Roman" w:hAnsi="Garamond" w:cs="Tahoma"/>
          <w:bCs/>
          <w:sz w:val="20"/>
          <w:szCs w:val="20"/>
          <w:lang w:val="pt-PT"/>
        </w:rPr>
        <w:t xml:space="preserve">(ou de Atenuação) </w:t>
      </w:r>
      <w:r w:rsidRPr="00D70684">
        <w:rPr>
          <w:rFonts w:ascii="Garamond" w:eastAsia="Times New Roman" w:hAnsi="Garamond" w:cs="Tahoma"/>
          <w:bCs/>
          <w:sz w:val="20"/>
          <w:szCs w:val="20"/>
          <w:lang w:val="pt-PT"/>
        </w:rPr>
        <w:t>da seca e mau ano agríco</w:t>
      </w:r>
      <w:r>
        <w:rPr>
          <w:rFonts w:ascii="Garamond" w:eastAsia="Times New Roman" w:hAnsi="Garamond" w:cs="Tahoma"/>
          <w:bCs/>
          <w:sz w:val="20"/>
          <w:szCs w:val="20"/>
          <w:lang w:val="pt-PT"/>
        </w:rPr>
        <w:t>l</w:t>
      </w:r>
      <w:r w:rsidRPr="00D70684">
        <w:rPr>
          <w:rFonts w:ascii="Garamond" w:eastAsia="Times New Roman" w:hAnsi="Garamond" w:cs="Tahoma"/>
          <w:bCs/>
          <w:sz w:val="20"/>
          <w:szCs w:val="20"/>
          <w:lang w:val="pt-PT"/>
        </w:rPr>
        <w:t xml:space="preserve">a </w:t>
      </w:r>
    </w:p>
  </w:footnote>
  <w:footnote w:id="31">
    <w:p w14:paraId="2EB60BE2" w14:textId="77777777" w:rsidR="009F122A" w:rsidRPr="00B239C9" w:rsidRDefault="009F122A" w:rsidP="00FB69C4">
      <w:pPr>
        <w:spacing w:after="240"/>
        <w:jc w:val="both"/>
        <w:rPr>
          <w:rFonts w:ascii="Garamond" w:hAnsi="Garamond"/>
          <w:sz w:val="20"/>
          <w:szCs w:val="20"/>
          <w:lang w:val="pt-PT"/>
        </w:rPr>
      </w:pPr>
      <w:r w:rsidRPr="004929EA">
        <w:rPr>
          <w:rStyle w:val="Refdenotaderodap"/>
          <w:rFonts w:ascii="Garamond" w:eastAsiaTheme="minorEastAsia" w:hAnsi="Garamond"/>
          <w:sz w:val="20"/>
          <w:szCs w:val="20"/>
          <w:lang w:val="pt-PT" w:eastAsia="pt-PT"/>
        </w:rPr>
        <w:footnoteRef/>
      </w:r>
      <w:r w:rsidRPr="004929EA">
        <w:rPr>
          <w:rFonts w:ascii="Garamond" w:hAnsi="Garamond"/>
          <w:sz w:val="20"/>
          <w:szCs w:val="20"/>
          <w:lang w:val="pt-PT"/>
        </w:rPr>
        <w:t xml:space="preserve"> </w:t>
      </w:r>
      <w:r w:rsidRPr="00B239C9">
        <w:rPr>
          <w:rFonts w:ascii="Garamond" w:eastAsia="Times New Roman" w:hAnsi="Garamond" w:cs="Tahoma"/>
          <w:bCs/>
          <w:sz w:val="20"/>
          <w:szCs w:val="20"/>
          <w:lang w:val="pt-PT"/>
        </w:rPr>
        <w:t xml:space="preserve">INE (2012). IV Recenseamento </w:t>
      </w:r>
      <w:r>
        <w:rPr>
          <w:rFonts w:ascii="Garamond" w:eastAsia="Times New Roman" w:hAnsi="Garamond" w:cs="Tahoma"/>
          <w:bCs/>
          <w:sz w:val="20"/>
          <w:szCs w:val="20"/>
          <w:lang w:val="pt-PT"/>
        </w:rPr>
        <w:t>Empresarial</w:t>
      </w:r>
    </w:p>
  </w:footnote>
  <w:footnote w:id="32">
    <w:p w14:paraId="18F2A676" w14:textId="77777777" w:rsidR="009F122A" w:rsidRDefault="009F122A" w:rsidP="00FB69C4">
      <w:pPr>
        <w:pStyle w:val="Textodenotaderodap"/>
        <w:jc w:val="both"/>
      </w:pPr>
      <w:r w:rsidRPr="00D53E9C">
        <w:rPr>
          <w:rStyle w:val="Refdenotaderodap"/>
          <w:rFonts w:ascii="Garamond" w:hAnsi="Garamond"/>
        </w:rPr>
        <w:footnoteRef/>
      </w:r>
      <w:r w:rsidRPr="00D53E9C">
        <w:rPr>
          <w:rFonts w:ascii="Garamond" w:hAnsi="Garamond"/>
        </w:rPr>
        <w:t xml:space="preserve"> </w:t>
      </w:r>
      <w:r>
        <w:rPr>
          <w:rFonts w:ascii="Garamond" w:hAnsi="Garamond"/>
        </w:rPr>
        <w:t xml:space="preserve">De acordo com o </w:t>
      </w:r>
      <w:r w:rsidRPr="0042725D">
        <w:rPr>
          <w:rFonts w:ascii="Garamond" w:hAnsi="Garamond" w:cstheme="minorHAnsi"/>
          <w:i/>
        </w:rPr>
        <w:t>Balanço Social do capital humano da Administração</w:t>
      </w:r>
      <w:r w:rsidRPr="0042725D">
        <w:rPr>
          <w:rFonts w:ascii="Garamond" w:hAnsi="Garamond" w:cstheme="minorHAnsi"/>
        </w:rPr>
        <w:t xml:space="preserve"> (2016)</w:t>
      </w:r>
      <w:r>
        <w:rPr>
          <w:rFonts w:ascii="Garamond" w:hAnsi="Garamond" w:cstheme="minorHAnsi"/>
        </w:rPr>
        <w:t xml:space="preserve"> </w:t>
      </w:r>
      <w:r>
        <w:rPr>
          <w:rFonts w:ascii="Garamond" w:hAnsi="Garamond"/>
        </w:rPr>
        <w:t>4</w:t>
      </w:r>
      <w:r w:rsidRPr="00C96041">
        <w:rPr>
          <w:rFonts w:ascii="Garamond" w:hAnsi="Garamond"/>
        </w:rPr>
        <w:t>8% mulheres e 52% homens; e 51% mulheres e 49% homens no caso de Fundos e Serviços Autónomos)</w:t>
      </w:r>
      <w:r w:rsidRPr="00BC626A">
        <w:rPr>
          <w:rFonts w:ascii="Garamond" w:hAnsi="Garamond" w:cstheme="minorHAnsi"/>
          <w:i/>
        </w:rPr>
        <w:t xml:space="preserve"> </w:t>
      </w:r>
    </w:p>
  </w:footnote>
  <w:footnote w:id="33">
    <w:p w14:paraId="2FE8A9AD" w14:textId="77777777" w:rsidR="009F122A" w:rsidRPr="001C50C8" w:rsidRDefault="009F122A" w:rsidP="00FB69C4">
      <w:pPr>
        <w:pStyle w:val="Textodenotaderodap"/>
      </w:pPr>
      <w:r w:rsidRPr="00FB3554">
        <w:rPr>
          <w:rStyle w:val="Refdenotaderodap"/>
          <w:rFonts w:ascii="Garamond" w:hAnsi="Garamond"/>
        </w:rPr>
        <w:footnoteRef/>
      </w:r>
      <w:r w:rsidRPr="00FB3554">
        <w:rPr>
          <w:rFonts w:ascii="Garamond" w:hAnsi="Garamond"/>
        </w:rPr>
        <w:t xml:space="preserve"> </w:t>
      </w:r>
      <w:r w:rsidRPr="001C50C8">
        <w:rPr>
          <w:rFonts w:ascii="Garamond" w:eastAsia="Times New Roman" w:hAnsi="Garamond" w:cs="Tahoma"/>
          <w:bCs/>
        </w:rPr>
        <w:t>Resolução nº144/VII/2015, de 13 de Agosto.</w:t>
      </w:r>
    </w:p>
  </w:footnote>
  <w:footnote w:id="34">
    <w:p w14:paraId="0BC21D27" w14:textId="77777777" w:rsidR="009F122A" w:rsidRPr="001C50C8" w:rsidRDefault="009F122A" w:rsidP="00FB69C4">
      <w:pPr>
        <w:pStyle w:val="Textodenotaderodap"/>
      </w:pPr>
      <w:r w:rsidRPr="00FB3554">
        <w:rPr>
          <w:rStyle w:val="Refdenotaderodap"/>
          <w:rFonts w:ascii="Garamond" w:hAnsi="Garamond"/>
        </w:rPr>
        <w:footnoteRef/>
      </w:r>
      <w:r w:rsidRPr="00FB3554">
        <w:rPr>
          <w:rFonts w:ascii="Garamond" w:hAnsi="Garamond"/>
        </w:rPr>
        <w:t xml:space="preserve"> </w:t>
      </w:r>
      <w:r w:rsidRPr="001C50C8">
        <w:rPr>
          <w:rFonts w:ascii="Garamond" w:hAnsi="Garamond"/>
        </w:rPr>
        <w:t xml:space="preserve">IEFP (2018) Avaliação de impacto </w:t>
      </w:r>
    </w:p>
  </w:footnote>
  <w:footnote w:id="35">
    <w:p w14:paraId="30E529B3" w14:textId="77777777" w:rsidR="009F122A" w:rsidRPr="001C50C8" w:rsidRDefault="009F122A" w:rsidP="00FB69C4">
      <w:pPr>
        <w:pStyle w:val="Textodenotaderodap"/>
        <w:jc w:val="both"/>
        <w:rPr>
          <w:rFonts w:ascii="Garamond" w:hAnsi="Garamond"/>
        </w:rPr>
      </w:pPr>
      <w:r w:rsidRPr="002C1AF1">
        <w:rPr>
          <w:rStyle w:val="Refdenotaderodap"/>
          <w:rFonts w:ascii="Garamond" w:hAnsi="Garamond"/>
        </w:rPr>
        <w:footnoteRef/>
      </w:r>
      <w:r w:rsidRPr="002C1AF1">
        <w:rPr>
          <w:rFonts w:ascii="Garamond" w:hAnsi="Garamond"/>
        </w:rPr>
        <w:t xml:space="preserve"> </w:t>
      </w:r>
      <w:r w:rsidRPr="001C50C8">
        <w:rPr>
          <w:rFonts w:ascii="Garamond" w:hAnsi="Garamond"/>
        </w:rPr>
        <w:t xml:space="preserve">Para além dos dados já fornecidos sobre formação superior, desemprego e género, verificou-se que as mulheres foram a maioria (83%) dos beneficiários de um Programa pilotado </w:t>
      </w:r>
      <w:proofErr w:type="spellStart"/>
      <w:r w:rsidRPr="001C50C8">
        <w:rPr>
          <w:rFonts w:ascii="Garamond" w:hAnsi="Garamond"/>
        </w:rPr>
        <w:t>pelo</w:t>
      </w:r>
      <w:proofErr w:type="spellEnd"/>
      <w:r w:rsidRPr="001C50C8">
        <w:rPr>
          <w:rFonts w:ascii="Garamond" w:hAnsi="Garamond"/>
        </w:rPr>
        <w:t xml:space="preserve"> IEFP em 2015 - </w:t>
      </w:r>
      <w:r w:rsidRPr="001C50C8">
        <w:rPr>
          <w:rFonts w:ascii="Garamond" w:hAnsi="Garamond"/>
          <w:i/>
          <w:iCs/>
        </w:rPr>
        <w:t>Inserção de Desempregados de Longa Duração</w:t>
      </w:r>
      <w:r w:rsidRPr="001C50C8">
        <w:rPr>
          <w:rFonts w:ascii="Garamond" w:hAnsi="Garamond"/>
        </w:rPr>
        <w:t xml:space="preserve"> que beneficiou 89 jovens e adultos inscritos há </w:t>
      </w:r>
      <w:proofErr w:type="spellStart"/>
      <w:r w:rsidRPr="001C50C8">
        <w:rPr>
          <w:rFonts w:ascii="Garamond" w:hAnsi="Garamond"/>
        </w:rPr>
        <w:t>pelo</w:t>
      </w:r>
      <w:proofErr w:type="spellEnd"/>
      <w:r w:rsidRPr="001C50C8">
        <w:rPr>
          <w:rFonts w:ascii="Garamond" w:hAnsi="Garamond"/>
        </w:rPr>
        <w:t xml:space="preserve"> menos um ano nos Centros de Emprego e Formação Profissional de São Vicente, Santa Catarina (ilha de Santiago), Praia, e Santa Cruz</w:t>
      </w:r>
    </w:p>
  </w:footnote>
  <w:footnote w:id="36">
    <w:p w14:paraId="627D8B45" w14:textId="77777777" w:rsidR="009F122A" w:rsidRPr="001C50C8" w:rsidRDefault="009F122A" w:rsidP="00FB69C4">
      <w:pPr>
        <w:pStyle w:val="Textodenotaderodap"/>
        <w:rPr>
          <w:rFonts w:ascii="Garamond" w:hAnsi="Garamond"/>
        </w:rPr>
      </w:pPr>
      <w:r w:rsidRPr="002C1AF1">
        <w:rPr>
          <w:rStyle w:val="Refdenotaderodap"/>
          <w:rFonts w:ascii="Garamond" w:hAnsi="Garamond"/>
        </w:rPr>
        <w:footnoteRef/>
      </w:r>
      <w:r w:rsidRPr="002C1AF1">
        <w:rPr>
          <w:rFonts w:ascii="Garamond" w:hAnsi="Garamond"/>
        </w:rPr>
        <w:t xml:space="preserve"> </w:t>
      </w:r>
      <w:proofErr w:type="spellStart"/>
      <w:r w:rsidRPr="007A4DB8">
        <w:rPr>
          <w:rFonts w:ascii="Garamond" w:hAnsi="Garamond"/>
        </w:rPr>
        <w:t>ICIEG</w:t>
      </w:r>
      <w:proofErr w:type="spellEnd"/>
      <w:r w:rsidRPr="007A4DB8">
        <w:rPr>
          <w:rFonts w:ascii="Garamond" w:hAnsi="Garamond"/>
        </w:rPr>
        <w:t xml:space="preserve"> (2017). O Sector Informal em Cabo Verde: uma leitura com base numa abordagem de género</w:t>
      </w:r>
    </w:p>
  </w:footnote>
  <w:footnote w:id="37">
    <w:p w14:paraId="0554CEB4" w14:textId="77777777" w:rsidR="009F122A" w:rsidRPr="001C50C8" w:rsidRDefault="009F122A" w:rsidP="00FB69C4">
      <w:pPr>
        <w:pStyle w:val="Textodenotaderodap"/>
        <w:jc w:val="both"/>
      </w:pPr>
      <w:r w:rsidRPr="002C1AF1">
        <w:rPr>
          <w:rStyle w:val="Refdenotaderodap"/>
          <w:rFonts w:ascii="Garamond" w:hAnsi="Garamond"/>
        </w:rPr>
        <w:footnoteRef/>
      </w:r>
      <w:r w:rsidRPr="002C1AF1">
        <w:rPr>
          <w:rFonts w:ascii="Garamond" w:hAnsi="Garamond"/>
        </w:rPr>
        <w:t xml:space="preserve"> </w:t>
      </w:r>
      <w:r w:rsidRPr="001C50C8">
        <w:rPr>
          <w:rFonts w:ascii="Garamond" w:hAnsi="Garamond"/>
        </w:rPr>
        <w:t xml:space="preserve">De notar que apenas 12,8% das pessoas que trabalham no </w:t>
      </w:r>
      <w:proofErr w:type="spellStart"/>
      <w:r w:rsidRPr="001C50C8">
        <w:rPr>
          <w:rFonts w:ascii="Garamond" w:hAnsi="Garamond"/>
        </w:rPr>
        <w:t>setor</w:t>
      </w:r>
      <w:proofErr w:type="spellEnd"/>
      <w:r w:rsidRPr="001C50C8">
        <w:rPr>
          <w:rFonts w:ascii="Garamond" w:hAnsi="Garamond"/>
        </w:rPr>
        <w:t xml:space="preserve"> informal estão numa situação de trabalho por conta de outrem, o que acontece com quase ¼ dos homens (23,6%) e apenas 4,7% das mulheres</w:t>
      </w:r>
    </w:p>
  </w:footnote>
  <w:footnote w:id="38">
    <w:p w14:paraId="218A93CD" w14:textId="77777777" w:rsidR="009F122A" w:rsidRPr="001C50C8" w:rsidRDefault="009F122A" w:rsidP="00FB69C4">
      <w:pPr>
        <w:pStyle w:val="Textodenotaderodap"/>
        <w:jc w:val="both"/>
        <w:rPr>
          <w:rFonts w:ascii="Garamond" w:hAnsi="Garamond"/>
        </w:rPr>
      </w:pPr>
      <w:r w:rsidRPr="001B12BC">
        <w:rPr>
          <w:rStyle w:val="Refdenotaderodap"/>
          <w:rFonts w:ascii="Garamond" w:hAnsi="Garamond"/>
        </w:rPr>
        <w:footnoteRef/>
      </w:r>
      <w:r w:rsidRPr="001B12BC">
        <w:rPr>
          <w:rFonts w:ascii="Garamond" w:hAnsi="Garamond"/>
        </w:rPr>
        <w:t xml:space="preserve"> </w:t>
      </w:r>
      <w:r w:rsidRPr="001C50C8">
        <w:rPr>
          <w:rFonts w:ascii="Garamond" w:hAnsi="Garamond"/>
        </w:rPr>
        <w:t xml:space="preserve">Ver a respeito o Relatório Sombra das ONG ao Comité </w:t>
      </w:r>
      <w:proofErr w:type="spellStart"/>
      <w:r w:rsidRPr="001C50C8">
        <w:rPr>
          <w:rFonts w:ascii="Garamond" w:hAnsi="Garamond"/>
        </w:rPr>
        <w:t>CEDAW</w:t>
      </w:r>
      <w:proofErr w:type="spellEnd"/>
      <w:r w:rsidRPr="001C50C8">
        <w:rPr>
          <w:rFonts w:ascii="Garamond" w:hAnsi="Garamond"/>
        </w:rPr>
        <w:t xml:space="preserve"> </w:t>
      </w:r>
      <w:r w:rsidRPr="001B12BC">
        <w:rPr>
          <w:rFonts w:ascii="Garamond" w:hAnsi="Garamond"/>
          <w:color w:val="FF0000"/>
        </w:rPr>
        <w:t>(LINK</w:t>
      </w:r>
      <w:r w:rsidRPr="001C50C8">
        <w:rPr>
          <w:rFonts w:ascii="Garamond" w:hAnsi="Garamond"/>
        </w:rPr>
        <w:t>)</w:t>
      </w:r>
    </w:p>
  </w:footnote>
  <w:footnote w:id="39">
    <w:p w14:paraId="5C54F317" w14:textId="77777777" w:rsidR="009F122A" w:rsidRPr="001C50C8" w:rsidRDefault="009F122A" w:rsidP="00FB69C4">
      <w:pPr>
        <w:pStyle w:val="Textodenotaderodap"/>
        <w:jc w:val="both"/>
        <w:rPr>
          <w:rFonts w:ascii="Garamond" w:hAnsi="Garamond"/>
        </w:rPr>
      </w:pPr>
      <w:r w:rsidRPr="001B12BC">
        <w:rPr>
          <w:rStyle w:val="Refdenotaderodap"/>
          <w:rFonts w:ascii="Garamond" w:hAnsi="Garamond"/>
        </w:rPr>
        <w:footnoteRef/>
      </w:r>
      <w:r w:rsidRPr="001B12BC">
        <w:rPr>
          <w:rFonts w:ascii="Garamond" w:hAnsi="Garamond"/>
        </w:rPr>
        <w:t xml:space="preserve"> </w:t>
      </w:r>
      <w:proofErr w:type="spellStart"/>
      <w:r w:rsidRPr="001C50C8">
        <w:rPr>
          <w:rFonts w:ascii="Garamond" w:hAnsi="Garamond"/>
        </w:rPr>
        <w:t>CIGEF</w:t>
      </w:r>
      <w:proofErr w:type="spellEnd"/>
      <w:r w:rsidRPr="001C50C8">
        <w:rPr>
          <w:rFonts w:ascii="Garamond" w:hAnsi="Garamond"/>
        </w:rPr>
        <w:t xml:space="preserve"> (2015) Acesso das mulheres com deficiência e mulheres vivendo com VIH aos serviços de </w:t>
      </w:r>
      <w:proofErr w:type="spellStart"/>
      <w:r w:rsidRPr="001C50C8">
        <w:rPr>
          <w:rFonts w:ascii="Garamond" w:hAnsi="Garamond"/>
        </w:rPr>
        <w:t>SSR</w:t>
      </w:r>
      <w:proofErr w:type="spellEnd"/>
    </w:p>
  </w:footnote>
  <w:footnote w:id="40">
    <w:p w14:paraId="41FEAE78" w14:textId="77777777" w:rsidR="009F122A" w:rsidRPr="001C50C8" w:rsidRDefault="009F122A" w:rsidP="00FB69C4">
      <w:pPr>
        <w:jc w:val="both"/>
        <w:rPr>
          <w:rFonts w:ascii="Garamond" w:eastAsia="Times New Roman" w:hAnsi="Garamond" w:cs="Arial"/>
          <w:sz w:val="20"/>
          <w:szCs w:val="20"/>
          <w:lang w:val="pt-PT" w:eastAsia="pt-PT"/>
        </w:rPr>
      </w:pPr>
      <w:r w:rsidRPr="001B12BC">
        <w:rPr>
          <w:rStyle w:val="Refdenotaderodap"/>
          <w:rFonts w:ascii="Garamond" w:hAnsi="Garamond"/>
          <w:sz w:val="20"/>
          <w:szCs w:val="20"/>
        </w:rPr>
        <w:footnoteRef/>
      </w:r>
      <w:r w:rsidRPr="001B12BC">
        <w:rPr>
          <w:rFonts w:ascii="Garamond" w:hAnsi="Garamond"/>
          <w:lang w:val="pt-PT"/>
        </w:rPr>
        <w:t xml:space="preserve"> </w:t>
      </w:r>
      <w:proofErr w:type="spellStart"/>
      <w:r w:rsidRPr="001C50C8">
        <w:rPr>
          <w:rFonts w:ascii="Garamond" w:eastAsia="Times New Roman" w:hAnsi="Garamond" w:cs="Arial"/>
          <w:sz w:val="20"/>
          <w:szCs w:val="20"/>
          <w:lang w:val="pt-PT" w:eastAsia="pt-PT"/>
        </w:rPr>
        <w:t>CIGEF</w:t>
      </w:r>
      <w:proofErr w:type="spellEnd"/>
      <w:r w:rsidRPr="001C50C8">
        <w:rPr>
          <w:rFonts w:ascii="Garamond" w:eastAsia="Times New Roman" w:hAnsi="Garamond" w:cs="Arial"/>
          <w:sz w:val="20"/>
          <w:szCs w:val="20"/>
          <w:lang w:val="pt-PT" w:eastAsia="pt-PT"/>
        </w:rPr>
        <w:t xml:space="preserve"> &amp; </w:t>
      </w:r>
      <w:proofErr w:type="spellStart"/>
      <w:r w:rsidRPr="001C50C8">
        <w:rPr>
          <w:rFonts w:ascii="Garamond" w:eastAsia="Times New Roman" w:hAnsi="Garamond" w:cs="Arial"/>
          <w:sz w:val="20"/>
          <w:szCs w:val="20"/>
          <w:lang w:val="pt-PT" w:eastAsia="pt-PT"/>
        </w:rPr>
        <w:t>SINPROMI</w:t>
      </w:r>
      <w:proofErr w:type="spellEnd"/>
      <w:r w:rsidRPr="001C50C8">
        <w:rPr>
          <w:rFonts w:ascii="Garamond" w:eastAsia="Times New Roman" w:hAnsi="Garamond" w:cs="Arial"/>
          <w:sz w:val="20"/>
          <w:szCs w:val="20"/>
          <w:lang w:val="pt-PT" w:eastAsia="pt-PT"/>
        </w:rPr>
        <w:t xml:space="preserve"> (2013) </w:t>
      </w:r>
      <w:proofErr w:type="spellStart"/>
      <w:r w:rsidRPr="001C50C8">
        <w:rPr>
          <w:rFonts w:ascii="Garamond" w:eastAsia="Times New Roman" w:hAnsi="Garamond" w:cs="Arial"/>
          <w:i/>
          <w:iCs/>
          <w:sz w:val="20"/>
          <w:szCs w:val="20"/>
          <w:lang w:val="pt-PT" w:eastAsia="pt-PT"/>
        </w:rPr>
        <w:t>Realidad</w:t>
      </w:r>
      <w:proofErr w:type="spellEnd"/>
      <w:r w:rsidRPr="001C50C8">
        <w:rPr>
          <w:rFonts w:ascii="Garamond" w:eastAsia="Times New Roman" w:hAnsi="Garamond" w:cs="Arial"/>
          <w:i/>
          <w:iCs/>
          <w:sz w:val="20"/>
          <w:szCs w:val="20"/>
          <w:lang w:val="pt-PT" w:eastAsia="pt-PT"/>
        </w:rPr>
        <w:t xml:space="preserve"> social formativa y de </w:t>
      </w:r>
      <w:proofErr w:type="spellStart"/>
      <w:r w:rsidRPr="001C50C8">
        <w:rPr>
          <w:rFonts w:ascii="Garamond" w:eastAsia="Times New Roman" w:hAnsi="Garamond" w:cs="Arial"/>
          <w:i/>
          <w:iCs/>
          <w:sz w:val="20"/>
          <w:szCs w:val="20"/>
          <w:lang w:val="pt-PT" w:eastAsia="pt-PT"/>
        </w:rPr>
        <w:t>empleo</w:t>
      </w:r>
      <w:proofErr w:type="spellEnd"/>
      <w:r w:rsidRPr="001C50C8">
        <w:rPr>
          <w:rFonts w:ascii="Garamond" w:eastAsia="Times New Roman" w:hAnsi="Garamond" w:cs="Arial"/>
          <w:i/>
          <w:iCs/>
          <w:sz w:val="20"/>
          <w:szCs w:val="20"/>
          <w:lang w:val="pt-PT" w:eastAsia="pt-PT"/>
        </w:rPr>
        <w:t xml:space="preserve"> de la </w:t>
      </w:r>
      <w:proofErr w:type="spellStart"/>
      <w:r w:rsidRPr="001C50C8">
        <w:rPr>
          <w:rFonts w:ascii="Garamond" w:eastAsia="Times New Roman" w:hAnsi="Garamond" w:cs="Arial"/>
          <w:i/>
          <w:iCs/>
          <w:sz w:val="20"/>
          <w:szCs w:val="20"/>
          <w:lang w:val="pt-PT" w:eastAsia="pt-PT"/>
        </w:rPr>
        <w:t>población</w:t>
      </w:r>
      <w:proofErr w:type="spellEnd"/>
      <w:r w:rsidRPr="001C50C8">
        <w:rPr>
          <w:rFonts w:ascii="Garamond" w:eastAsia="Times New Roman" w:hAnsi="Garamond" w:cs="Arial"/>
          <w:i/>
          <w:iCs/>
          <w:sz w:val="20"/>
          <w:szCs w:val="20"/>
          <w:lang w:val="pt-PT" w:eastAsia="pt-PT"/>
        </w:rPr>
        <w:t xml:space="preserve"> </w:t>
      </w:r>
      <w:proofErr w:type="spellStart"/>
      <w:r w:rsidRPr="001C50C8">
        <w:rPr>
          <w:rFonts w:ascii="Garamond" w:eastAsia="Times New Roman" w:hAnsi="Garamond" w:cs="Arial"/>
          <w:i/>
          <w:iCs/>
          <w:sz w:val="20"/>
          <w:szCs w:val="20"/>
          <w:lang w:val="pt-PT" w:eastAsia="pt-PT"/>
        </w:rPr>
        <w:t>con</w:t>
      </w:r>
      <w:proofErr w:type="spellEnd"/>
      <w:r w:rsidRPr="001C50C8">
        <w:rPr>
          <w:rFonts w:ascii="Garamond" w:eastAsia="Times New Roman" w:hAnsi="Garamond" w:cs="Arial"/>
          <w:i/>
          <w:iCs/>
          <w:sz w:val="20"/>
          <w:szCs w:val="20"/>
          <w:lang w:val="pt-PT" w:eastAsia="pt-PT"/>
        </w:rPr>
        <w:t xml:space="preserve"> </w:t>
      </w:r>
      <w:proofErr w:type="spellStart"/>
      <w:r w:rsidRPr="001C50C8">
        <w:rPr>
          <w:rFonts w:ascii="Garamond" w:eastAsia="Times New Roman" w:hAnsi="Garamond" w:cs="Arial"/>
          <w:i/>
          <w:iCs/>
          <w:sz w:val="20"/>
          <w:szCs w:val="20"/>
          <w:lang w:val="pt-PT" w:eastAsia="pt-PT"/>
        </w:rPr>
        <w:t>discapacidad</w:t>
      </w:r>
      <w:proofErr w:type="spellEnd"/>
      <w:r w:rsidRPr="001C50C8">
        <w:rPr>
          <w:rFonts w:ascii="Garamond" w:eastAsia="Times New Roman" w:hAnsi="Garamond" w:cs="Arial"/>
          <w:i/>
          <w:iCs/>
          <w:sz w:val="20"/>
          <w:szCs w:val="20"/>
          <w:lang w:val="pt-PT" w:eastAsia="pt-PT"/>
        </w:rPr>
        <w:t xml:space="preserve"> de Cabo Verde</w:t>
      </w:r>
    </w:p>
  </w:footnote>
  <w:footnote w:id="41">
    <w:p w14:paraId="627807C2" w14:textId="77777777" w:rsidR="009F122A" w:rsidRPr="001C50C8" w:rsidRDefault="009F122A" w:rsidP="00FB69C4">
      <w:pPr>
        <w:pStyle w:val="Textodenotaderodap"/>
        <w:jc w:val="both"/>
      </w:pPr>
      <w:r w:rsidRPr="001B12BC">
        <w:rPr>
          <w:rStyle w:val="Refdenotaderodap"/>
          <w:rFonts w:ascii="Garamond" w:hAnsi="Garamond"/>
        </w:rPr>
        <w:footnoteRef/>
      </w:r>
      <w:r w:rsidRPr="001B12BC">
        <w:rPr>
          <w:rFonts w:ascii="Garamond" w:hAnsi="Garamond"/>
        </w:rPr>
        <w:t xml:space="preserve"> </w:t>
      </w:r>
      <w:r w:rsidRPr="001C50C8">
        <w:rPr>
          <w:rFonts w:ascii="Garamond" w:hAnsi="Garamond" w:cs="Times New Roman"/>
          <w:bCs/>
        </w:rPr>
        <w:t xml:space="preserve">Decreto-lei nº38/2015 (29 </w:t>
      </w:r>
      <w:proofErr w:type="spellStart"/>
      <w:r w:rsidRPr="001C50C8">
        <w:rPr>
          <w:rFonts w:ascii="Garamond" w:hAnsi="Garamond" w:cs="Times New Roman"/>
          <w:bCs/>
        </w:rPr>
        <w:t>julho</w:t>
      </w:r>
      <w:proofErr w:type="spellEnd"/>
      <w:r w:rsidRPr="001C50C8">
        <w:rPr>
          <w:rFonts w:ascii="Garamond" w:hAnsi="Garamond" w:cs="Times New Roman"/>
          <w:bCs/>
        </w:rPr>
        <w:t>) artigo 29º em cumprimento do artigo 30º da Lei nº 40/VIII/2013 (17 set)</w:t>
      </w:r>
      <w:r w:rsidRPr="001C50C8">
        <w:t xml:space="preserve"> </w:t>
      </w:r>
    </w:p>
  </w:footnote>
  <w:footnote w:id="42">
    <w:p w14:paraId="31CE9956" w14:textId="77777777" w:rsidR="009F122A" w:rsidRPr="001C50C8" w:rsidRDefault="009F122A" w:rsidP="00FB69C4">
      <w:pPr>
        <w:jc w:val="both"/>
        <w:rPr>
          <w:rFonts w:ascii="Garamond" w:eastAsiaTheme="minorEastAsia" w:hAnsi="Garamond" w:cs="Times New Roman"/>
          <w:bCs/>
          <w:sz w:val="20"/>
          <w:szCs w:val="20"/>
          <w:lang w:val="pt-PT" w:eastAsia="pt-PT"/>
        </w:rPr>
      </w:pPr>
      <w:r w:rsidRPr="001B12BC">
        <w:rPr>
          <w:rStyle w:val="Refdenotaderodap"/>
          <w:rFonts w:ascii="Garamond" w:eastAsiaTheme="minorEastAsia" w:hAnsi="Garamond"/>
          <w:sz w:val="20"/>
          <w:szCs w:val="20"/>
          <w:lang w:val="pt-PT" w:eastAsia="pt-PT"/>
        </w:rPr>
        <w:footnoteRef/>
      </w:r>
      <w:r w:rsidRPr="001B12BC">
        <w:rPr>
          <w:rStyle w:val="Refdenotaderodap"/>
          <w:rFonts w:ascii="Garamond" w:eastAsiaTheme="minorEastAsia" w:hAnsi="Garamond"/>
          <w:sz w:val="20"/>
          <w:szCs w:val="20"/>
          <w:lang w:val="pt-PT" w:eastAsia="pt-PT"/>
        </w:rPr>
        <w:t xml:space="preserve"> </w:t>
      </w:r>
      <w:r w:rsidRPr="001C50C8">
        <w:rPr>
          <w:rFonts w:ascii="Garamond" w:eastAsiaTheme="minorEastAsia" w:hAnsi="Garamond" w:cs="Times New Roman"/>
          <w:bCs/>
          <w:sz w:val="20"/>
          <w:szCs w:val="20"/>
          <w:lang w:val="pt-PT" w:eastAsia="pt-PT"/>
        </w:rPr>
        <w:t xml:space="preserve">Lei nº 26/VIII/2013 (21 </w:t>
      </w:r>
      <w:proofErr w:type="spellStart"/>
      <w:r w:rsidRPr="001C50C8">
        <w:rPr>
          <w:rFonts w:ascii="Garamond" w:eastAsiaTheme="minorEastAsia" w:hAnsi="Garamond" w:cs="Times New Roman"/>
          <w:bCs/>
          <w:sz w:val="20"/>
          <w:szCs w:val="20"/>
          <w:lang w:val="pt-PT" w:eastAsia="pt-PT"/>
        </w:rPr>
        <w:t>janeiro</w:t>
      </w:r>
      <w:proofErr w:type="spellEnd"/>
      <w:r w:rsidRPr="001C50C8">
        <w:rPr>
          <w:rFonts w:ascii="Garamond" w:eastAsiaTheme="minorEastAsia" w:hAnsi="Garamond" w:cs="Times New Roman"/>
          <w:bCs/>
          <w:sz w:val="20"/>
          <w:szCs w:val="20"/>
          <w:lang w:val="pt-PT" w:eastAsia="pt-PT"/>
        </w:rPr>
        <w:t xml:space="preserve">), que aprova o Código de Benefícios Fiscais (com alterações </w:t>
      </w:r>
      <w:proofErr w:type="spellStart"/>
      <w:r w:rsidRPr="001C50C8">
        <w:rPr>
          <w:rFonts w:ascii="Garamond" w:eastAsiaTheme="minorEastAsia" w:hAnsi="Garamond" w:cs="Times New Roman"/>
          <w:bCs/>
          <w:sz w:val="20"/>
          <w:szCs w:val="20"/>
          <w:lang w:val="pt-PT" w:eastAsia="pt-PT"/>
        </w:rPr>
        <w:t>efetuadas</w:t>
      </w:r>
      <w:proofErr w:type="spellEnd"/>
      <w:r w:rsidRPr="001C50C8">
        <w:rPr>
          <w:rFonts w:ascii="Garamond" w:eastAsiaTheme="minorEastAsia" w:hAnsi="Garamond" w:cs="Times New Roman"/>
          <w:bCs/>
          <w:sz w:val="20"/>
          <w:szCs w:val="20"/>
          <w:lang w:val="pt-PT" w:eastAsia="pt-PT"/>
        </w:rPr>
        <w:t xml:space="preserve"> </w:t>
      </w:r>
      <w:proofErr w:type="spellStart"/>
      <w:r w:rsidRPr="001C50C8">
        <w:rPr>
          <w:rFonts w:ascii="Garamond" w:eastAsiaTheme="minorEastAsia" w:hAnsi="Garamond" w:cs="Times New Roman"/>
          <w:bCs/>
          <w:sz w:val="20"/>
          <w:szCs w:val="20"/>
          <w:lang w:val="pt-PT" w:eastAsia="pt-PT"/>
        </w:rPr>
        <w:t>pela</w:t>
      </w:r>
      <w:proofErr w:type="spellEnd"/>
      <w:r w:rsidRPr="001C50C8">
        <w:rPr>
          <w:rFonts w:ascii="Garamond" w:eastAsiaTheme="minorEastAsia" w:hAnsi="Garamond" w:cs="Times New Roman"/>
          <w:bCs/>
          <w:sz w:val="20"/>
          <w:szCs w:val="20"/>
          <w:lang w:val="pt-PT" w:eastAsia="pt-PT"/>
        </w:rPr>
        <w:t xml:space="preserve"> Lei nº 102/VIII/2016 (6 </w:t>
      </w:r>
      <w:proofErr w:type="spellStart"/>
      <w:r w:rsidRPr="001C50C8">
        <w:rPr>
          <w:rFonts w:ascii="Garamond" w:eastAsiaTheme="minorEastAsia" w:hAnsi="Garamond" w:cs="Times New Roman"/>
          <w:bCs/>
          <w:sz w:val="20"/>
          <w:szCs w:val="20"/>
          <w:lang w:val="pt-PT" w:eastAsia="pt-PT"/>
        </w:rPr>
        <w:t>janeiro</w:t>
      </w:r>
      <w:proofErr w:type="spellEnd"/>
      <w:r w:rsidRPr="001C50C8">
        <w:rPr>
          <w:rFonts w:ascii="Garamond" w:eastAsiaTheme="minorEastAsia" w:hAnsi="Garamond" w:cs="Times New Roman"/>
          <w:bCs/>
          <w:sz w:val="20"/>
          <w:szCs w:val="20"/>
          <w:lang w:val="pt-PT" w:eastAsia="pt-PT"/>
        </w:rPr>
        <w:t xml:space="preserve">) e </w:t>
      </w:r>
      <w:proofErr w:type="spellStart"/>
      <w:r w:rsidRPr="001C50C8">
        <w:rPr>
          <w:rFonts w:ascii="Garamond" w:eastAsiaTheme="minorEastAsia" w:hAnsi="Garamond" w:cs="Times New Roman"/>
          <w:bCs/>
          <w:sz w:val="20"/>
          <w:szCs w:val="20"/>
          <w:lang w:val="pt-PT" w:eastAsia="pt-PT"/>
        </w:rPr>
        <w:t>pelo</w:t>
      </w:r>
      <w:proofErr w:type="spellEnd"/>
      <w:r w:rsidRPr="001C50C8">
        <w:rPr>
          <w:rFonts w:ascii="Garamond" w:eastAsiaTheme="minorEastAsia" w:hAnsi="Garamond" w:cs="Times New Roman"/>
          <w:bCs/>
          <w:sz w:val="20"/>
          <w:szCs w:val="20"/>
          <w:lang w:val="pt-PT" w:eastAsia="pt-PT"/>
        </w:rPr>
        <w:t xml:space="preserve"> OE 2017), concede dedução na </w:t>
      </w:r>
      <w:proofErr w:type="spellStart"/>
      <w:r w:rsidRPr="001C50C8">
        <w:rPr>
          <w:rFonts w:ascii="Garamond" w:eastAsiaTheme="minorEastAsia" w:hAnsi="Garamond" w:cs="Times New Roman"/>
          <w:bCs/>
          <w:sz w:val="20"/>
          <w:szCs w:val="20"/>
          <w:lang w:val="pt-PT" w:eastAsia="pt-PT"/>
        </w:rPr>
        <w:t>coleta</w:t>
      </w:r>
      <w:proofErr w:type="spellEnd"/>
      <w:r w:rsidRPr="001C50C8">
        <w:rPr>
          <w:rFonts w:ascii="Garamond" w:eastAsiaTheme="minorEastAsia" w:hAnsi="Garamond" w:cs="Times New Roman"/>
          <w:bCs/>
          <w:sz w:val="20"/>
          <w:szCs w:val="20"/>
          <w:lang w:val="pt-PT" w:eastAsia="pt-PT"/>
        </w:rPr>
        <w:t xml:space="preserve"> de um valor específico por posto de trabalho criado para pessoa portadora de deficiência.</w:t>
      </w:r>
    </w:p>
  </w:footnote>
  <w:footnote w:id="43">
    <w:p w14:paraId="5DDD3562" w14:textId="77777777" w:rsidR="009F122A" w:rsidRPr="001C50C8" w:rsidRDefault="009F122A" w:rsidP="00FB69C4">
      <w:pPr>
        <w:pStyle w:val="Textodenotaderodap"/>
        <w:jc w:val="both"/>
        <w:rPr>
          <w:rFonts w:ascii="Garamond" w:hAnsi="Garamond"/>
        </w:rPr>
      </w:pPr>
      <w:r w:rsidRPr="001B12BC">
        <w:rPr>
          <w:rStyle w:val="Refdenotaderodap"/>
          <w:rFonts w:ascii="Garamond" w:hAnsi="Garamond"/>
        </w:rPr>
        <w:footnoteRef/>
      </w:r>
      <w:r w:rsidRPr="001B12BC">
        <w:rPr>
          <w:rFonts w:ascii="Garamond" w:hAnsi="Garamond"/>
        </w:rPr>
        <w:t xml:space="preserve"> </w:t>
      </w:r>
      <w:r w:rsidRPr="001C50C8">
        <w:rPr>
          <w:rFonts w:ascii="Garamond" w:hAnsi="Garamond"/>
        </w:rPr>
        <w:t xml:space="preserve">Ver a respeito o Relatório Sombra das ONG ao Comité </w:t>
      </w:r>
      <w:proofErr w:type="spellStart"/>
      <w:r w:rsidRPr="001C50C8">
        <w:rPr>
          <w:rFonts w:ascii="Garamond" w:hAnsi="Garamond"/>
        </w:rPr>
        <w:t>CEDAW</w:t>
      </w:r>
      <w:proofErr w:type="spellEnd"/>
      <w:r w:rsidRPr="001C50C8">
        <w:rPr>
          <w:rFonts w:ascii="Garamond" w:hAnsi="Garamond"/>
        </w:rPr>
        <w:t xml:space="preserve"> </w:t>
      </w:r>
    </w:p>
  </w:footnote>
  <w:footnote w:id="44">
    <w:p w14:paraId="2F31CFC7" w14:textId="77777777" w:rsidR="009F122A" w:rsidRPr="00871C6F" w:rsidRDefault="009F122A" w:rsidP="00541FA6">
      <w:pPr>
        <w:jc w:val="both"/>
        <w:rPr>
          <w:rFonts w:ascii="Garamond" w:hAnsi="Garamond"/>
          <w:sz w:val="20"/>
          <w:szCs w:val="20"/>
          <w:lang w:val="pt-PT"/>
        </w:rPr>
      </w:pPr>
      <w:r w:rsidRPr="00521B8C">
        <w:rPr>
          <w:rStyle w:val="Refdenotaderodap"/>
          <w:rFonts w:eastAsiaTheme="minorEastAsia"/>
          <w:lang w:val="pt-PT" w:eastAsia="pt-PT"/>
        </w:rPr>
        <w:footnoteRef/>
      </w:r>
      <w:r>
        <w:rPr>
          <w:lang w:val="pt-PT"/>
        </w:rPr>
        <w:t xml:space="preserve"> </w:t>
      </w:r>
      <w:r w:rsidRPr="00871C6F">
        <w:rPr>
          <w:rFonts w:ascii="Garamond" w:hAnsi="Garamond"/>
          <w:sz w:val="20"/>
          <w:szCs w:val="20"/>
          <w:lang w:val="pt-PT"/>
        </w:rPr>
        <w:t xml:space="preserve">Violência conjugal: exercida </w:t>
      </w:r>
      <w:proofErr w:type="spellStart"/>
      <w:r w:rsidRPr="00871C6F">
        <w:rPr>
          <w:rFonts w:ascii="Garamond" w:hAnsi="Garamond"/>
          <w:sz w:val="20"/>
          <w:szCs w:val="20"/>
          <w:lang w:val="pt-PT"/>
        </w:rPr>
        <w:t>pelo</w:t>
      </w:r>
      <w:proofErr w:type="spellEnd"/>
      <w:r w:rsidRPr="00871C6F">
        <w:rPr>
          <w:rFonts w:ascii="Garamond" w:hAnsi="Garamond"/>
          <w:sz w:val="20"/>
          <w:szCs w:val="20"/>
          <w:lang w:val="pt-PT"/>
        </w:rPr>
        <w:t xml:space="preserve"> marido/companheiro ou antigo marido/companheiro sobre a sua esposa/companheira, sendo avaliada junto das (i) mulheres casadas ou em união de facto e (ii) as mulheres em ruptura de união (viúvas e separadas)</w:t>
      </w:r>
    </w:p>
  </w:footnote>
  <w:footnote w:id="45">
    <w:p w14:paraId="24FCC0B7" w14:textId="77777777" w:rsidR="009F122A" w:rsidRPr="00705EA1" w:rsidRDefault="009F122A" w:rsidP="00541FA6">
      <w:pPr>
        <w:pStyle w:val="Textodenotaderodap"/>
        <w:jc w:val="both"/>
        <w:rPr>
          <w:rFonts w:ascii="Garamond" w:hAnsi="Garamond"/>
        </w:rPr>
      </w:pPr>
      <w:r w:rsidRPr="00532C6D">
        <w:rPr>
          <w:rStyle w:val="Refdenotaderodap"/>
          <w:rFonts w:ascii="Garamond" w:hAnsi="Garamond"/>
        </w:rPr>
        <w:footnoteRef/>
      </w:r>
      <w:r w:rsidRPr="00532C6D">
        <w:rPr>
          <w:rFonts w:ascii="Garamond" w:hAnsi="Garamond"/>
        </w:rPr>
        <w:t xml:space="preserve"> V</w:t>
      </w:r>
      <w:r>
        <w:rPr>
          <w:rFonts w:ascii="Garamond" w:hAnsi="Garamond"/>
        </w:rPr>
        <w:t xml:space="preserve">er ponto sobre o </w:t>
      </w:r>
      <w:proofErr w:type="spellStart"/>
      <w:r>
        <w:rPr>
          <w:rFonts w:ascii="Garamond" w:hAnsi="Garamond"/>
        </w:rPr>
        <w:t>fe</w:t>
      </w:r>
      <w:r w:rsidRPr="00705EA1">
        <w:rPr>
          <w:rFonts w:ascii="Garamond" w:hAnsi="Garamond"/>
        </w:rPr>
        <w:t>micídio</w:t>
      </w:r>
      <w:proofErr w:type="spellEnd"/>
      <w:r w:rsidRPr="00705EA1">
        <w:rPr>
          <w:rFonts w:ascii="Garamond" w:hAnsi="Garamond"/>
        </w:rPr>
        <w:t xml:space="preserve">, não sendo, contudo, essa a única circunstância de ligação entre comportamentos de </w:t>
      </w:r>
      <w:proofErr w:type="spellStart"/>
      <w:r w:rsidRPr="00705EA1">
        <w:rPr>
          <w:rFonts w:ascii="Garamond" w:hAnsi="Garamond"/>
        </w:rPr>
        <w:t>VBG</w:t>
      </w:r>
      <w:proofErr w:type="spellEnd"/>
      <w:r w:rsidRPr="00705EA1">
        <w:rPr>
          <w:rFonts w:ascii="Garamond" w:hAnsi="Garamond"/>
        </w:rPr>
        <w:t xml:space="preserve"> e </w:t>
      </w:r>
      <w:r>
        <w:rPr>
          <w:rFonts w:ascii="Garamond" w:hAnsi="Garamond"/>
        </w:rPr>
        <w:t>saúde mental</w:t>
      </w:r>
    </w:p>
  </w:footnote>
  <w:footnote w:id="46">
    <w:p w14:paraId="0F79E188" w14:textId="77777777" w:rsidR="009F122A" w:rsidRPr="009641F2" w:rsidRDefault="009F122A" w:rsidP="00541FA6">
      <w:pPr>
        <w:pStyle w:val="Textodenotaderodap"/>
        <w:jc w:val="both"/>
        <w:rPr>
          <w:rFonts w:ascii="Garamond" w:hAnsi="Garamond"/>
        </w:rPr>
      </w:pPr>
      <w:r>
        <w:rPr>
          <w:rStyle w:val="Refdenotaderodap"/>
        </w:rPr>
        <w:footnoteRef/>
      </w:r>
      <w:r>
        <w:t xml:space="preserve"> </w:t>
      </w:r>
      <w:bookmarkStart w:id="44" w:name="_Hlk31287074"/>
      <w:r>
        <w:rPr>
          <w:rFonts w:ascii="Garamond" w:hAnsi="Garamond"/>
        </w:rPr>
        <w:t>A</w:t>
      </w:r>
      <w:r w:rsidRPr="009641F2">
        <w:rPr>
          <w:rFonts w:ascii="Garamond" w:hAnsi="Garamond"/>
        </w:rPr>
        <w:t xml:space="preserve"> </w:t>
      </w:r>
      <w:proofErr w:type="spellStart"/>
      <w:r>
        <w:rPr>
          <w:rFonts w:ascii="Garamond" w:hAnsi="Garamond"/>
        </w:rPr>
        <w:t>rutura</w:t>
      </w:r>
      <w:proofErr w:type="spellEnd"/>
      <w:r>
        <w:rPr>
          <w:rFonts w:ascii="Garamond" w:hAnsi="Garamond"/>
        </w:rPr>
        <w:t xml:space="preserve"> de união no </w:t>
      </w:r>
      <w:proofErr w:type="spellStart"/>
      <w:r w:rsidRPr="009641F2">
        <w:rPr>
          <w:rFonts w:ascii="Garamond" w:hAnsi="Garamond"/>
        </w:rPr>
        <w:t>IDSR</w:t>
      </w:r>
      <w:proofErr w:type="spellEnd"/>
      <w:r w:rsidRPr="009641F2">
        <w:rPr>
          <w:rFonts w:ascii="Garamond" w:hAnsi="Garamond"/>
        </w:rPr>
        <w:t xml:space="preserve"> III </w:t>
      </w:r>
      <w:r>
        <w:rPr>
          <w:rFonts w:ascii="Garamond" w:hAnsi="Garamond"/>
        </w:rPr>
        <w:t>inclui situações de separação, divórcio e viuvez, embora nesta última</w:t>
      </w:r>
      <w:r w:rsidRPr="009641F2">
        <w:rPr>
          <w:rFonts w:ascii="Garamond" w:hAnsi="Garamond"/>
        </w:rPr>
        <w:t xml:space="preserve"> </w:t>
      </w:r>
      <w:r>
        <w:rPr>
          <w:rFonts w:ascii="Garamond" w:hAnsi="Garamond"/>
        </w:rPr>
        <w:t xml:space="preserve">situação não se trate de </w:t>
      </w:r>
      <w:proofErr w:type="spellStart"/>
      <w:r>
        <w:rPr>
          <w:rFonts w:ascii="Garamond" w:hAnsi="Garamond"/>
        </w:rPr>
        <w:t>rutura</w:t>
      </w:r>
      <w:proofErr w:type="spellEnd"/>
      <w:r>
        <w:rPr>
          <w:rFonts w:ascii="Garamond" w:hAnsi="Garamond"/>
        </w:rPr>
        <w:t xml:space="preserve"> intencional, ou seja, a lógica subjacente não é a mesma </w:t>
      </w:r>
      <w:bookmarkEnd w:id="44"/>
    </w:p>
  </w:footnote>
  <w:footnote w:id="47">
    <w:p w14:paraId="51CDE8F6" w14:textId="77777777" w:rsidR="009F122A" w:rsidRPr="00C41BCC" w:rsidRDefault="009F122A" w:rsidP="00541FA6">
      <w:pPr>
        <w:pStyle w:val="Textodenotaderodap"/>
        <w:jc w:val="both"/>
        <w:rPr>
          <w:rFonts w:ascii="Garamond" w:hAnsi="Garamond"/>
        </w:rPr>
      </w:pPr>
      <w:r>
        <w:rPr>
          <w:rStyle w:val="Refdenotaderodap"/>
        </w:rPr>
        <w:footnoteRef/>
      </w:r>
      <w:r>
        <w:t xml:space="preserve"> </w:t>
      </w:r>
      <w:r w:rsidRPr="00C41BCC">
        <w:rPr>
          <w:rFonts w:ascii="Garamond" w:hAnsi="Garamond"/>
        </w:rPr>
        <w:t>Os valores a vermelho são indicativos</w:t>
      </w:r>
      <w:r>
        <w:rPr>
          <w:rFonts w:ascii="Garamond" w:hAnsi="Garamond"/>
        </w:rPr>
        <w:t>: não são estatisticamente significativos tendo em conta o baixo efectivo de mulheres nessa categoria (tem frequentemente medo)</w:t>
      </w:r>
    </w:p>
  </w:footnote>
  <w:footnote w:id="48">
    <w:p w14:paraId="636EF4F0" w14:textId="685E26A5" w:rsidR="009F122A" w:rsidRPr="000217E2" w:rsidRDefault="009F122A" w:rsidP="00541FA6">
      <w:pPr>
        <w:pStyle w:val="Textodenotaderodap"/>
        <w:jc w:val="both"/>
        <w:rPr>
          <w:rFonts w:ascii="Garamond" w:hAnsi="Garamond"/>
        </w:rPr>
      </w:pPr>
      <w:r w:rsidRPr="000217E2">
        <w:rPr>
          <w:rStyle w:val="Refdenotaderodap"/>
          <w:rFonts w:ascii="Garamond" w:hAnsi="Garamond"/>
        </w:rPr>
        <w:footnoteRef/>
      </w:r>
      <w:r w:rsidRPr="000217E2">
        <w:rPr>
          <w:rFonts w:ascii="Garamond" w:hAnsi="Garamond"/>
        </w:rPr>
        <w:t xml:space="preserve"> </w:t>
      </w:r>
      <w:r w:rsidRPr="000217E2">
        <w:rPr>
          <w:rFonts w:ascii="Garamond" w:hAnsi="Garamond" w:cs="Arial"/>
          <w:lang w:val="pt-BR"/>
        </w:rPr>
        <w:t xml:space="preserve">PGA - </w:t>
      </w:r>
      <w:r w:rsidRPr="000217E2">
        <w:rPr>
          <w:rFonts w:ascii="Garamond" w:hAnsi="Garamond"/>
        </w:rPr>
        <w:t>Programa de Garantia de Acesso ao Rendimento, à Educação, aos Cuidados e à Saúde</w:t>
      </w:r>
      <w:r>
        <w:rPr>
          <w:rFonts w:ascii="Garamond" w:hAnsi="Garamond"/>
        </w:rPr>
        <w:t xml:space="preserve"> (</w:t>
      </w:r>
      <w:r w:rsidRPr="000217E2">
        <w:rPr>
          <w:rFonts w:ascii="Garamond" w:hAnsi="Garamond"/>
        </w:rPr>
        <w:t>detalhes no Eixo 1</w:t>
      </w:r>
      <w:r>
        <w:rPr>
          <w:rFonts w:ascii="Garamond" w:hAnsi="Garamond"/>
        </w:rPr>
        <w:t>)</w:t>
      </w:r>
    </w:p>
  </w:footnote>
  <w:footnote w:id="49">
    <w:p w14:paraId="32B797A5" w14:textId="5ACAD9BF" w:rsidR="009F122A" w:rsidRPr="000217E2" w:rsidRDefault="009F122A" w:rsidP="00541FA6">
      <w:pPr>
        <w:pStyle w:val="Textodenotaderodap"/>
        <w:jc w:val="both"/>
        <w:rPr>
          <w:rFonts w:ascii="Garamond" w:hAnsi="Garamond"/>
        </w:rPr>
      </w:pPr>
      <w:r w:rsidRPr="000217E2">
        <w:rPr>
          <w:rStyle w:val="Refdenotaderodap"/>
          <w:rFonts w:ascii="Garamond" w:hAnsi="Garamond"/>
        </w:rPr>
        <w:footnoteRef/>
      </w:r>
      <w:r w:rsidRPr="000217E2">
        <w:rPr>
          <w:rFonts w:ascii="Garamond" w:hAnsi="Garamond"/>
        </w:rPr>
        <w:t xml:space="preserve"> Religiões como o Islão e igrejas como a Assembleia de Deus, Nova Apostólica, entre outras, não tiveram </w:t>
      </w:r>
      <w:proofErr w:type="spellStart"/>
      <w:r w:rsidRPr="000217E2">
        <w:rPr>
          <w:rFonts w:ascii="Garamond" w:hAnsi="Garamond"/>
        </w:rPr>
        <w:t>efetivos</w:t>
      </w:r>
      <w:proofErr w:type="spellEnd"/>
      <w:r w:rsidRPr="000217E2">
        <w:rPr>
          <w:rFonts w:ascii="Garamond" w:hAnsi="Garamond"/>
        </w:rPr>
        <w:t xml:space="preserve"> suficientes na amostra para que os seus resultados pudessem ser ca</w:t>
      </w:r>
      <w:r>
        <w:rPr>
          <w:rFonts w:ascii="Garamond" w:hAnsi="Garamond"/>
        </w:rPr>
        <w:t>l</w:t>
      </w:r>
      <w:r w:rsidRPr="000217E2">
        <w:rPr>
          <w:rFonts w:ascii="Garamond" w:hAnsi="Garamond"/>
        </w:rPr>
        <w:t xml:space="preserve">culados </w:t>
      </w:r>
    </w:p>
  </w:footnote>
  <w:footnote w:id="50">
    <w:p w14:paraId="48416377" w14:textId="77777777" w:rsidR="009F122A" w:rsidRPr="000217E2" w:rsidRDefault="009F122A" w:rsidP="00541FA6">
      <w:pPr>
        <w:pStyle w:val="Textodenotaderodap"/>
        <w:jc w:val="both"/>
        <w:rPr>
          <w:rFonts w:ascii="Garamond" w:hAnsi="Garamond"/>
          <w:sz w:val="16"/>
          <w:szCs w:val="16"/>
        </w:rPr>
      </w:pPr>
      <w:r w:rsidRPr="000217E2">
        <w:rPr>
          <w:rStyle w:val="Refdenotaderodap"/>
          <w:rFonts w:ascii="Garamond" w:hAnsi="Garamond"/>
          <w:sz w:val="16"/>
          <w:szCs w:val="16"/>
        </w:rPr>
        <w:footnoteRef/>
      </w:r>
      <w:r w:rsidRPr="000217E2">
        <w:rPr>
          <w:rFonts w:ascii="Garamond" w:hAnsi="Garamond"/>
          <w:sz w:val="16"/>
          <w:szCs w:val="16"/>
        </w:rPr>
        <w:t xml:space="preserve"> Os valores a vermelho são indicativos: não são estatisticamente significativos tendo em conta o baixo efectivo de mulheres nessa categoria (violência conjugal))</w:t>
      </w:r>
    </w:p>
  </w:footnote>
  <w:footnote w:id="51">
    <w:p w14:paraId="0F91B3DC" w14:textId="77777777" w:rsidR="009F122A" w:rsidRPr="008972F0" w:rsidRDefault="009F122A" w:rsidP="00541FA6">
      <w:pPr>
        <w:pStyle w:val="Textodenotaderodap"/>
        <w:jc w:val="both"/>
        <w:rPr>
          <w:rFonts w:ascii="Garamond" w:hAnsi="Garamond"/>
        </w:rPr>
      </w:pPr>
      <w:r>
        <w:rPr>
          <w:rStyle w:val="Refdenotaderodap"/>
        </w:rPr>
        <w:footnoteRef/>
      </w:r>
      <w:r>
        <w:t xml:space="preserve"> </w:t>
      </w:r>
      <w:r w:rsidRPr="008972F0">
        <w:rPr>
          <w:rFonts w:ascii="Garamond" w:hAnsi="Garamond"/>
        </w:rPr>
        <w:t xml:space="preserve">Os domínios do </w:t>
      </w:r>
      <w:proofErr w:type="spellStart"/>
      <w:r w:rsidRPr="008972F0">
        <w:rPr>
          <w:rFonts w:ascii="Garamond" w:hAnsi="Garamond"/>
        </w:rPr>
        <w:t>IDSR</w:t>
      </w:r>
      <w:proofErr w:type="spellEnd"/>
      <w:r w:rsidRPr="008972F0">
        <w:rPr>
          <w:rFonts w:ascii="Garamond" w:hAnsi="Garamond"/>
        </w:rPr>
        <w:t xml:space="preserve"> II e do </w:t>
      </w:r>
      <w:proofErr w:type="spellStart"/>
      <w:r w:rsidRPr="008972F0">
        <w:rPr>
          <w:rFonts w:ascii="Garamond" w:hAnsi="Garamond"/>
        </w:rPr>
        <w:t>IDSR</w:t>
      </w:r>
      <w:proofErr w:type="spellEnd"/>
      <w:r w:rsidRPr="008972F0">
        <w:rPr>
          <w:rFonts w:ascii="Garamond" w:hAnsi="Garamond"/>
        </w:rPr>
        <w:t xml:space="preserve"> III </w:t>
      </w:r>
      <w:r>
        <w:rPr>
          <w:rFonts w:ascii="Garamond" w:hAnsi="Garamond"/>
        </w:rPr>
        <w:t xml:space="preserve">apresentam algumas </w:t>
      </w:r>
      <w:r w:rsidRPr="008972F0">
        <w:rPr>
          <w:rFonts w:ascii="Garamond" w:hAnsi="Garamond"/>
        </w:rPr>
        <w:t>diferen</w:t>
      </w:r>
      <w:r>
        <w:rPr>
          <w:rFonts w:ascii="Garamond" w:hAnsi="Garamond"/>
        </w:rPr>
        <w:t xml:space="preserve">ças: o </w:t>
      </w:r>
      <w:proofErr w:type="spellStart"/>
      <w:r>
        <w:rPr>
          <w:rFonts w:ascii="Garamond" w:hAnsi="Garamond"/>
        </w:rPr>
        <w:t>IDSR</w:t>
      </w:r>
      <w:proofErr w:type="spellEnd"/>
      <w:r>
        <w:rPr>
          <w:rFonts w:ascii="Garamond" w:hAnsi="Garamond"/>
        </w:rPr>
        <w:t xml:space="preserve"> II considerou 3 domínios em Santigo (Santiago Norte, Praia Urbana e Resto de Santiago) enquanto o </w:t>
      </w:r>
      <w:proofErr w:type="spellStart"/>
      <w:r>
        <w:rPr>
          <w:rFonts w:ascii="Garamond" w:hAnsi="Garamond"/>
        </w:rPr>
        <w:t>IDSR</w:t>
      </w:r>
      <w:proofErr w:type="spellEnd"/>
      <w:r>
        <w:rPr>
          <w:rFonts w:ascii="Garamond" w:hAnsi="Garamond"/>
        </w:rPr>
        <w:t xml:space="preserve"> III considerou 2 domínios (Santigo Norte e Santigo Sul). No pressupondo que Santiago Sul apresenta afinidades com Praia Urbana e Resto de Santiago, as taxas foram recalculadas para permitir alguma comparação.</w:t>
      </w:r>
    </w:p>
  </w:footnote>
  <w:footnote w:id="52">
    <w:p w14:paraId="63ADBA6A" w14:textId="77777777" w:rsidR="009F122A" w:rsidRPr="009844FE" w:rsidRDefault="009F122A" w:rsidP="00541FA6">
      <w:pPr>
        <w:pStyle w:val="Textodenotaderodap"/>
        <w:rPr>
          <w:rFonts w:ascii="Garamond" w:hAnsi="Garamond"/>
        </w:rPr>
      </w:pPr>
      <w:r w:rsidRPr="00A4595B">
        <w:rPr>
          <w:rStyle w:val="Refdenotaderodap"/>
          <w:rFonts w:ascii="Garamond" w:hAnsi="Garamond"/>
        </w:rPr>
        <w:footnoteRef/>
      </w:r>
      <w:r>
        <w:t xml:space="preserve"> </w:t>
      </w:r>
      <w:r w:rsidRPr="009844FE">
        <w:rPr>
          <w:rFonts w:ascii="Garamond" w:hAnsi="Garamond"/>
        </w:rPr>
        <w:t>Idem</w:t>
      </w:r>
    </w:p>
  </w:footnote>
  <w:footnote w:id="53">
    <w:p w14:paraId="1AD556E4" w14:textId="77777777" w:rsidR="009F122A" w:rsidRPr="00F00881" w:rsidRDefault="009F122A" w:rsidP="00541FA6">
      <w:pPr>
        <w:pStyle w:val="Textodenotaderodap"/>
        <w:jc w:val="both"/>
        <w:rPr>
          <w:rFonts w:ascii="Garamond" w:hAnsi="Garamond"/>
        </w:rPr>
      </w:pPr>
      <w:r w:rsidRPr="00F00881">
        <w:rPr>
          <w:rStyle w:val="Refdenotaderodap"/>
          <w:rFonts w:ascii="Garamond" w:hAnsi="Garamond"/>
        </w:rPr>
        <w:footnoteRef/>
      </w:r>
      <w:r w:rsidRPr="00F00881">
        <w:rPr>
          <w:rFonts w:ascii="Garamond" w:hAnsi="Garamond"/>
        </w:rPr>
        <w:t xml:space="preserve"> Sempre que possível foi utilizado esse indicador, contudo nem todos os indicadores do </w:t>
      </w:r>
      <w:proofErr w:type="spellStart"/>
      <w:r w:rsidRPr="00F00881">
        <w:rPr>
          <w:rFonts w:ascii="Garamond" w:hAnsi="Garamond"/>
        </w:rPr>
        <w:t>IDSR</w:t>
      </w:r>
      <w:proofErr w:type="spellEnd"/>
      <w:r w:rsidRPr="00F00881">
        <w:rPr>
          <w:rFonts w:ascii="Garamond" w:hAnsi="Garamond"/>
        </w:rPr>
        <w:t xml:space="preserve"> II e dos </w:t>
      </w:r>
      <w:proofErr w:type="spellStart"/>
      <w:r w:rsidRPr="00F00881">
        <w:rPr>
          <w:rFonts w:ascii="Garamond" w:hAnsi="Garamond"/>
        </w:rPr>
        <w:t>IDSR</w:t>
      </w:r>
      <w:proofErr w:type="spellEnd"/>
      <w:r w:rsidRPr="00F00881">
        <w:rPr>
          <w:rFonts w:ascii="Garamond" w:hAnsi="Garamond"/>
        </w:rPr>
        <w:t xml:space="preserve"> III </w:t>
      </w:r>
      <w:r>
        <w:rPr>
          <w:rFonts w:ascii="Garamond" w:hAnsi="Garamond"/>
        </w:rPr>
        <w:t>são comparáveis de forma linear.</w:t>
      </w:r>
    </w:p>
  </w:footnote>
  <w:footnote w:id="54">
    <w:p w14:paraId="05732F44" w14:textId="77777777" w:rsidR="009F122A" w:rsidRPr="00521B8C" w:rsidRDefault="009F122A" w:rsidP="00541FA6">
      <w:pPr>
        <w:pStyle w:val="Textodenotaderodap"/>
        <w:jc w:val="both"/>
        <w:rPr>
          <w:rFonts w:ascii="Garamond" w:hAnsi="Garamond"/>
        </w:rPr>
      </w:pPr>
      <w:r>
        <w:rPr>
          <w:rStyle w:val="Refdenotaderodap"/>
        </w:rPr>
        <w:footnoteRef/>
      </w:r>
      <w:r>
        <w:t xml:space="preserve"> </w:t>
      </w:r>
      <w:r>
        <w:rPr>
          <w:rFonts w:ascii="Garamond" w:hAnsi="Garamond"/>
        </w:rPr>
        <w:t xml:space="preserve">O </w:t>
      </w:r>
      <w:proofErr w:type="spellStart"/>
      <w:r>
        <w:rPr>
          <w:rFonts w:ascii="Garamond" w:hAnsi="Garamond"/>
        </w:rPr>
        <w:t>IDSR</w:t>
      </w:r>
      <w:proofErr w:type="spellEnd"/>
      <w:r>
        <w:rPr>
          <w:rFonts w:ascii="Garamond" w:hAnsi="Garamond"/>
        </w:rPr>
        <w:t xml:space="preserve"> II considerou 3 domínios em Santigo (Santiago Norte, Praia Urbana e Resto de Santiago) enquanto o </w:t>
      </w:r>
      <w:proofErr w:type="spellStart"/>
      <w:r>
        <w:rPr>
          <w:rFonts w:ascii="Garamond" w:hAnsi="Garamond"/>
        </w:rPr>
        <w:t>IDSR</w:t>
      </w:r>
      <w:proofErr w:type="spellEnd"/>
      <w:r>
        <w:rPr>
          <w:rFonts w:ascii="Garamond" w:hAnsi="Garamond"/>
        </w:rPr>
        <w:t xml:space="preserve"> III considerou 2 domínios (Santigo Norte e Santigo Sul). No pressupondo que Santiago Sul apresenta afinidades com Praia Urbana e Resto de Santiago, as taxas foram recalculadas para permitir alguma comparação.</w:t>
      </w:r>
    </w:p>
  </w:footnote>
  <w:footnote w:id="55">
    <w:p w14:paraId="2EE8ED4A" w14:textId="77777777" w:rsidR="009F122A" w:rsidRPr="00FE0D5F" w:rsidRDefault="009F122A" w:rsidP="00541FA6">
      <w:pPr>
        <w:jc w:val="both"/>
        <w:rPr>
          <w:rFonts w:ascii="Garamond" w:hAnsi="Garamond"/>
          <w:sz w:val="20"/>
          <w:szCs w:val="20"/>
          <w:lang w:val="pt-PT"/>
        </w:rPr>
      </w:pPr>
      <w:r w:rsidRPr="00521B8C">
        <w:rPr>
          <w:rStyle w:val="Refdenotaderodap"/>
          <w:rFonts w:eastAsiaTheme="minorEastAsia"/>
          <w:lang w:val="pt-PT" w:eastAsia="pt-PT"/>
        </w:rPr>
        <w:footnoteRef/>
      </w:r>
      <w:r w:rsidRPr="00521B8C">
        <w:rPr>
          <w:rStyle w:val="Refdenotaderodap"/>
          <w:rFonts w:eastAsiaTheme="minorEastAsia"/>
          <w:lang w:val="pt-PT" w:eastAsia="pt-PT"/>
        </w:rPr>
        <w:t xml:space="preserve"> </w:t>
      </w:r>
      <w:r w:rsidRPr="00FE0D5F">
        <w:rPr>
          <w:rFonts w:ascii="Garamond" w:hAnsi="Garamond"/>
          <w:sz w:val="20"/>
          <w:szCs w:val="20"/>
          <w:lang w:val="pt-PT"/>
        </w:rPr>
        <w:t xml:space="preserve">Motivos apresentados no questionário: (1) deixar queimar a comida; (2) contrariar as opiniões do marido/ companheiro; (3) sair sem lhe dizer nada; (4) não cuidar das crianças (filhos); (5) recusar ter relações sexuais com marido/ companheiro </w:t>
      </w:r>
    </w:p>
  </w:footnote>
  <w:footnote w:id="56">
    <w:p w14:paraId="38E40274" w14:textId="77777777" w:rsidR="009F122A" w:rsidRPr="008F72A8" w:rsidRDefault="009F122A" w:rsidP="00541FA6">
      <w:pPr>
        <w:pStyle w:val="Textodenotaderodap"/>
        <w:jc w:val="both"/>
        <w:rPr>
          <w:rFonts w:ascii="Garamond" w:eastAsiaTheme="minorHAnsi" w:hAnsi="Garamond"/>
          <w:color w:val="FF0000"/>
          <w:sz w:val="22"/>
          <w:szCs w:val="22"/>
          <w:lang w:eastAsia="en-US"/>
        </w:rPr>
      </w:pPr>
      <w:r>
        <w:rPr>
          <w:rStyle w:val="Refdenotaderodap"/>
        </w:rPr>
        <w:footnoteRef/>
      </w:r>
      <w:r>
        <w:t xml:space="preserve"> </w:t>
      </w:r>
      <w:r w:rsidRPr="00CF41A4">
        <w:rPr>
          <w:rFonts w:ascii="Garamond" w:hAnsi="Garamond" w:cs="Times New Roman"/>
        </w:rPr>
        <w:t xml:space="preserve">O analfabetismo </w:t>
      </w:r>
      <w:proofErr w:type="spellStart"/>
      <w:r w:rsidRPr="00CF41A4">
        <w:rPr>
          <w:rFonts w:ascii="Garamond" w:hAnsi="Garamond" w:cs="Times New Roman"/>
        </w:rPr>
        <w:t>afeta</w:t>
      </w:r>
      <w:proofErr w:type="spellEnd"/>
      <w:r w:rsidRPr="00CF41A4">
        <w:rPr>
          <w:rFonts w:ascii="Garamond" w:hAnsi="Garamond" w:cs="Times New Roman"/>
        </w:rPr>
        <w:t xml:space="preserve"> </w:t>
      </w:r>
      <w:r>
        <w:rPr>
          <w:rFonts w:ascii="Garamond" w:hAnsi="Garamond" w:cs="Times New Roman"/>
        </w:rPr>
        <w:t>em particular as</w:t>
      </w:r>
      <w:r w:rsidRPr="00CF41A4">
        <w:rPr>
          <w:rFonts w:ascii="Garamond" w:hAnsi="Garamond" w:cs="Times New Roman"/>
        </w:rPr>
        <w:t xml:space="preserve"> mulheres</w:t>
      </w:r>
      <w:r>
        <w:rPr>
          <w:rFonts w:ascii="Garamond" w:hAnsi="Garamond" w:cs="Times New Roman"/>
        </w:rPr>
        <w:t xml:space="preserve"> </w:t>
      </w:r>
      <w:r w:rsidRPr="00CF41A4">
        <w:rPr>
          <w:rFonts w:ascii="Garamond" w:hAnsi="Garamond" w:cs="Times New Roman"/>
        </w:rPr>
        <w:t xml:space="preserve">mais velhas, </w:t>
      </w:r>
      <w:r>
        <w:rPr>
          <w:rFonts w:ascii="Garamond" w:hAnsi="Garamond" w:cs="Times New Roman"/>
        </w:rPr>
        <w:t xml:space="preserve">sobretudo no meio </w:t>
      </w:r>
      <w:r w:rsidRPr="00CF41A4">
        <w:rPr>
          <w:rFonts w:ascii="Garamond" w:hAnsi="Garamond" w:cs="Times New Roman"/>
        </w:rPr>
        <w:t>rura</w:t>
      </w:r>
      <w:r>
        <w:rPr>
          <w:rFonts w:ascii="Garamond" w:hAnsi="Garamond" w:cs="Times New Roman"/>
        </w:rPr>
        <w:t xml:space="preserve">l, mas também no meio </w:t>
      </w:r>
      <w:r w:rsidRPr="00CF41A4">
        <w:rPr>
          <w:rFonts w:ascii="Garamond" w:hAnsi="Garamond" w:cs="Times New Roman"/>
        </w:rPr>
        <w:t>urban</w:t>
      </w:r>
      <w:r>
        <w:rPr>
          <w:rFonts w:ascii="Garamond" w:hAnsi="Garamond" w:cs="Times New Roman"/>
        </w:rPr>
        <w:t xml:space="preserve">o. Até à faixa etária dos </w:t>
      </w:r>
      <w:r w:rsidRPr="00CF41A4">
        <w:rPr>
          <w:rFonts w:ascii="Garamond" w:hAnsi="Garamond"/>
        </w:rPr>
        <w:t>25-34 anos</w:t>
      </w:r>
      <w:r>
        <w:rPr>
          <w:rFonts w:ascii="Garamond" w:hAnsi="Garamond"/>
        </w:rPr>
        <w:t xml:space="preserve">, apenas </w:t>
      </w:r>
      <w:r w:rsidRPr="00CF41A4">
        <w:rPr>
          <w:rFonts w:ascii="Garamond" w:hAnsi="Garamond" w:cs="Times New Roman"/>
        </w:rPr>
        <w:t>2.8% das mulheres</w:t>
      </w:r>
      <w:r w:rsidRPr="00CF41A4">
        <w:rPr>
          <w:rFonts w:ascii="Garamond" w:hAnsi="Garamond"/>
        </w:rPr>
        <w:t xml:space="preserve"> rurais é analfabeta</w:t>
      </w:r>
      <w:r>
        <w:rPr>
          <w:rFonts w:ascii="Garamond" w:hAnsi="Garamond"/>
        </w:rPr>
        <w:t>. A taxa aumenta progressivamente com a idade das mulheres.</w:t>
      </w:r>
    </w:p>
  </w:footnote>
  <w:footnote w:id="57">
    <w:p w14:paraId="1E3EFC6D" w14:textId="77777777" w:rsidR="009F122A" w:rsidRPr="00532C6D" w:rsidRDefault="009F122A" w:rsidP="00541FA6">
      <w:pPr>
        <w:pStyle w:val="Textodenotaderodap"/>
        <w:jc w:val="both"/>
        <w:rPr>
          <w:rFonts w:ascii="Garamond" w:hAnsi="Garamond"/>
        </w:rPr>
      </w:pPr>
      <w:r w:rsidRPr="00532C6D">
        <w:rPr>
          <w:rStyle w:val="Refdenotaderodap"/>
          <w:rFonts w:ascii="Garamond" w:hAnsi="Garamond"/>
        </w:rPr>
        <w:footnoteRef/>
      </w:r>
      <w:r w:rsidRPr="00532C6D">
        <w:rPr>
          <w:rFonts w:ascii="Garamond" w:hAnsi="Garamond"/>
        </w:rPr>
        <w:t xml:space="preserve"> </w:t>
      </w:r>
      <w:bookmarkStart w:id="54" w:name="_Hlk31282981"/>
      <w:r w:rsidRPr="00532C6D">
        <w:rPr>
          <w:rFonts w:ascii="Garamond" w:hAnsi="Garamond"/>
        </w:rPr>
        <w:t>No pressupondo que o domínio de Santiago Sul (</w:t>
      </w:r>
      <w:proofErr w:type="spellStart"/>
      <w:r w:rsidRPr="00532C6D">
        <w:rPr>
          <w:rFonts w:ascii="Garamond" w:hAnsi="Garamond"/>
        </w:rPr>
        <w:t>IDSR</w:t>
      </w:r>
      <w:proofErr w:type="spellEnd"/>
      <w:r w:rsidRPr="00532C6D">
        <w:rPr>
          <w:rFonts w:ascii="Garamond" w:hAnsi="Garamond"/>
        </w:rPr>
        <w:t xml:space="preserve"> III) apresenta afinidades com Praia Urbana e Resto de Santiago (</w:t>
      </w:r>
      <w:proofErr w:type="spellStart"/>
      <w:r w:rsidRPr="00532C6D">
        <w:rPr>
          <w:rFonts w:ascii="Garamond" w:hAnsi="Garamond"/>
        </w:rPr>
        <w:t>IDSR</w:t>
      </w:r>
      <w:proofErr w:type="spellEnd"/>
      <w:r w:rsidRPr="00532C6D">
        <w:rPr>
          <w:rFonts w:ascii="Garamond" w:hAnsi="Garamond"/>
        </w:rPr>
        <w:t xml:space="preserve"> II), as taxas foram recalculadas para permitir alguma comparação</w:t>
      </w:r>
      <w:bookmarkEnd w:id="54"/>
      <w:r w:rsidRPr="00532C6D">
        <w:rPr>
          <w:rFonts w:ascii="Garamond" w:hAnsi="Garamond"/>
        </w:rPr>
        <w:t>.</w:t>
      </w:r>
    </w:p>
  </w:footnote>
  <w:footnote w:id="58">
    <w:p w14:paraId="7166A4BB" w14:textId="77777777" w:rsidR="009F122A" w:rsidRPr="00532C6D" w:rsidRDefault="009F122A" w:rsidP="00541FA6">
      <w:pPr>
        <w:pStyle w:val="Textodenotaderodap"/>
        <w:jc w:val="both"/>
        <w:rPr>
          <w:rFonts w:ascii="Garamond" w:hAnsi="Garamond"/>
        </w:rPr>
      </w:pPr>
      <w:r w:rsidRPr="00532C6D">
        <w:rPr>
          <w:rStyle w:val="Refdenotaderodap"/>
          <w:rFonts w:ascii="Garamond" w:hAnsi="Garamond"/>
        </w:rPr>
        <w:footnoteRef/>
      </w:r>
      <w:r w:rsidRPr="00532C6D">
        <w:rPr>
          <w:rFonts w:ascii="Garamond" w:hAnsi="Garamond"/>
        </w:rPr>
        <w:t xml:space="preserve"> Idem</w:t>
      </w:r>
    </w:p>
  </w:footnote>
  <w:footnote w:id="59">
    <w:p w14:paraId="09CA908C" w14:textId="77777777" w:rsidR="009F122A" w:rsidRPr="009844FE" w:rsidRDefault="009F122A" w:rsidP="00541FA6">
      <w:pPr>
        <w:jc w:val="both"/>
        <w:rPr>
          <w:lang w:val="pt-PT"/>
        </w:rPr>
      </w:pPr>
      <w:r w:rsidRPr="00532C6D">
        <w:rPr>
          <w:rStyle w:val="Refdenotaderodap"/>
          <w:rFonts w:ascii="Garamond" w:hAnsi="Garamond"/>
        </w:rPr>
        <w:footnoteRef/>
      </w:r>
      <w:r w:rsidRPr="00532C6D">
        <w:rPr>
          <w:rFonts w:ascii="Garamond" w:hAnsi="Garamond"/>
          <w:lang w:val="pt-PT"/>
        </w:rPr>
        <w:t xml:space="preserve"> </w:t>
      </w:r>
      <w:r w:rsidRPr="00532C6D">
        <w:rPr>
          <w:rFonts w:ascii="Garamond" w:hAnsi="Garamond"/>
          <w:sz w:val="20"/>
          <w:szCs w:val="20"/>
          <w:lang w:val="pt-PT"/>
        </w:rPr>
        <w:t>Comportamento de controle sondados: (1) tem ciúme e fica chateado se a mulher/companheira falar com outros</w:t>
      </w:r>
      <w:r w:rsidRPr="009844FE">
        <w:rPr>
          <w:rFonts w:ascii="Garamond" w:hAnsi="Garamond"/>
          <w:sz w:val="20"/>
          <w:szCs w:val="20"/>
          <w:lang w:val="pt-PT"/>
        </w:rPr>
        <w:t xml:space="preserve"> homens; (2) acusa-a frequentemente de infidelidade; (3) não aceita que ela convive com suas amigas; (4) tenta limitar seus contactos com sua família; (5) insiste todo tempo para saber onde está/vai; (6) não confia nela em assunto de dinheiro.</w:t>
      </w:r>
    </w:p>
  </w:footnote>
  <w:footnote w:id="60">
    <w:p w14:paraId="3B181304" w14:textId="77777777" w:rsidR="009F122A" w:rsidRPr="002A211A" w:rsidRDefault="009F122A" w:rsidP="00541FA6">
      <w:pPr>
        <w:pStyle w:val="Textodenotaderodap"/>
        <w:rPr>
          <w:rFonts w:ascii="Garamond" w:eastAsiaTheme="minorHAnsi" w:hAnsi="Garamond"/>
          <w:lang w:eastAsia="en-US"/>
        </w:rPr>
      </w:pPr>
      <w:r w:rsidRPr="002A211A">
        <w:rPr>
          <w:rStyle w:val="Refdenotaderodap"/>
          <w:rFonts w:ascii="Garamond" w:eastAsiaTheme="minorHAnsi" w:hAnsi="Garamond"/>
          <w:sz w:val="22"/>
          <w:szCs w:val="22"/>
          <w:lang w:eastAsia="en-US"/>
        </w:rPr>
        <w:footnoteRef/>
      </w:r>
      <w:r w:rsidRPr="002A211A">
        <w:rPr>
          <w:rStyle w:val="Refdenotaderodap"/>
          <w:rFonts w:ascii="Garamond" w:eastAsiaTheme="minorHAnsi" w:hAnsi="Garamond"/>
          <w:sz w:val="22"/>
          <w:szCs w:val="22"/>
          <w:lang w:eastAsia="en-US"/>
        </w:rPr>
        <w:t xml:space="preserve"> </w:t>
      </w:r>
      <w:r w:rsidRPr="002A211A">
        <w:rPr>
          <w:rFonts w:ascii="Garamond" w:eastAsiaTheme="minorHAnsi" w:hAnsi="Garamond"/>
          <w:lang w:eastAsia="en-US"/>
        </w:rPr>
        <w:t>Não foram incluídas</w:t>
      </w:r>
      <w:r>
        <w:rPr>
          <w:rFonts w:ascii="Garamond" w:eastAsiaTheme="minorHAnsi" w:hAnsi="Garamond"/>
          <w:lang w:eastAsia="en-US"/>
        </w:rPr>
        <w:t xml:space="preserve"> as percentagens para 5 tipos de comportamento de controle tendo em conta que os efectivos nessa categoria não são suficientes para garantir a sua representatividade estatística (mas vão no mesmo sentido do que os resultados para 3-4 tipos comportamento de controle).   </w:t>
      </w:r>
      <w:r w:rsidRPr="002A211A">
        <w:rPr>
          <w:rFonts w:ascii="Garamond" w:eastAsiaTheme="minorHAnsi" w:hAnsi="Garamond"/>
          <w:lang w:eastAsia="en-US"/>
        </w:rPr>
        <w:t xml:space="preserve"> </w:t>
      </w:r>
    </w:p>
  </w:footnote>
  <w:footnote w:id="61">
    <w:p w14:paraId="259E5739" w14:textId="77777777" w:rsidR="009F122A" w:rsidRPr="00705EA1" w:rsidRDefault="009F122A" w:rsidP="00541FA6">
      <w:pPr>
        <w:pStyle w:val="Textodenotaderodap"/>
        <w:jc w:val="both"/>
        <w:rPr>
          <w:rFonts w:ascii="Garamond" w:hAnsi="Garamond"/>
        </w:rPr>
      </w:pPr>
      <w:r>
        <w:rPr>
          <w:rStyle w:val="Refdenotaderodap"/>
        </w:rPr>
        <w:footnoteRef/>
      </w:r>
      <w:r>
        <w:t xml:space="preserve"> </w:t>
      </w:r>
      <w:r w:rsidRPr="00705EA1">
        <w:rPr>
          <w:rFonts w:ascii="Garamond" w:eastAsia="Times New Roman" w:hAnsi="Garamond" w:cs="Calibri"/>
          <w:color w:val="000000"/>
        </w:rPr>
        <w:t xml:space="preserve">Os dados de 2010, antes da entrada em vigo da Lei </w:t>
      </w:r>
      <w:proofErr w:type="spellStart"/>
      <w:r w:rsidRPr="00705EA1">
        <w:rPr>
          <w:rFonts w:ascii="Garamond" w:eastAsia="Times New Roman" w:hAnsi="Garamond" w:cs="Calibri"/>
          <w:color w:val="000000"/>
        </w:rPr>
        <w:t>VBG</w:t>
      </w:r>
      <w:proofErr w:type="spellEnd"/>
      <w:r w:rsidRPr="00705EA1">
        <w:rPr>
          <w:rFonts w:ascii="Garamond" w:eastAsia="Times New Roman" w:hAnsi="Garamond" w:cs="Calibri"/>
          <w:color w:val="000000"/>
        </w:rPr>
        <w:t xml:space="preserve">, eram registados seguindo a nomenclatura do artigo 134º do Código Penal: agressão ou maus </w:t>
      </w:r>
      <w:proofErr w:type="spellStart"/>
      <w:r w:rsidRPr="00705EA1">
        <w:rPr>
          <w:rFonts w:ascii="Garamond" w:eastAsia="Times New Roman" w:hAnsi="Garamond" w:cs="Calibri"/>
          <w:color w:val="000000"/>
        </w:rPr>
        <w:t>tratos</w:t>
      </w:r>
      <w:proofErr w:type="spellEnd"/>
      <w:r w:rsidRPr="00705EA1">
        <w:rPr>
          <w:rFonts w:ascii="Garamond" w:eastAsia="Times New Roman" w:hAnsi="Garamond" w:cs="Calibri"/>
          <w:color w:val="000000"/>
        </w:rPr>
        <w:t xml:space="preserve"> praticados sobre o cônjuge</w:t>
      </w:r>
    </w:p>
  </w:footnote>
  <w:footnote w:id="62">
    <w:p w14:paraId="4684E638" w14:textId="77777777" w:rsidR="009F122A" w:rsidRPr="00A81DCC" w:rsidRDefault="009F122A" w:rsidP="00541FA6">
      <w:pPr>
        <w:pStyle w:val="Textodenotaderodap"/>
        <w:rPr>
          <w:rFonts w:ascii="Garamond" w:eastAsia="Times New Roman" w:hAnsi="Garamond" w:cs="Calibri"/>
          <w:color w:val="000000"/>
        </w:rPr>
      </w:pPr>
      <w:r w:rsidRPr="00A81DCC">
        <w:rPr>
          <w:rStyle w:val="Refdenotaderodap"/>
          <w:rFonts w:ascii="Garamond" w:hAnsi="Garamond"/>
        </w:rPr>
        <w:footnoteRef/>
      </w:r>
      <w:r w:rsidRPr="00A81DCC">
        <w:rPr>
          <w:rFonts w:ascii="Garamond" w:hAnsi="Garamond"/>
        </w:rPr>
        <w:t xml:space="preserve"> </w:t>
      </w:r>
      <w:r w:rsidRPr="00A81DCC">
        <w:rPr>
          <w:rFonts w:ascii="Garamond" w:eastAsia="Times New Roman" w:hAnsi="Garamond" w:cs="Calibri"/>
          <w:color w:val="000000"/>
        </w:rPr>
        <w:t xml:space="preserve">Resolução nº 144/2017, de 6 de </w:t>
      </w:r>
      <w:proofErr w:type="spellStart"/>
      <w:r w:rsidRPr="00A81DCC">
        <w:rPr>
          <w:rFonts w:ascii="Garamond" w:eastAsia="Times New Roman" w:hAnsi="Garamond" w:cs="Calibri"/>
          <w:color w:val="000000"/>
        </w:rPr>
        <w:t>dezembro</w:t>
      </w:r>
      <w:proofErr w:type="spellEnd"/>
    </w:p>
  </w:footnote>
  <w:footnote w:id="63">
    <w:p w14:paraId="7380DB3E" w14:textId="77777777" w:rsidR="009F122A" w:rsidRPr="00A81DCC" w:rsidRDefault="009F122A" w:rsidP="00541FA6">
      <w:pPr>
        <w:pStyle w:val="Textodenotaderodap"/>
        <w:jc w:val="both"/>
        <w:rPr>
          <w:rFonts w:ascii="Garamond" w:hAnsi="Garamond"/>
        </w:rPr>
      </w:pPr>
      <w:r w:rsidRPr="00A81DCC">
        <w:rPr>
          <w:rStyle w:val="Refdenotaderodap"/>
          <w:rFonts w:ascii="Garamond" w:hAnsi="Garamond"/>
        </w:rPr>
        <w:footnoteRef/>
      </w:r>
      <w:r w:rsidRPr="00A81DCC">
        <w:rPr>
          <w:rFonts w:ascii="Garamond" w:hAnsi="Garamond"/>
        </w:rPr>
        <w:t xml:space="preserve"> </w:t>
      </w:r>
      <w:r w:rsidRPr="00A81DCC">
        <w:rPr>
          <w:rFonts w:ascii="Garamond" w:eastAsia="Times New Roman" w:hAnsi="Garamond" w:cs="Calibri"/>
        </w:rPr>
        <w:t xml:space="preserve">Optou-se por referir os dados já analisados e apresentados no </w:t>
      </w:r>
      <w:proofErr w:type="spellStart"/>
      <w:r w:rsidRPr="00A81DCC">
        <w:rPr>
          <w:rFonts w:ascii="Garamond" w:eastAsia="Times New Roman" w:hAnsi="Garamond" w:cs="Calibri"/>
        </w:rPr>
        <w:t>PNVBG</w:t>
      </w:r>
      <w:proofErr w:type="spellEnd"/>
      <w:r w:rsidRPr="00A81DCC">
        <w:rPr>
          <w:rFonts w:ascii="Garamond" w:eastAsia="Times New Roman" w:hAnsi="Garamond" w:cs="Calibri"/>
        </w:rPr>
        <w:t xml:space="preserve"> por existirem algumas discrepâncias no número de processo (ex. transitados de um ano judicial anterior) entre relatórios dos vários anos judiciais</w:t>
      </w:r>
    </w:p>
  </w:footnote>
  <w:footnote w:id="64">
    <w:p w14:paraId="3167BEC1" w14:textId="77777777" w:rsidR="009F122A" w:rsidRPr="00A81DCC" w:rsidRDefault="009F122A" w:rsidP="00541FA6">
      <w:pPr>
        <w:pStyle w:val="Textodenotaderodap"/>
        <w:jc w:val="both"/>
        <w:rPr>
          <w:rFonts w:ascii="Garamond" w:eastAsia="Times New Roman" w:hAnsi="Garamond" w:cs="Calibri"/>
        </w:rPr>
      </w:pPr>
      <w:r w:rsidRPr="00A81DCC">
        <w:rPr>
          <w:rStyle w:val="Refdenotaderodap"/>
          <w:rFonts w:ascii="Garamond" w:hAnsi="Garamond"/>
        </w:rPr>
        <w:footnoteRef/>
      </w:r>
      <w:r w:rsidRPr="00A81DCC">
        <w:rPr>
          <w:rFonts w:ascii="Garamond" w:hAnsi="Garamond"/>
        </w:rPr>
        <w:t xml:space="preserve"> </w:t>
      </w:r>
      <w:r w:rsidRPr="00A81DCC">
        <w:rPr>
          <w:rFonts w:ascii="Garamond" w:eastAsia="Times New Roman" w:hAnsi="Garamond" w:cs="Calibri"/>
        </w:rPr>
        <w:t xml:space="preserve">A Lei </w:t>
      </w:r>
      <w:proofErr w:type="spellStart"/>
      <w:r w:rsidRPr="00A81DCC">
        <w:rPr>
          <w:rFonts w:ascii="Garamond" w:eastAsia="Times New Roman" w:hAnsi="Garamond" w:cs="Calibri"/>
        </w:rPr>
        <w:t>VBG</w:t>
      </w:r>
      <w:proofErr w:type="spellEnd"/>
      <w:r w:rsidRPr="00A81DCC">
        <w:rPr>
          <w:rFonts w:ascii="Garamond" w:eastAsia="Times New Roman" w:hAnsi="Garamond" w:cs="Calibri"/>
        </w:rPr>
        <w:t xml:space="preserve"> prevê possibilidade de suspensão provisória do processo, mediante as injunções: a) seguir um programa de acompanhamento e reinserção</w:t>
      </w:r>
      <w:r>
        <w:rPr>
          <w:rFonts w:ascii="Garamond" w:eastAsia="Times New Roman" w:hAnsi="Garamond" w:cs="Calibri"/>
        </w:rPr>
        <w:t xml:space="preserve">, e </w:t>
      </w:r>
      <w:r w:rsidRPr="00A81DCC">
        <w:rPr>
          <w:rFonts w:ascii="Garamond" w:eastAsia="Times New Roman" w:hAnsi="Garamond" w:cs="Calibri"/>
        </w:rPr>
        <w:t xml:space="preserve">b) realizar trabalhos a favor da comunidade nos termos </w:t>
      </w:r>
      <w:r>
        <w:rPr>
          <w:rFonts w:ascii="Garamond" w:eastAsia="Times New Roman" w:hAnsi="Garamond" w:cs="Calibri"/>
        </w:rPr>
        <w:t>d</w:t>
      </w:r>
      <w:r w:rsidRPr="00A81DCC">
        <w:rPr>
          <w:rFonts w:ascii="Garamond" w:eastAsia="Times New Roman" w:hAnsi="Garamond" w:cs="Calibri"/>
        </w:rPr>
        <w:t>o Código Penal, quando a pena em que arguido pode incorrer é inferior a 2 anos (artigos 36º e 29º).</w:t>
      </w:r>
      <w:r w:rsidRPr="00A81DCC">
        <w:rPr>
          <w:rFonts w:ascii="Garamond" w:hAnsi="Garamond"/>
          <w:sz w:val="24"/>
          <w:szCs w:val="24"/>
        </w:rPr>
        <w:t xml:space="preserve"> </w:t>
      </w:r>
      <w:r w:rsidRPr="00A81DCC">
        <w:rPr>
          <w:rFonts w:ascii="Garamond" w:eastAsia="Times New Roman" w:hAnsi="Garamond" w:cs="Calibri"/>
        </w:rPr>
        <w:t xml:space="preserve">   </w:t>
      </w:r>
    </w:p>
  </w:footnote>
  <w:footnote w:id="65">
    <w:p w14:paraId="740DB4DF" w14:textId="77777777" w:rsidR="009F122A" w:rsidRPr="003366D4" w:rsidRDefault="009F122A" w:rsidP="00541FA6">
      <w:pPr>
        <w:pStyle w:val="Textodecomentrio"/>
        <w:jc w:val="both"/>
        <w:rPr>
          <w:rFonts w:ascii="Garamond" w:hAnsi="Garamond"/>
          <w:lang w:val="pt-PT"/>
        </w:rPr>
      </w:pPr>
      <w:r w:rsidRPr="003366D4">
        <w:rPr>
          <w:rStyle w:val="Refdenotaderodap"/>
          <w:rFonts w:ascii="Garamond" w:hAnsi="Garamond"/>
        </w:rPr>
        <w:footnoteRef/>
      </w:r>
      <w:r w:rsidRPr="003366D4">
        <w:rPr>
          <w:rFonts w:ascii="Garamond" w:hAnsi="Garamond"/>
          <w:lang w:val="pt-PT"/>
        </w:rPr>
        <w:t xml:space="preserve"> Divulgação de informações sobre o </w:t>
      </w:r>
      <w:r w:rsidRPr="003366D4">
        <w:rPr>
          <w:rFonts w:ascii="Garamond" w:hAnsi="Garamond"/>
          <w:b/>
          <w:bCs/>
          <w:lang w:val="pt-PT"/>
        </w:rPr>
        <w:t>andamento do processo</w:t>
      </w:r>
      <w:r w:rsidRPr="003366D4">
        <w:rPr>
          <w:rFonts w:ascii="Garamond" w:hAnsi="Garamond"/>
          <w:lang w:val="pt-PT"/>
        </w:rPr>
        <w:t xml:space="preserve"> e não sobre o </w:t>
      </w:r>
      <w:r w:rsidRPr="003366D4">
        <w:rPr>
          <w:rFonts w:ascii="Garamond" w:hAnsi="Garamond"/>
          <w:b/>
          <w:bCs/>
          <w:lang w:val="pt-PT"/>
        </w:rPr>
        <w:t>seu conteúdo</w:t>
      </w:r>
      <w:r w:rsidRPr="003366D4">
        <w:rPr>
          <w:rFonts w:ascii="Garamond" w:hAnsi="Garamond"/>
          <w:lang w:val="pt-PT"/>
        </w:rPr>
        <w:t xml:space="preserve"> </w:t>
      </w:r>
    </w:p>
  </w:footnote>
  <w:footnote w:id="66">
    <w:p w14:paraId="4CE0C925" w14:textId="77777777" w:rsidR="009F122A" w:rsidRPr="003366D4" w:rsidRDefault="009F122A" w:rsidP="00541FA6">
      <w:pPr>
        <w:pStyle w:val="Textodenotaderodap"/>
        <w:jc w:val="both"/>
        <w:rPr>
          <w:rFonts w:ascii="Garamond" w:eastAsia="Times New Roman" w:hAnsi="Garamond" w:cs="Calibri"/>
          <w:color w:val="000000"/>
        </w:rPr>
      </w:pPr>
      <w:r w:rsidRPr="003366D4">
        <w:rPr>
          <w:rStyle w:val="Refdenotaderodap"/>
          <w:rFonts w:ascii="Garamond" w:hAnsi="Garamond"/>
        </w:rPr>
        <w:footnoteRef/>
      </w:r>
      <w:r w:rsidRPr="003366D4">
        <w:rPr>
          <w:rFonts w:ascii="Garamond" w:eastAsia="Times New Roman" w:hAnsi="Garamond" w:cs="Calibri"/>
          <w:color w:val="000000"/>
        </w:rPr>
        <w:t xml:space="preserve"> Dados da Polícia Nacional referentes aos anos de 2012 a 2017 indicam que 92,8% das ocorrências de crimes de abuso sexual contra crianças e adolescentes tiveram como vítimas meninas</w:t>
      </w:r>
    </w:p>
  </w:footnote>
  <w:footnote w:id="67">
    <w:p w14:paraId="66916D47" w14:textId="77777777" w:rsidR="009F122A" w:rsidRPr="003366D4" w:rsidRDefault="009F122A" w:rsidP="00541FA6">
      <w:pPr>
        <w:pStyle w:val="Textodenotaderodap"/>
        <w:jc w:val="both"/>
        <w:rPr>
          <w:rFonts w:ascii="Garamond" w:eastAsia="Times New Roman" w:hAnsi="Garamond" w:cs="Calibri"/>
          <w:color w:val="000000"/>
        </w:rPr>
      </w:pPr>
      <w:r w:rsidRPr="003366D4">
        <w:rPr>
          <w:rStyle w:val="Refdenotaderodap"/>
          <w:rFonts w:ascii="Garamond" w:hAnsi="Garamond"/>
        </w:rPr>
        <w:footnoteRef/>
      </w:r>
      <w:r w:rsidRPr="003366D4">
        <w:rPr>
          <w:rFonts w:ascii="Garamond" w:hAnsi="Garamond"/>
        </w:rPr>
        <w:t xml:space="preserve"> Na</w:t>
      </w:r>
      <w:r w:rsidRPr="003366D4">
        <w:rPr>
          <w:rFonts w:ascii="Garamond" w:eastAsia="Times New Roman" w:hAnsi="Garamond" w:cs="Calibri"/>
          <w:color w:val="000000"/>
        </w:rPr>
        <w:t>lguns casos, a pessoa encarcerada está em prisão preventiva (15,3% do efectivo prisional)</w:t>
      </w:r>
    </w:p>
  </w:footnote>
  <w:footnote w:id="68">
    <w:p w14:paraId="741A18A7" w14:textId="77777777" w:rsidR="009F122A" w:rsidRPr="003366D4" w:rsidRDefault="009F122A" w:rsidP="00541FA6">
      <w:pPr>
        <w:pStyle w:val="Textodenotaderodap"/>
        <w:jc w:val="both"/>
        <w:rPr>
          <w:rFonts w:ascii="Garamond" w:hAnsi="Garamond"/>
        </w:rPr>
      </w:pPr>
      <w:r w:rsidRPr="003366D4">
        <w:rPr>
          <w:rStyle w:val="Refdenotaderodap"/>
          <w:rFonts w:ascii="Garamond" w:hAnsi="Garamond"/>
        </w:rPr>
        <w:footnoteRef/>
      </w:r>
      <w:r w:rsidRPr="003366D4">
        <w:rPr>
          <w:rFonts w:ascii="Garamond" w:hAnsi="Garamond"/>
        </w:rPr>
        <w:t xml:space="preserve"> </w:t>
      </w:r>
      <w:r w:rsidRPr="003366D4">
        <w:rPr>
          <w:rFonts w:ascii="Garamond" w:eastAsia="Times New Roman" w:hAnsi="Garamond" w:cs="Calibri"/>
          <w:color w:val="000000"/>
        </w:rPr>
        <w:t>Abuso sexual de menores (14-16 anos), abuso sexual de crianças (&lt;14 anos), agressão sexual com penetração</w:t>
      </w:r>
    </w:p>
  </w:footnote>
  <w:footnote w:id="69">
    <w:p w14:paraId="2830B309" w14:textId="77777777" w:rsidR="009F122A" w:rsidRPr="00541FA6" w:rsidRDefault="009F122A" w:rsidP="00541FA6">
      <w:pPr>
        <w:pStyle w:val="NormalWeb"/>
        <w:shd w:val="clear" w:color="auto" w:fill="FFFFFF"/>
        <w:spacing w:before="0" w:beforeAutospacing="0" w:after="0" w:afterAutospacing="0"/>
        <w:jc w:val="both"/>
        <w:rPr>
          <w:rFonts w:ascii="Garamond" w:hAnsi="Garamond" w:cs="Arial"/>
          <w:color w:val="222222"/>
          <w:sz w:val="20"/>
          <w:szCs w:val="20"/>
          <w:lang w:val="pt-PT"/>
        </w:rPr>
      </w:pPr>
      <w:r w:rsidRPr="003366D4">
        <w:rPr>
          <w:rStyle w:val="Refdenotaderodap"/>
          <w:rFonts w:ascii="Garamond" w:hAnsi="Garamond"/>
        </w:rPr>
        <w:footnoteRef/>
      </w:r>
      <w:r w:rsidRPr="00541FA6">
        <w:rPr>
          <w:rFonts w:ascii="Garamond" w:hAnsi="Garamond"/>
          <w:sz w:val="20"/>
          <w:szCs w:val="20"/>
          <w:lang w:val="pt-PT"/>
        </w:rPr>
        <w:t xml:space="preserve"> </w:t>
      </w:r>
      <w:proofErr w:type="spellStart"/>
      <w:r w:rsidRPr="00541FA6">
        <w:rPr>
          <w:rFonts w:ascii="Garamond" w:hAnsi="Garamond"/>
          <w:sz w:val="20"/>
          <w:szCs w:val="20"/>
          <w:lang w:val="pt-PT"/>
        </w:rPr>
        <w:t>Adotou-se</w:t>
      </w:r>
      <w:proofErr w:type="spellEnd"/>
      <w:r w:rsidRPr="00541FA6">
        <w:rPr>
          <w:rFonts w:ascii="Garamond" w:hAnsi="Garamond"/>
          <w:sz w:val="20"/>
          <w:szCs w:val="20"/>
          <w:lang w:val="pt-PT"/>
        </w:rPr>
        <w:t xml:space="preserve"> a distinção do Observatório de Género da </w:t>
      </w:r>
      <w:proofErr w:type="spellStart"/>
      <w:r w:rsidRPr="00541FA6">
        <w:rPr>
          <w:rFonts w:ascii="Garamond" w:hAnsi="Garamond"/>
          <w:sz w:val="20"/>
          <w:szCs w:val="20"/>
          <w:lang w:val="pt-PT"/>
        </w:rPr>
        <w:t>CEPAL</w:t>
      </w:r>
      <w:proofErr w:type="spellEnd"/>
      <w:r w:rsidRPr="00541FA6">
        <w:rPr>
          <w:rFonts w:ascii="Garamond" w:hAnsi="Garamond"/>
          <w:sz w:val="20"/>
          <w:szCs w:val="20"/>
          <w:lang w:val="pt-PT"/>
        </w:rPr>
        <w:t xml:space="preserve"> entre </w:t>
      </w:r>
      <w:proofErr w:type="spellStart"/>
      <w:r w:rsidRPr="00541FA6">
        <w:rPr>
          <w:rFonts w:ascii="Garamond" w:hAnsi="Garamond"/>
          <w:sz w:val="20"/>
          <w:szCs w:val="20"/>
          <w:lang w:val="pt-PT"/>
        </w:rPr>
        <w:t>femicído</w:t>
      </w:r>
      <w:proofErr w:type="spellEnd"/>
      <w:r w:rsidRPr="00541FA6">
        <w:rPr>
          <w:rFonts w:ascii="Garamond" w:hAnsi="Garamond"/>
          <w:sz w:val="20"/>
          <w:szCs w:val="20"/>
          <w:lang w:val="pt-PT"/>
        </w:rPr>
        <w:t>/</w:t>
      </w:r>
      <w:proofErr w:type="spellStart"/>
      <w:r w:rsidRPr="00541FA6">
        <w:rPr>
          <w:rFonts w:ascii="Garamond" w:hAnsi="Garamond"/>
          <w:sz w:val="20"/>
          <w:szCs w:val="20"/>
          <w:lang w:val="pt-PT"/>
        </w:rPr>
        <w:t>feminicídio</w:t>
      </w:r>
      <w:proofErr w:type="spellEnd"/>
      <w:r w:rsidRPr="00541FA6">
        <w:rPr>
          <w:rFonts w:ascii="Garamond" w:hAnsi="Garamond"/>
          <w:sz w:val="20"/>
          <w:szCs w:val="20"/>
          <w:lang w:val="pt-PT"/>
        </w:rPr>
        <w:t xml:space="preserve"> (homicídios de mulheres em razão do género) e homicídio de mulheres </w:t>
      </w:r>
      <w:proofErr w:type="spellStart"/>
      <w:r w:rsidRPr="00541FA6">
        <w:rPr>
          <w:rFonts w:ascii="Garamond" w:hAnsi="Garamond"/>
          <w:sz w:val="20"/>
          <w:szCs w:val="20"/>
          <w:lang w:val="pt-PT"/>
        </w:rPr>
        <w:t>pelo</w:t>
      </w:r>
      <w:proofErr w:type="spellEnd"/>
      <w:r w:rsidRPr="00541FA6">
        <w:rPr>
          <w:rFonts w:ascii="Garamond" w:hAnsi="Garamond"/>
          <w:sz w:val="20"/>
          <w:szCs w:val="20"/>
          <w:lang w:val="pt-PT"/>
        </w:rPr>
        <w:t xml:space="preserve"> companheiro ou ex-companheiro: </w:t>
      </w:r>
      <w:hyperlink r:id="rId3" w:history="1">
        <w:r w:rsidRPr="00541FA6">
          <w:rPr>
            <w:rStyle w:val="Hiperligao"/>
            <w:rFonts w:ascii="Garamond" w:hAnsi="Garamond"/>
            <w:sz w:val="20"/>
            <w:szCs w:val="20"/>
            <w:lang w:val="pt-PT"/>
          </w:rPr>
          <w:t>https://oig.cepal.org/es/autonomias/autonomia-fisica</w:t>
        </w:r>
      </w:hyperlink>
      <w:r w:rsidRPr="00541FA6">
        <w:rPr>
          <w:rFonts w:ascii="Garamond" w:hAnsi="Garamond"/>
          <w:sz w:val="20"/>
          <w:szCs w:val="20"/>
          <w:lang w:val="pt-PT"/>
        </w:rPr>
        <w:t xml:space="preserve"> Ex. </w:t>
      </w:r>
      <w:r w:rsidRPr="00541FA6">
        <w:rPr>
          <w:rFonts w:ascii="Garamond" w:hAnsi="Garamond" w:cs="Arial"/>
          <w:color w:val="222222"/>
          <w:sz w:val="20"/>
          <w:szCs w:val="20"/>
          <w:lang w:val="pt-PT"/>
        </w:rPr>
        <w:t xml:space="preserve">Massacre de Montreal, que deu origem à Rede Laço Branco no Canada: assassinato de 14 mulheres estudantes de Engenharia, tendo </w:t>
      </w:r>
      <w:proofErr w:type="spellStart"/>
      <w:r w:rsidRPr="00541FA6">
        <w:rPr>
          <w:rFonts w:ascii="Garamond" w:hAnsi="Garamond" w:cs="Arial"/>
          <w:color w:val="222222"/>
          <w:sz w:val="20"/>
          <w:szCs w:val="20"/>
          <w:lang w:val="pt-PT"/>
        </w:rPr>
        <w:t>Marc</w:t>
      </w:r>
      <w:proofErr w:type="spellEnd"/>
      <w:r w:rsidRPr="00541FA6">
        <w:rPr>
          <w:rFonts w:ascii="Garamond" w:hAnsi="Garamond" w:cs="Arial"/>
          <w:color w:val="222222"/>
          <w:sz w:val="20"/>
          <w:szCs w:val="20"/>
          <w:lang w:val="pt-PT"/>
        </w:rPr>
        <w:t xml:space="preserve"> Lépine separado as e os estudantes, mandado sair os homens, abrindo fogo sobre as estudantes para “lutar contra o feminismo”, suicidando-se no fim (ex. de </w:t>
      </w:r>
      <w:proofErr w:type="spellStart"/>
      <w:r w:rsidRPr="00541FA6">
        <w:rPr>
          <w:rFonts w:ascii="Garamond" w:hAnsi="Garamond" w:cs="Arial"/>
          <w:color w:val="222222"/>
          <w:sz w:val="20"/>
          <w:szCs w:val="20"/>
          <w:lang w:val="pt-PT"/>
        </w:rPr>
        <w:t>femicídio</w:t>
      </w:r>
      <w:proofErr w:type="spellEnd"/>
      <w:r w:rsidRPr="00541FA6">
        <w:rPr>
          <w:rFonts w:ascii="Garamond" w:hAnsi="Garamond" w:cs="Arial"/>
          <w:color w:val="222222"/>
          <w:sz w:val="20"/>
          <w:szCs w:val="20"/>
          <w:lang w:val="pt-PT"/>
        </w:rPr>
        <w:t xml:space="preserve"> que não é homicídio da mulher </w:t>
      </w:r>
      <w:proofErr w:type="spellStart"/>
      <w:r w:rsidRPr="00541FA6">
        <w:rPr>
          <w:rFonts w:ascii="Garamond" w:hAnsi="Garamond" w:cs="Arial"/>
          <w:color w:val="222222"/>
          <w:sz w:val="20"/>
          <w:szCs w:val="20"/>
          <w:lang w:val="pt-PT"/>
        </w:rPr>
        <w:t>pelo</w:t>
      </w:r>
      <w:proofErr w:type="spellEnd"/>
      <w:r w:rsidRPr="00541FA6">
        <w:rPr>
          <w:rFonts w:ascii="Garamond" w:hAnsi="Garamond" w:cs="Arial"/>
          <w:color w:val="222222"/>
          <w:sz w:val="20"/>
          <w:szCs w:val="20"/>
          <w:lang w:val="pt-PT"/>
        </w:rPr>
        <w:t xml:space="preserve"> companheiro/</w:t>
      </w:r>
      <w:proofErr w:type="spellStart"/>
      <w:r w:rsidRPr="00541FA6">
        <w:rPr>
          <w:rFonts w:ascii="Garamond" w:hAnsi="Garamond" w:cs="Arial"/>
          <w:color w:val="222222"/>
          <w:sz w:val="20"/>
          <w:szCs w:val="20"/>
          <w:lang w:val="pt-PT"/>
        </w:rPr>
        <w:t>ex</w:t>
      </w:r>
      <w:proofErr w:type="spellEnd"/>
      <w:r w:rsidRPr="00541FA6">
        <w:rPr>
          <w:rFonts w:ascii="Garamond" w:hAnsi="Garamond" w:cs="Arial"/>
          <w:color w:val="222222"/>
          <w:sz w:val="20"/>
          <w:szCs w:val="20"/>
          <w:lang w:val="pt-PT"/>
        </w:rPr>
        <w:t>- companheiro).</w:t>
      </w:r>
    </w:p>
  </w:footnote>
  <w:footnote w:id="70">
    <w:p w14:paraId="6F511730" w14:textId="77777777" w:rsidR="009F122A" w:rsidRPr="003366D4" w:rsidRDefault="009F122A" w:rsidP="00541FA6">
      <w:pPr>
        <w:pStyle w:val="Textodenotaderodap"/>
        <w:rPr>
          <w:rFonts w:ascii="Garamond" w:hAnsi="Garamond"/>
        </w:rPr>
      </w:pPr>
      <w:r w:rsidRPr="003366D4">
        <w:rPr>
          <w:rStyle w:val="Refdenotaderodap"/>
          <w:rFonts w:ascii="Garamond" w:hAnsi="Garamond"/>
        </w:rPr>
        <w:footnoteRef/>
      </w:r>
      <w:r w:rsidRPr="003366D4">
        <w:rPr>
          <w:rFonts w:ascii="Garamond" w:hAnsi="Garamond"/>
        </w:rPr>
        <w:t xml:space="preserve"> Estes casos, </w:t>
      </w:r>
      <w:proofErr w:type="spellStart"/>
      <w:r w:rsidRPr="003366D4">
        <w:rPr>
          <w:rFonts w:ascii="Garamond" w:hAnsi="Garamond"/>
        </w:rPr>
        <w:t>pela</w:t>
      </w:r>
      <w:proofErr w:type="spellEnd"/>
      <w:r w:rsidRPr="003366D4">
        <w:rPr>
          <w:rFonts w:ascii="Garamond" w:hAnsi="Garamond"/>
        </w:rPr>
        <w:t xml:space="preserve"> sua natureza chocante, são noticiados </w:t>
      </w:r>
      <w:proofErr w:type="spellStart"/>
      <w:r w:rsidRPr="003366D4">
        <w:rPr>
          <w:rFonts w:ascii="Garamond" w:hAnsi="Garamond"/>
        </w:rPr>
        <w:t>pela</w:t>
      </w:r>
      <w:proofErr w:type="spellEnd"/>
      <w:r w:rsidRPr="003366D4">
        <w:rPr>
          <w:rFonts w:ascii="Garamond" w:hAnsi="Garamond"/>
        </w:rPr>
        <w:t xml:space="preserve"> comunicação social. Por outro lado, não devem ser confundidos com assassinatos de mulheres, que podem ou não estar associados a situação de </w:t>
      </w:r>
      <w:proofErr w:type="spellStart"/>
      <w:r w:rsidRPr="003366D4">
        <w:rPr>
          <w:rFonts w:ascii="Garamond" w:hAnsi="Garamond"/>
        </w:rPr>
        <w:t>VBG</w:t>
      </w:r>
      <w:proofErr w:type="spellEnd"/>
    </w:p>
  </w:footnote>
  <w:footnote w:id="71">
    <w:p w14:paraId="14F3921D" w14:textId="77777777" w:rsidR="009F122A" w:rsidRPr="003366D4" w:rsidRDefault="009F122A" w:rsidP="00541FA6">
      <w:pPr>
        <w:pStyle w:val="Textodenotaderodap"/>
        <w:rPr>
          <w:rFonts w:ascii="Garamond" w:hAnsi="Garamond"/>
          <w:color w:val="FF0000"/>
        </w:rPr>
      </w:pPr>
      <w:r w:rsidRPr="003366D4">
        <w:rPr>
          <w:rStyle w:val="Refdenotaderodap"/>
          <w:rFonts w:ascii="Garamond" w:hAnsi="Garamond"/>
        </w:rPr>
        <w:footnoteRef/>
      </w:r>
      <w:r w:rsidRPr="003366D4">
        <w:rPr>
          <w:rFonts w:ascii="Garamond" w:hAnsi="Garamond"/>
        </w:rPr>
        <w:t xml:space="preserve"> </w:t>
      </w:r>
      <w:r w:rsidRPr="003366D4">
        <w:rPr>
          <w:rFonts w:ascii="Garamond" w:hAnsi="Garamond"/>
          <w:color w:val="FF0000"/>
        </w:rPr>
        <w:t>Relatório sombra ONG + referencias</w:t>
      </w:r>
    </w:p>
  </w:footnote>
  <w:footnote w:id="72">
    <w:p w14:paraId="5F3917CF" w14:textId="77777777" w:rsidR="009F122A" w:rsidRPr="003366D4" w:rsidRDefault="009F122A" w:rsidP="00541FA6">
      <w:pPr>
        <w:pStyle w:val="Textodenotaderodap"/>
        <w:rPr>
          <w:rFonts w:ascii="Garamond" w:hAnsi="Garamond"/>
        </w:rPr>
      </w:pPr>
      <w:r w:rsidRPr="003366D4">
        <w:rPr>
          <w:rStyle w:val="Refdenotaderodap"/>
          <w:rFonts w:ascii="Garamond" w:hAnsi="Garamond"/>
        </w:rPr>
        <w:footnoteRef/>
      </w:r>
      <w:r w:rsidRPr="003366D4">
        <w:rPr>
          <w:rFonts w:ascii="Garamond" w:hAnsi="Garamond"/>
        </w:rPr>
        <w:t xml:space="preserve"> Lei nº 52/IX/2019, de 10 de </w:t>
      </w:r>
      <w:proofErr w:type="spellStart"/>
      <w:r w:rsidRPr="003366D4">
        <w:rPr>
          <w:rFonts w:ascii="Garamond" w:hAnsi="Garamond"/>
        </w:rPr>
        <w:t>abril</w:t>
      </w:r>
      <w:proofErr w:type="spellEnd"/>
    </w:p>
  </w:footnote>
  <w:footnote w:id="73">
    <w:p w14:paraId="2C533FA9" w14:textId="77777777" w:rsidR="009F122A" w:rsidRPr="003366D4" w:rsidRDefault="009F122A" w:rsidP="00541FA6">
      <w:pPr>
        <w:pStyle w:val="Textodenotaderodap"/>
        <w:rPr>
          <w:rFonts w:ascii="Garamond" w:hAnsi="Garamond"/>
        </w:rPr>
      </w:pPr>
      <w:r w:rsidRPr="003366D4">
        <w:rPr>
          <w:rStyle w:val="Refdenotaderodap"/>
          <w:rFonts w:ascii="Garamond" w:hAnsi="Garamond"/>
        </w:rPr>
        <w:footnoteRef/>
      </w:r>
      <w:r w:rsidRPr="003366D4">
        <w:rPr>
          <w:rFonts w:ascii="Garamond" w:hAnsi="Garamond"/>
        </w:rPr>
        <w:t xml:space="preserve"> Ambos referente a um ano civil, enquanto os dados das Procuradorias se referem a um ano judicial </w:t>
      </w:r>
    </w:p>
  </w:footnote>
  <w:footnote w:id="74">
    <w:p w14:paraId="10BDF99C" w14:textId="77777777" w:rsidR="009F122A" w:rsidRPr="001C50C8" w:rsidRDefault="009F122A" w:rsidP="00541FA6">
      <w:pPr>
        <w:pStyle w:val="Textodenotaderodap"/>
        <w:jc w:val="both"/>
        <w:rPr>
          <w:rFonts w:ascii="Garamond" w:hAnsi="Garamond"/>
        </w:rPr>
      </w:pPr>
      <w:r w:rsidRPr="001C50C8">
        <w:rPr>
          <w:rStyle w:val="Refdenotaderodap"/>
        </w:rPr>
        <w:footnoteRef/>
      </w:r>
      <w:r w:rsidRPr="001C50C8">
        <w:t xml:space="preserve"> </w:t>
      </w:r>
      <w:r w:rsidRPr="001C50C8">
        <w:rPr>
          <w:rFonts w:ascii="Garamond" w:hAnsi="Garamond"/>
        </w:rPr>
        <w:t xml:space="preserve">Serviço de informação jurídica, sendo as pessoas que necessitem de patrocínio judiciário para acesso à justiça encaminhadas à </w:t>
      </w:r>
      <w:proofErr w:type="spellStart"/>
      <w:r w:rsidRPr="001C50C8">
        <w:rPr>
          <w:rFonts w:ascii="Garamond" w:hAnsi="Garamond"/>
        </w:rPr>
        <w:t>OACV</w:t>
      </w:r>
      <w:proofErr w:type="spellEnd"/>
    </w:p>
  </w:footnote>
  <w:footnote w:id="75">
    <w:p w14:paraId="631D8686" w14:textId="77777777" w:rsidR="009F122A" w:rsidRPr="001C50C8" w:rsidRDefault="009F122A" w:rsidP="00541FA6">
      <w:pPr>
        <w:pStyle w:val="Textodenotaderodap"/>
        <w:jc w:val="both"/>
      </w:pPr>
      <w:r w:rsidRPr="001C50C8">
        <w:rPr>
          <w:rStyle w:val="Refdenotaderodap"/>
        </w:rPr>
        <w:footnoteRef/>
      </w:r>
      <w:r w:rsidRPr="001C50C8">
        <w:t xml:space="preserve"> </w:t>
      </w:r>
      <w:r w:rsidRPr="001C50C8">
        <w:rPr>
          <w:rFonts w:ascii="Garamond" w:hAnsi="Garamond"/>
        </w:rPr>
        <w:t xml:space="preserve">No </w:t>
      </w:r>
      <w:r w:rsidRPr="001C50C8">
        <w:rPr>
          <w:rFonts w:ascii="Garamond" w:hAnsi="Garamond"/>
          <w:i/>
          <w:iCs/>
        </w:rPr>
        <w:t>Manual de Procedimento das Casas do Direito</w:t>
      </w:r>
      <w:r w:rsidRPr="001C50C8">
        <w:rPr>
          <w:rFonts w:ascii="Garamond" w:hAnsi="Garamond"/>
        </w:rPr>
        <w:t xml:space="preserve">, cuja segunda parte trata dos procedimentos dos </w:t>
      </w:r>
      <w:proofErr w:type="spellStart"/>
      <w:r w:rsidRPr="001C50C8">
        <w:rPr>
          <w:rFonts w:ascii="Garamond" w:hAnsi="Garamond"/>
        </w:rPr>
        <w:t>CAV</w:t>
      </w:r>
      <w:proofErr w:type="spellEnd"/>
    </w:p>
  </w:footnote>
  <w:footnote w:id="76">
    <w:p w14:paraId="7EBEAD00" w14:textId="77777777" w:rsidR="009F122A" w:rsidRPr="001C50C8" w:rsidRDefault="009F122A" w:rsidP="00541FA6">
      <w:pPr>
        <w:pStyle w:val="Textodenotaderodap"/>
        <w:jc w:val="both"/>
      </w:pPr>
      <w:r w:rsidRPr="001C50C8">
        <w:rPr>
          <w:rStyle w:val="Refdenotaderodap"/>
        </w:rPr>
        <w:footnoteRef/>
      </w:r>
      <w:r w:rsidRPr="001C50C8">
        <w:t xml:space="preserve"> </w:t>
      </w:r>
      <w:r w:rsidRPr="001C50C8">
        <w:rPr>
          <w:rFonts w:ascii="Garamond" w:hAnsi="Garamond"/>
          <w:sz w:val="24"/>
          <w:szCs w:val="24"/>
        </w:rPr>
        <w:t xml:space="preserve"> </w:t>
      </w:r>
      <w:r w:rsidRPr="001C50C8">
        <w:rPr>
          <w:rFonts w:ascii="Garamond" w:hAnsi="Garamond"/>
        </w:rPr>
        <w:t xml:space="preserve">Ou seja, quem recebe uma vez e meia vencimento mínimo da função pública é presumido como beneficiário </w:t>
      </w:r>
      <w:proofErr w:type="spellStart"/>
      <w:r w:rsidRPr="001C50C8">
        <w:rPr>
          <w:rFonts w:ascii="Garamond" w:hAnsi="Garamond"/>
        </w:rPr>
        <w:t>direto</w:t>
      </w:r>
      <w:proofErr w:type="spellEnd"/>
      <w:r w:rsidRPr="001C50C8">
        <w:rPr>
          <w:rFonts w:ascii="Garamond" w:hAnsi="Garamond"/>
        </w:rPr>
        <w:t xml:space="preserve"> da assistência/benefício (calculado tendo em conta o novo </w:t>
      </w:r>
      <w:proofErr w:type="spellStart"/>
      <w:r w:rsidRPr="001C50C8">
        <w:rPr>
          <w:rFonts w:ascii="Garamond" w:hAnsi="Garamond"/>
        </w:rPr>
        <w:t>PCCS</w:t>
      </w:r>
      <w:proofErr w:type="spellEnd"/>
      <w:r w:rsidRPr="001C50C8">
        <w:rPr>
          <w:rFonts w:ascii="Garamond" w:hAnsi="Garamond"/>
        </w:rPr>
        <w:t xml:space="preserve">: 15.000 </w:t>
      </w:r>
      <w:proofErr w:type="spellStart"/>
      <w:r w:rsidRPr="001C50C8">
        <w:rPr>
          <w:rFonts w:ascii="Garamond" w:hAnsi="Garamond"/>
        </w:rPr>
        <w:t>ECV</w:t>
      </w:r>
      <w:proofErr w:type="spellEnd"/>
      <w:r w:rsidRPr="001C50C8">
        <w:rPr>
          <w:rFonts w:ascii="Garamond" w:hAnsi="Garamond"/>
        </w:rPr>
        <w:t>)</w:t>
      </w:r>
    </w:p>
  </w:footnote>
  <w:footnote w:id="77">
    <w:p w14:paraId="73FFCF89" w14:textId="77777777" w:rsidR="009F122A" w:rsidRPr="006278D6" w:rsidRDefault="009F122A" w:rsidP="00541FA6">
      <w:pPr>
        <w:pStyle w:val="Textodecomentrio"/>
        <w:jc w:val="both"/>
        <w:rPr>
          <w:rFonts w:ascii="Garamond" w:hAnsi="Garamond"/>
          <w:lang w:val="pt-PT"/>
        </w:rPr>
      </w:pPr>
      <w:r>
        <w:rPr>
          <w:rStyle w:val="Refdenotaderodap"/>
        </w:rPr>
        <w:footnoteRef/>
      </w:r>
      <w:r w:rsidRPr="006278D6">
        <w:rPr>
          <w:lang w:val="pt-PT"/>
        </w:rPr>
        <w:t xml:space="preserve"> </w:t>
      </w:r>
      <w:r>
        <w:rPr>
          <w:rFonts w:ascii="Garamond" w:hAnsi="Garamond"/>
          <w:lang w:val="pt-PT"/>
        </w:rPr>
        <w:t>Qualquer pessoa, pode</w:t>
      </w:r>
      <w:r w:rsidRPr="006278D6">
        <w:rPr>
          <w:rFonts w:ascii="Garamond" w:hAnsi="Garamond"/>
          <w:lang w:val="pt-PT"/>
        </w:rPr>
        <w:t xml:space="preserve"> requerer que a sua situação económica seja apreciada </w:t>
      </w:r>
      <w:proofErr w:type="spellStart"/>
      <w:r w:rsidRPr="006278D6">
        <w:rPr>
          <w:rFonts w:ascii="Garamond" w:hAnsi="Garamond"/>
          <w:lang w:val="pt-PT"/>
        </w:rPr>
        <w:t>pelo</w:t>
      </w:r>
      <w:proofErr w:type="spellEnd"/>
      <w:r w:rsidRPr="006278D6">
        <w:rPr>
          <w:rFonts w:ascii="Garamond" w:hAnsi="Garamond"/>
          <w:lang w:val="pt-PT"/>
        </w:rPr>
        <w:t xml:space="preserve"> </w:t>
      </w:r>
      <w:proofErr w:type="spellStart"/>
      <w:r>
        <w:rPr>
          <w:rFonts w:ascii="Garamond" w:hAnsi="Garamond"/>
          <w:lang w:val="pt-PT"/>
        </w:rPr>
        <w:t>J</w:t>
      </w:r>
      <w:r w:rsidRPr="006278D6">
        <w:rPr>
          <w:rFonts w:ascii="Garamond" w:hAnsi="Garamond"/>
          <w:lang w:val="pt-PT"/>
        </w:rPr>
        <w:t>uíz</w:t>
      </w:r>
      <w:proofErr w:type="spellEnd"/>
      <w:r w:rsidRPr="006278D6">
        <w:rPr>
          <w:rFonts w:ascii="Garamond" w:hAnsi="Garamond"/>
          <w:lang w:val="pt-PT"/>
        </w:rPr>
        <w:t xml:space="preserve">, </w:t>
      </w:r>
      <w:r>
        <w:rPr>
          <w:rFonts w:ascii="Garamond" w:hAnsi="Garamond"/>
          <w:lang w:val="pt-PT"/>
        </w:rPr>
        <w:t xml:space="preserve">mesmo que </w:t>
      </w:r>
      <w:r w:rsidRPr="006278D6">
        <w:rPr>
          <w:rFonts w:ascii="Garamond" w:hAnsi="Garamond"/>
          <w:lang w:val="pt-PT"/>
        </w:rPr>
        <w:t>não se</w:t>
      </w:r>
      <w:r>
        <w:rPr>
          <w:rFonts w:ascii="Garamond" w:hAnsi="Garamond"/>
          <w:lang w:val="pt-PT"/>
        </w:rPr>
        <w:t xml:space="preserve">ja </w:t>
      </w:r>
      <w:r w:rsidRPr="006278D6">
        <w:rPr>
          <w:rFonts w:ascii="Garamond" w:hAnsi="Garamond"/>
          <w:lang w:val="pt-PT"/>
        </w:rPr>
        <w:t>presumida a insuficiência económica</w:t>
      </w:r>
      <w:r>
        <w:rPr>
          <w:rFonts w:ascii="Garamond" w:hAnsi="Garamond"/>
          <w:lang w:val="pt-PT"/>
        </w:rPr>
        <w:t>, mas t</w:t>
      </w:r>
      <w:r w:rsidRPr="006278D6">
        <w:rPr>
          <w:rFonts w:ascii="Garamond" w:hAnsi="Garamond"/>
          <w:lang w:val="pt-PT"/>
        </w:rPr>
        <w:t xml:space="preserve">erão </w:t>
      </w:r>
      <w:proofErr w:type="gramStart"/>
      <w:r w:rsidRPr="006278D6">
        <w:rPr>
          <w:rFonts w:ascii="Garamond" w:hAnsi="Garamond"/>
          <w:lang w:val="pt-PT"/>
        </w:rPr>
        <w:t>que</w:t>
      </w:r>
      <w:proofErr w:type="gramEnd"/>
      <w:r w:rsidRPr="006278D6">
        <w:rPr>
          <w:rFonts w:ascii="Garamond" w:hAnsi="Garamond"/>
          <w:lang w:val="pt-PT"/>
        </w:rPr>
        <w:t xml:space="preserve"> provar a insuficiência. </w:t>
      </w:r>
      <w:r>
        <w:rPr>
          <w:rFonts w:ascii="Garamond" w:hAnsi="Garamond"/>
          <w:lang w:val="pt-PT"/>
        </w:rPr>
        <w:t xml:space="preserve">Caso </w:t>
      </w:r>
      <w:r w:rsidRPr="006278D6">
        <w:rPr>
          <w:rFonts w:ascii="Garamond" w:hAnsi="Garamond"/>
          <w:lang w:val="pt-PT"/>
        </w:rPr>
        <w:t>o Juiz neg</w:t>
      </w:r>
      <w:r>
        <w:rPr>
          <w:rFonts w:ascii="Garamond" w:hAnsi="Garamond"/>
          <w:lang w:val="pt-PT"/>
        </w:rPr>
        <w:t>ue</w:t>
      </w:r>
      <w:r w:rsidRPr="006278D6">
        <w:rPr>
          <w:rFonts w:ascii="Garamond" w:hAnsi="Garamond"/>
          <w:lang w:val="pt-PT"/>
        </w:rPr>
        <w:t xml:space="preserve"> o pedido</w:t>
      </w:r>
      <w:r>
        <w:rPr>
          <w:rFonts w:ascii="Garamond" w:hAnsi="Garamond"/>
          <w:lang w:val="pt-PT"/>
        </w:rPr>
        <w:t>,</w:t>
      </w:r>
      <w:r w:rsidRPr="006278D6">
        <w:rPr>
          <w:rFonts w:ascii="Garamond" w:hAnsi="Garamond"/>
          <w:lang w:val="pt-PT"/>
        </w:rPr>
        <w:t xml:space="preserve"> ter</w:t>
      </w:r>
      <w:r>
        <w:rPr>
          <w:rFonts w:ascii="Garamond" w:hAnsi="Garamond"/>
          <w:lang w:val="pt-PT"/>
        </w:rPr>
        <w:t>á</w:t>
      </w:r>
      <w:r w:rsidRPr="006278D6">
        <w:rPr>
          <w:rFonts w:ascii="Garamond" w:hAnsi="Garamond"/>
          <w:lang w:val="pt-PT"/>
        </w:rPr>
        <w:t xml:space="preserve"> </w:t>
      </w:r>
      <w:proofErr w:type="gramStart"/>
      <w:r>
        <w:rPr>
          <w:rFonts w:ascii="Garamond" w:hAnsi="Garamond"/>
          <w:lang w:val="pt-PT"/>
        </w:rPr>
        <w:t xml:space="preserve">de </w:t>
      </w:r>
      <w:r w:rsidRPr="006278D6">
        <w:rPr>
          <w:rFonts w:ascii="Garamond" w:hAnsi="Garamond"/>
          <w:lang w:val="pt-PT"/>
        </w:rPr>
        <w:t xml:space="preserve"> pagar</w:t>
      </w:r>
      <w:proofErr w:type="gramEnd"/>
      <w:r w:rsidRPr="006278D6">
        <w:rPr>
          <w:rFonts w:ascii="Garamond" w:hAnsi="Garamond"/>
          <w:lang w:val="pt-PT"/>
        </w:rPr>
        <w:t xml:space="preserve"> as custas </w:t>
      </w:r>
      <w:r>
        <w:rPr>
          <w:rFonts w:ascii="Garamond" w:hAnsi="Garamond"/>
          <w:lang w:val="pt-PT"/>
        </w:rPr>
        <w:t>do</w:t>
      </w:r>
      <w:r w:rsidRPr="006278D6">
        <w:rPr>
          <w:rFonts w:ascii="Garamond" w:hAnsi="Garamond"/>
          <w:lang w:val="pt-PT"/>
        </w:rPr>
        <w:t xml:space="preserve"> pedido</w:t>
      </w:r>
      <w:r>
        <w:rPr>
          <w:rFonts w:ascii="Garamond" w:hAnsi="Garamond"/>
          <w:lang w:val="pt-PT"/>
        </w:rPr>
        <w:t xml:space="preserve"> (cerca de </w:t>
      </w:r>
      <w:r w:rsidRPr="006278D6">
        <w:rPr>
          <w:rFonts w:ascii="Garamond" w:hAnsi="Garamond"/>
          <w:lang w:val="pt-PT"/>
        </w:rPr>
        <w:t>7</w:t>
      </w:r>
      <w:r>
        <w:rPr>
          <w:rFonts w:ascii="Garamond" w:hAnsi="Garamond"/>
          <w:lang w:val="pt-PT"/>
        </w:rPr>
        <w:t>.</w:t>
      </w:r>
      <w:r w:rsidRPr="006278D6">
        <w:rPr>
          <w:rFonts w:ascii="Garamond" w:hAnsi="Garamond"/>
          <w:lang w:val="pt-PT"/>
        </w:rPr>
        <w:t>000</w:t>
      </w:r>
      <w:r>
        <w:rPr>
          <w:rFonts w:ascii="Garamond" w:hAnsi="Garamond"/>
          <w:lang w:val="pt-PT"/>
        </w:rPr>
        <w:t xml:space="preserve"> </w:t>
      </w:r>
      <w:proofErr w:type="spellStart"/>
      <w:r>
        <w:rPr>
          <w:rFonts w:ascii="Garamond" w:hAnsi="Garamond"/>
          <w:lang w:val="pt-PT"/>
        </w:rPr>
        <w:t>ECV</w:t>
      </w:r>
      <w:proofErr w:type="spellEnd"/>
      <w:r>
        <w:rPr>
          <w:rFonts w:ascii="Garamond" w:hAnsi="Garamond"/>
          <w:lang w:val="pt-PT"/>
        </w:rPr>
        <w:t xml:space="preserve">), além das </w:t>
      </w:r>
      <w:r w:rsidRPr="006278D6">
        <w:rPr>
          <w:rFonts w:ascii="Garamond" w:hAnsi="Garamond"/>
          <w:lang w:val="pt-PT"/>
        </w:rPr>
        <w:t>despesas</w:t>
      </w:r>
      <w:r>
        <w:rPr>
          <w:rFonts w:ascii="Garamond" w:hAnsi="Garamond"/>
          <w:lang w:val="pt-PT"/>
        </w:rPr>
        <w:t xml:space="preserve"> com </w:t>
      </w:r>
      <w:r w:rsidRPr="008C495C">
        <w:rPr>
          <w:rFonts w:ascii="Garamond" w:hAnsi="Garamond"/>
          <w:color w:val="7030A0"/>
          <w:lang w:val="pt-PT"/>
        </w:rPr>
        <w:t>honorários de advogado</w:t>
      </w:r>
      <w:r>
        <w:rPr>
          <w:rFonts w:ascii="Garamond" w:hAnsi="Garamond"/>
          <w:color w:val="7030A0"/>
          <w:lang w:val="pt-PT"/>
        </w:rPr>
        <w:t>(a)</w:t>
      </w:r>
      <w:r w:rsidRPr="006278D6">
        <w:rPr>
          <w:rFonts w:ascii="Garamond" w:hAnsi="Garamond"/>
          <w:lang w:val="pt-PT"/>
        </w:rPr>
        <w:t xml:space="preserve">. </w:t>
      </w:r>
    </w:p>
  </w:footnote>
  <w:footnote w:id="78">
    <w:p w14:paraId="37C9A265" w14:textId="77777777" w:rsidR="009F122A" w:rsidRPr="006278D6" w:rsidRDefault="009F122A" w:rsidP="00541FA6">
      <w:pPr>
        <w:pStyle w:val="Textodenotaderodap"/>
        <w:rPr>
          <w:rFonts w:ascii="Garamond" w:hAnsi="Garamond"/>
        </w:rPr>
      </w:pPr>
      <w:r>
        <w:rPr>
          <w:rStyle w:val="Refdenotaderodap"/>
        </w:rPr>
        <w:footnoteRef/>
      </w:r>
      <w:r>
        <w:t xml:space="preserve"> </w:t>
      </w:r>
      <w:r w:rsidRPr="006278D6">
        <w:rPr>
          <w:rFonts w:ascii="Garamond" w:hAnsi="Garamond"/>
        </w:rPr>
        <w:t xml:space="preserve">Decreto Lei nº 8/2015, de 27 de </w:t>
      </w:r>
      <w:proofErr w:type="spellStart"/>
      <w:r w:rsidRPr="006278D6">
        <w:rPr>
          <w:rFonts w:ascii="Garamond" w:hAnsi="Garamond"/>
        </w:rPr>
        <w:t>janeiro</w:t>
      </w:r>
      <w:proofErr w:type="spellEnd"/>
      <w:r w:rsidRPr="006278D6">
        <w:rPr>
          <w:rFonts w:ascii="Garamond" w:hAnsi="Garamond"/>
        </w:rPr>
        <w:t xml:space="preserve">. </w:t>
      </w:r>
    </w:p>
  </w:footnote>
  <w:footnote w:id="79">
    <w:p w14:paraId="4D67DE9F" w14:textId="77777777" w:rsidR="009F122A" w:rsidRPr="00705EA1" w:rsidRDefault="009F122A" w:rsidP="00541FA6">
      <w:pPr>
        <w:pStyle w:val="Textodenotaderodap"/>
        <w:jc w:val="both"/>
        <w:rPr>
          <w:rFonts w:ascii="Garamond" w:hAnsi="Garamond"/>
        </w:rPr>
      </w:pPr>
      <w:r>
        <w:rPr>
          <w:rStyle w:val="Refdenotaderodap"/>
        </w:rPr>
        <w:footnoteRef/>
      </w:r>
      <w:r>
        <w:t xml:space="preserve"> </w:t>
      </w:r>
      <w:r w:rsidRPr="00705EA1">
        <w:rPr>
          <w:rFonts w:ascii="Garamond" w:hAnsi="Garamond"/>
        </w:rPr>
        <w:t xml:space="preserve">Como acima referenciado no ponto sobre </w:t>
      </w:r>
      <w:proofErr w:type="spellStart"/>
      <w:r w:rsidRPr="00705EA1">
        <w:rPr>
          <w:rFonts w:ascii="Garamond" w:hAnsi="Garamond"/>
        </w:rPr>
        <w:t>femicídio</w:t>
      </w:r>
      <w:proofErr w:type="spellEnd"/>
      <w:r w:rsidRPr="00705EA1">
        <w:rPr>
          <w:rFonts w:ascii="Garamond" w:hAnsi="Garamond"/>
        </w:rPr>
        <w:t xml:space="preserve">, não sendo, contudo, essa a única circunstância de ligação entre comportamentos de </w:t>
      </w:r>
      <w:proofErr w:type="spellStart"/>
      <w:r w:rsidRPr="00705EA1">
        <w:rPr>
          <w:rFonts w:ascii="Garamond" w:hAnsi="Garamond"/>
        </w:rPr>
        <w:t>VBG</w:t>
      </w:r>
      <w:proofErr w:type="spellEnd"/>
      <w:r w:rsidRPr="00705EA1">
        <w:rPr>
          <w:rFonts w:ascii="Garamond" w:hAnsi="Garamond"/>
        </w:rPr>
        <w:t xml:space="preserve"> e suicídio do autor de violência</w:t>
      </w:r>
    </w:p>
  </w:footnote>
  <w:footnote w:id="80">
    <w:p w14:paraId="24D4631D" w14:textId="77777777" w:rsidR="009F122A" w:rsidRDefault="009F122A" w:rsidP="00541FA6">
      <w:pPr>
        <w:pStyle w:val="Textodenotaderodap"/>
        <w:jc w:val="both"/>
      </w:pPr>
      <w:r>
        <w:rPr>
          <w:rStyle w:val="Refdenotaderodap"/>
        </w:rPr>
        <w:footnoteRef/>
      </w:r>
      <w:r>
        <w:t xml:space="preserve"> </w:t>
      </w:r>
      <w:r>
        <w:rPr>
          <w:rFonts w:ascii="Garamond" w:hAnsi="Garamond"/>
        </w:rPr>
        <w:t xml:space="preserve">Resolução nº97/2015 (1 Outubro), prevê que o valor correspondente a 50% do montante das custas judiciais aplicáveis nos processos tramitados nos termos da Lei </w:t>
      </w:r>
      <w:proofErr w:type="spellStart"/>
      <w:r>
        <w:rPr>
          <w:rFonts w:ascii="Garamond" w:hAnsi="Garamond"/>
        </w:rPr>
        <w:t>VBG</w:t>
      </w:r>
      <w:proofErr w:type="spellEnd"/>
      <w:r>
        <w:rPr>
          <w:rFonts w:ascii="Garamond" w:hAnsi="Garamond"/>
        </w:rPr>
        <w:t xml:space="preserve"> seja transmitido ao Fundo; e o valor correspondente a 15% das receitas geradas </w:t>
      </w:r>
      <w:proofErr w:type="spellStart"/>
      <w:r>
        <w:rPr>
          <w:rFonts w:ascii="Garamond" w:hAnsi="Garamond"/>
        </w:rPr>
        <w:t>pela</w:t>
      </w:r>
      <w:proofErr w:type="spellEnd"/>
      <w:r>
        <w:rPr>
          <w:rFonts w:ascii="Garamond" w:hAnsi="Garamond"/>
        </w:rPr>
        <w:t xml:space="preserve"> administração de bens móveis nos termos da Lei nº18/VIII/2012 (13 </w:t>
      </w:r>
      <w:proofErr w:type="spellStart"/>
      <w:r>
        <w:rPr>
          <w:rFonts w:ascii="Garamond" w:hAnsi="Garamond"/>
        </w:rPr>
        <w:t>setembro</w:t>
      </w:r>
      <w:proofErr w:type="spellEnd"/>
      <w:r>
        <w:rPr>
          <w:rFonts w:ascii="Garamond" w:hAnsi="Garamond"/>
        </w:rPr>
        <w:t>).</w:t>
      </w:r>
    </w:p>
  </w:footnote>
  <w:footnote w:id="81">
    <w:p w14:paraId="02EB11DA" w14:textId="77777777" w:rsidR="009F122A" w:rsidRPr="00494931" w:rsidRDefault="009F122A" w:rsidP="00541FA6">
      <w:pPr>
        <w:pStyle w:val="Textodenotaderodap"/>
        <w:rPr>
          <w:rFonts w:ascii="Garamond" w:hAnsi="Garamond"/>
          <w:color w:val="FF0000"/>
        </w:rPr>
      </w:pPr>
      <w:r>
        <w:rPr>
          <w:rStyle w:val="Refdenotaderodap"/>
        </w:rPr>
        <w:footnoteRef/>
      </w:r>
      <w:r>
        <w:t xml:space="preserve"> </w:t>
      </w:r>
      <w:r w:rsidRPr="00494931">
        <w:rPr>
          <w:rFonts w:ascii="Garamond" w:hAnsi="Garamond"/>
        </w:rPr>
        <w:t xml:space="preserve">Parágrafo 22 (a) </w:t>
      </w:r>
      <w:r w:rsidRPr="00EA2A76">
        <w:rPr>
          <w:rFonts w:ascii="Garamond" w:hAnsi="Garamond"/>
          <w:color w:val="FF0000"/>
          <w:highlight w:val="yellow"/>
        </w:rPr>
        <w:t>das Recomendações (anexo)</w:t>
      </w:r>
    </w:p>
  </w:footnote>
  <w:footnote w:id="82">
    <w:p w14:paraId="0F188229" w14:textId="77777777" w:rsidR="009F122A" w:rsidRDefault="009F122A" w:rsidP="00541FA6">
      <w:pPr>
        <w:pStyle w:val="Textodenotaderodap"/>
        <w:jc w:val="both"/>
      </w:pPr>
      <w:r w:rsidRPr="00AD30F7">
        <w:rPr>
          <w:rStyle w:val="Refdenotaderodap"/>
        </w:rPr>
        <w:footnoteRef/>
      </w:r>
      <w:r w:rsidRPr="001F6C62">
        <w:rPr>
          <w:rFonts w:ascii="Garamond" w:hAnsi="Garamond"/>
        </w:rPr>
        <w:t xml:space="preserve"> </w:t>
      </w:r>
      <w:r w:rsidRPr="00D87EE7">
        <w:rPr>
          <w:rFonts w:ascii="Garamond" w:hAnsi="Garamond"/>
        </w:rPr>
        <w:t>Em 2019 estão em curso 4 grupos reflexivos: 2 na Praia (</w:t>
      </w:r>
      <w:r>
        <w:rPr>
          <w:rFonts w:ascii="Garamond" w:hAnsi="Garamond"/>
        </w:rPr>
        <w:t>1</w:t>
      </w:r>
      <w:r w:rsidRPr="00D87EE7">
        <w:rPr>
          <w:rFonts w:ascii="Garamond" w:hAnsi="Garamond"/>
        </w:rPr>
        <w:t xml:space="preserve"> deles na Cadeia), 1 em S</w:t>
      </w:r>
      <w:r>
        <w:rPr>
          <w:rFonts w:ascii="Garamond" w:hAnsi="Garamond"/>
        </w:rPr>
        <w:t xml:space="preserve">. </w:t>
      </w:r>
      <w:r w:rsidRPr="00D87EE7">
        <w:rPr>
          <w:rFonts w:ascii="Garamond" w:hAnsi="Garamond"/>
        </w:rPr>
        <w:t>Vicente, 1 em S</w:t>
      </w:r>
      <w:r>
        <w:rPr>
          <w:rFonts w:ascii="Garamond" w:hAnsi="Garamond"/>
        </w:rPr>
        <w:t>to.</w:t>
      </w:r>
      <w:r w:rsidRPr="00D87EE7">
        <w:rPr>
          <w:rFonts w:ascii="Garamond" w:hAnsi="Garamond"/>
        </w:rPr>
        <w:t xml:space="preserve"> Antão</w:t>
      </w:r>
    </w:p>
  </w:footnote>
  <w:footnote w:id="83">
    <w:p w14:paraId="19AD3346" w14:textId="77777777" w:rsidR="009F122A" w:rsidRPr="00F500FB" w:rsidRDefault="009F122A" w:rsidP="005E6AB0">
      <w:pPr>
        <w:pStyle w:val="Textodenotaderodap"/>
        <w:jc w:val="both"/>
      </w:pPr>
      <w:r>
        <w:rPr>
          <w:rStyle w:val="Refdenotaderodap"/>
        </w:rPr>
        <w:footnoteRef/>
      </w:r>
      <w:r w:rsidRPr="00017C85">
        <w:t xml:space="preserve"> </w:t>
      </w:r>
      <w:r w:rsidRPr="00F500FB">
        <w:rPr>
          <w:rFonts w:ascii="Garamond" w:hAnsi="Garamond"/>
        </w:rPr>
        <w:t xml:space="preserve">Ao ter em conta o critério da paridade na designação de cargos de </w:t>
      </w:r>
      <w:proofErr w:type="spellStart"/>
      <w:r w:rsidRPr="00F500FB">
        <w:rPr>
          <w:rFonts w:ascii="Garamond" w:hAnsi="Garamond"/>
        </w:rPr>
        <w:t>direção</w:t>
      </w:r>
      <w:proofErr w:type="spellEnd"/>
      <w:r w:rsidRPr="00F500FB">
        <w:rPr>
          <w:rFonts w:ascii="Garamond" w:hAnsi="Garamond"/>
        </w:rPr>
        <w:t xml:space="preserve"> a nível local, alcançou-se a paridade nos cargos de Delegado(a) da Educação – passando de 18,2% em 2014 a 45,5% em 2017, e nos Polos Educativos – na ordem dos 40%.</w:t>
      </w:r>
    </w:p>
  </w:footnote>
  <w:footnote w:id="84">
    <w:p w14:paraId="2494BC07" w14:textId="77777777" w:rsidR="009F122A" w:rsidRPr="00826484" w:rsidRDefault="009F122A" w:rsidP="005E6AB0">
      <w:pPr>
        <w:pStyle w:val="Textodenotaderodap"/>
        <w:jc w:val="both"/>
        <w:rPr>
          <w:rFonts w:ascii="Garamond" w:hAnsi="Garamond"/>
        </w:rPr>
      </w:pPr>
      <w:r>
        <w:rPr>
          <w:rStyle w:val="Refdenotaderodap"/>
        </w:rPr>
        <w:footnoteRef/>
      </w:r>
      <w:r w:rsidRPr="00090A5F">
        <w:t xml:space="preserve"> </w:t>
      </w:r>
      <w:hyperlink r:id="rId4" w:history="1">
        <w:r w:rsidRPr="00826484">
          <w:rPr>
            <w:rFonts w:ascii="Garamond" w:hAnsi="Garamond"/>
          </w:rPr>
          <w:t xml:space="preserve">Decreto-lei nº40/2018, </w:t>
        </w:r>
      </w:hyperlink>
      <w:r w:rsidRPr="00826484">
        <w:rPr>
          <w:rFonts w:ascii="Garamond" w:hAnsi="Garamond"/>
        </w:rPr>
        <w:t xml:space="preserve">20 </w:t>
      </w:r>
      <w:proofErr w:type="spellStart"/>
      <w:r w:rsidRPr="00826484">
        <w:rPr>
          <w:rFonts w:ascii="Garamond" w:hAnsi="Garamond"/>
        </w:rPr>
        <w:t>junho</w:t>
      </w:r>
      <w:proofErr w:type="spellEnd"/>
      <w:r>
        <w:rPr>
          <w:rFonts w:ascii="Garamond" w:hAnsi="Garamond"/>
        </w:rPr>
        <w:t>: o</w:t>
      </w:r>
      <w:r w:rsidRPr="00826484">
        <w:rPr>
          <w:rFonts w:ascii="Garamond" w:hAnsi="Garamond"/>
        </w:rPr>
        <w:t xml:space="preserve"> </w:t>
      </w:r>
      <w:proofErr w:type="spellStart"/>
      <w:r w:rsidRPr="00826484">
        <w:rPr>
          <w:rFonts w:ascii="Garamond" w:hAnsi="Garamond"/>
        </w:rPr>
        <w:t>SIEPC</w:t>
      </w:r>
      <w:proofErr w:type="spellEnd"/>
      <w:r w:rsidRPr="00826484">
        <w:rPr>
          <w:rFonts w:ascii="Garamond" w:eastAsia="Calibri" w:hAnsi="Garamond"/>
        </w:rPr>
        <w:t xml:space="preserve"> é transversal a todos os subsistemas de ensino não superior e</w:t>
      </w:r>
      <w:r w:rsidRPr="00826484">
        <w:rPr>
          <w:rFonts w:ascii="Garamond" w:hAnsi="Garamond"/>
        </w:rPr>
        <w:t xml:space="preserve"> entre outros compete lhe «…</w:t>
      </w:r>
      <w:r w:rsidRPr="00826484">
        <w:rPr>
          <w:rFonts w:ascii="Garamond" w:hAnsi="Garamond"/>
          <w:i/>
        </w:rPr>
        <w:t xml:space="preserve">elaborar, em articulação com outras instituições </w:t>
      </w:r>
      <w:proofErr w:type="spellStart"/>
      <w:r w:rsidRPr="00826484">
        <w:rPr>
          <w:rFonts w:ascii="Garamond" w:hAnsi="Garamond"/>
          <w:i/>
        </w:rPr>
        <w:t>multissetoriais</w:t>
      </w:r>
      <w:proofErr w:type="spellEnd"/>
      <w:r w:rsidRPr="00826484">
        <w:rPr>
          <w:rFonts w:ascii="Garamond" w:hAnsi="Garamond"/>
          <w:i/>
        </w:rPr>
        <w:t>, planos de intervenção para a superação de problemas relacionados com a prevenção da violência, do abandono escolar e promoção da igualdade de género e para intervenção com crianças, adolescentes e jovens em risco</w:t>
      </w:r>
      <w:r w:rsidRPr="00826484">
        <w:rPr>
          <w:rFonts w:ascii="Garamond" w:hAnsi="Garamond"/>
        </w:rPr>
        <w:t>; …</w:t>
      </w:r>
      <w:r w:rsidRPr="00826484">
        <w:rPr>
          <w:rFonts w:ascii="Garamond" w:hAnsi="Garamond"/>
          <w:i/>
        </w:rPr>
        <w:t xml:space="preserve">promover </w:t>
      </w:r>
      <w:proofErr w:type="spellStart"/>
      <w:r w:rsidRPr="00826484">
        <w:rPr>
          <w:rFonts w:ascii="Garamond" w:hAnsi="Garamond"/>
          <w:i/>
        </w:rPr>
        <w:t>ações</w:t>
      </w:r>
      <w:proofErr w:type="spellEnd"/>
      <w:r w:rsidRPr="00826484">
        <w:rPr>
          <w:rFonts w:ascii="Garamond" w:hAnsi="Garamond"/>
          <w:i/>
        </w:rPr>
        <w:t xml:space="preserve"> de capacitação, do pessoal docente e não docente, em prevenção da violência, do abandono escolar, bem assim, da promoção da saúde, sexualidade, da igualdade de género e da segurança escolar.»</w:t>
      </w:r>
      <w:r w:rsidRPr="00826484">
        <w:rPr>
          <w:rFonts w:ascii="Garamond" w:hAnsi="Garamond"/>
        </w:rPr>
        <w:t xml:space="preserve"> </w:t>
      </w:r>
    </w:p>
  </w:footnote>
  <w:footnote w:id="85">
    <w:p w14:paraId="78FE29D6" w14:textId="77777777" w:rsidR="009F122A" w:rsidRPr="00826484" w:rsidRDefault="009F122A" w:rsidP="005E6AB0">
      <w:pPr>
        <w:pStyle w:val="Textodenotaderodap"/>
        <w:jc w:val="both"/>
      </w:pPr>
      <w:r w:rsidRPr="00826484">
        <w:rPr>
          <w:rStyle w:val="Refdenotaderodap"/>
        </w:rPr>
        <w:footnoteRef/>
      </w:r>
      <w:r w:rsidRPr="00AE74AE">
        <w:rPr>
          <w:rStyle w:val="Refdenotaderodap"/>
        </w:rPr>
        <w:t xml:space="preserve"> </w:t>
      </w:r>
      <w:r w:rsidRPr="00826484">
        <w:rPr>
          <w:rFonts w:ascii="Garamond" w:hAnsi="Garamond"/>
        </w:rPr>
        <w:t>1º e 5º anos de escolaridade em 2017/2018; 2º e 6º anos em 2018/2019; 3º e 7º anos em 2019/2020; 4º e 8º anos em 2020/2021.</w:t>
      </w:r>
    </w:p>
  </w:footnote>
  <w:footnote w:id="86">
    <w:p w14:paraId="4997FA04" w14:textId="77777777" w:rsidR="009F122A" w:rsidRPr="000A2678" w:rsidRDefault="009F122A" w:rsidP="005E6AB0">
      <w:pPr>
        <w:pStyle w:val="Textodenotaderodap"/>
        <w:jc w:val="both"/>
        <w:rPr>
          <w:rFonts w:ascii="Garamond" w:hAnsi="Garamond"/>
          <w:sz w:val="24"/>
          <w:szCs w:val="24"/>
        </w:rPr>
      </w:pPr>
      <w:r>
        <w:rPr>
          <w:rStyle w:val="Refdenotaderodap"/>
        </w:rPr>
        <w:footnoteRef/>
      </w:r>
      <w:r w:rsidRPr="000A2678">
        <w:t xml:space="preserve"> </w:t>
      </w:r>
      <w:r w:rsidRPr="00F500FB">
        <w:rPr>
          <w:rFonts w:ascii="Garamond" w:hAnsi="Garamond"/>
        </w:rPr>
        <w:t xml:space="preserve">Decreto-legislativo nº 13/2018, de 7 de </w:t>
      </w:r>
      <w:proofErr w:type="spellStart"/>
      <w:r w:rsidRPr="00F500FB">
        <w:rPr>
          <w:rFonts w:ascii="Garamond" w:hAnsi="Garamond"/>
        </w:rPr>
        <w:t>dezembro</w:t>
      </w:r>
      <w:proofErr w:type="spellEnd"/>
    </w:p>
  </w:footnote>
  <w:footnote w:id="87">
    <w:p w14:paraId="665F4E48" w14:textId="77777777" w:rsidR="009F122A" w:rsidRPr="00826484" w:rsidRDefault="009F122A" w:rsidP="005E6AB0">
      <w:pPr>
        <w:pStyle w:val="Textodenotaderodap"/>
        <w:jc w:val="both"/>
        <w:rPr>
          <w:rFonts w:ascii="Garamond" w:hAnsi="Garamond"/>
        </w:rPr>
      </w:pPr>
      <w:r w:rsidRPr="0028347D">
        <w:rPr>
          <w:rStyle w:val="Refdenotaderodap"/>
          <w:rFonts w:ascii="Garamond" w:hAnsi="Garamond"/>
        </w:rPr>
        <w:footnoteRef/>
      </w:r>
      <w:r w:rsidRPr="0028347D">
        <w:rPr>
          <w:rFonts w:ascii="Garamond" w:hAnsi="Garamond"/>
        </w:rPr>
        <w:t xml:space="preserve"> No caso da formação por exemplo, em 2016 o </w:t>
      </w:r>
      <w:proofErr w:type="spellStart"/>
      <w:r w:rsidRPr="0028347D">
        <w:rPr>
          <w:rFonts w:ascii="Garamond" w:hAnsi="Garamond"/>
        </w:rPr>
        <w:t>CIGEF</w:t>
      </w:r>
      <w:proofErr w:type="spellEnd"/>
      <w:r w:rsidRPr="0028347D">
        <w:rPr>
          <w:rFonts w:ascii="Garamond" w:hAnsi="Garamond"/>
        </w:rPr>
        <w:t xml:space="preserve"> formou estudantes (73), docentes (4) e pessoal administrativo (33) dos 3 polos da Universidade; para 2019, o </w:t>
      </w:r>
      <w:proofErr w:type="spellStart"/>
      <w:r w:rsidRPr="0028347D">
        <w:rPr>
          <w:rFonts w:ascii="Garamond" w:hAnsi="Garamond"/>
        </w:rPr>
        <w:t>CIGEF</w:t>
      </w:r>
      <w:proofErr w:type="spellEnd"/>
      <w:r w:rsidRPr="0028347D">
        <w:rPr>
          <w:rFonts w:ascii="Garamond" w:hAnsi="Garamond"/>
        </w:rPr>
        <w:t xml:space="preserve"> irá ministrar um módulo em igualdade de género (Curso Livre) já com</w:t>
      </w:r>
      <w:r w:rsidRPr="00826484">
        <w:rPr>
          <w:rFonts w:ascii="Garamond" w:hAnsi="Garamond"/>
        </w:rPr>
        <w:t xml:space="preserve"> 70 inscritos, alunos dos cursos de Ciências Sociais e Humanas, Geografia, Engenharia e Ciências Sociais.</w:t>
      </w:r>
    </w:p>
  </w:footnote>
  <w:footnote w:id="88">
    <w:p w14:paraId="714B1065" w14:textId="77777777" w:rsidR="009F122A" w:rsidRPr="00AE74AE" w:rsidRDefault="009F122A" w:rsidP="005E6AB0">
      <w:pPr>
        <w:jc w:val="both"/>
        <w:rPr>
          <w:rFonts w:ascii="Garamond" w:hAnsi="Garamond"/>
          <w:sz w:val="20"/>
          <w:szCs w:val="20"/>
          <w:lang w:val="pt-PT"/>
        </w:rPr>
      </w:pPr>
      <w:r w:rsidRPr="00FA0A27">
        <w:rPr>
          <w:rStyle w:val="Refdenotaderodap"/>
          <w:rFonts w:ascii="Garamond" w:hAnsi="Garamond"/>
        </w:rPr>
        <w:footnoteRef/>
      </w:r>
      <w:r>
        <w:rPr>
          <w:rFonts w:ascii="Garamond" w:hAnsi="Garamond"/>
          <w:sz w:val="20"/>
          <w:szCs w:val="20"/>
          <w:lang w:val="pt-PT"/>
        </w:rPr>
        <w:t xml:space="preserve"> </w:t>
      </w:r>
      <w:r w:rsidRPr="00AE74AE">
        <w:rPr>
          <w:rFonts w:ascii="Garamond" w:eastAsia="Times New Roman" w:hAnsi="Garamond" w:cs="Times New Roman"/>
          <w:sz w:val="20"/>
          <w:szCs w:val="20"/>
          <w:lang w:val="pt-PT"/>
        </w:rPr>
        <w:t xml:space="preserve">Meta 4.4. Até 2030, aumentar substancialmente o </w:t>
      </w:r>
      <w:r>
        <w:rPr>
          <w:rFonts w:ascii="Garamond" w:eastAsia="Times New Roman" w:hAnsi="Garamond" w:cs="Times New Roman"/>
          <w:sz w:val="20"/>
          <w:szCs w:val="20"/>
          <w:lang w:val="pt-PT"/>
        </w:rPr>
        <w:t>nº</w:t>
      </w:r>
      <w:r w:rsidRPr="00AE74AE">
        <w:rPr>
          <w:rFonts w:ascii="Garamond" w:eastAsia="Times New Roman" w:hAnsi="Garamond" w:cs="Times New Roman"/>
          <w:sz w:val="20"/>
          <w:szCs w:val="20"/>
          <w:lang w:val="pt-PT"/>
        </w:rPr>
        <w:t xml:space="preserve"> de jovens e adultos que tenham habilitações relevantes, inclusive competências técnicas e profissionais, para </w:t>
      </w:r>
      <w:r>
        <w:rPr>
          <w:rFonts w:ascii="Garamond" w:eastAsia="Times New Roman" w:hAnsi="Garamond" w:cs="Times New Roman"/>
          <w:sz w:val="20"/>
          <w:szCs w:val="20"/>
          <w:lang w:val="pt-PT"/>
        </w:rPr>
        <w:t xml:space="preserve">o </w:t>
      </w:r>
      <w:r w:rsidRPr="00AE74AE">
        <w:rPr>
          <w:rFonts w:ascii="Garamond" w:eastAsia="Times New Roman" w:hAnsi="Garamond" w:cs="Times New Roman"/>
          <w:sz w:val="20"/>
          <w:szCs w:val="20"/>
          <w:lang w:val="pt-PT"/>
        </w:rPr>
        <w:t>emprego, trabalho decente e empreendedorismo</w:t>
      </w:r>
      <w:r w:rsidRPr="00AE74AE">
        <w:rPr>
          <w:rFonts w:ascii="Garamond" w:hAnsi="Garamond"/>
          <w:sz w:val="20"/>
          <w:szCs w:val="20"/>
          <w:lang w:val="pt-PT"/>
        </w:rPr>
        <w:t>.</w:t>
      </w:r>
    </w:p>
  </w:footnote>
  <w:footnote w:id="89">
    <w:p w14:paraId="67C0F6A3" w14:textId="77777777" w:rsidR="009F122A" w:rsidRPr="00761D5E" w:rsidRDefault="009F122A" w:rsidP="005E6AB0">
      <w:pPr>
        <w:pStyle w:val="Textodenotaderodap"/>
        <w:jc w:val="both"/>
        <w:rPr>
          <w:rFonts w:ascii="Garamond" w:eastAsia="Times New Roman" w:hAnsi="Garamond" w:cs="Times New Roman"/>
          <w:lang w:eastAsia="en-US"/>
        </w:rPr>
      </w:pPr>
      <w:r w:rsidRPr="00761D5E">
        <w:rPr>
          <w:rStyle w:val="Refdenotaderodap"/>
          <w:rFonts w:ascii="Garamond" w:eastAsiaTheme="minorHAnsi" w:hAnsi="Garamond"/>
          <w:lang w:val="en-US" w:eastAsia="en-US"/>
        </w:rPr>
        <w:footnoteRef/>
      </w:r>
      <w:r w:rsidRPr="00CB30D1">
        <w:rPr>
          <w:rStyle w:val="Refdenotaderodap"/>
          <w:rFonts w:ascii="Garamond" w:eastAsiaTheme="minorHAnsi" w:hAnsi="Garamond"/>
          <w:lang w:eastAsia="en-US"/>
        </w:rPr>
        <w:t xml:space="preserve"> </w:t>
      </w:r>
      <w:r w:rsidRPr="00AE74AE">
        <w:rPr>
          <w:rFonts w:ascii="Garamond" w:eastAsia="Times New Roman" w:hAnsi="Garamond" w:cs="Times New Roman"/>
        </w:rPr>
        <w:t>Meta 4.</w:t>
      </w:r>
      <w:r>
        <w:rPr>
          <w:rFonts w:ascii="Garamond" w:eastAsia="Times New Roman" w:hAnsi="Garamond" w:cs="Times New Roman"/>
        </w:rPr>
        <w:t>1</w:t>
      </w:r>
      <w:r w:rsidRPr="00AE74AE">
        <w:rPr>
          <w:rFonts w:ascii="Garamond" w:eastAsia="Times New Roman" w:hAnsi="Garamond" w:cs="Times New Roman"/>
        </w:rPr>
        <w:t xml:space="preserve">. Até 2030, </w:t>
      </w:r>
      <w:r w:rsidRPr="00761D5E">
        <w:rPr>
          <w:rFonts w:ascii="Garamond" w:eastAsia="Times New Roman" w:hAnsi="Garamond" w:cs="Times New Roman"/>
          <w:lang w:eastAsia="en-US"/>
        </w:rPr>
        <w:t>garantir que todas as meninas e meninos completem o ensino primário e secundário livre, equitativo e de qualidade, que conduza a resultados de aprendizagem relevantes e eficazes</w:t>
      </w:r>
    </w:p>
  </w:footnote>
  <w:footnote w:id="90">
    <w:p w14:paraId="70C2C678" w14:textId="77777777" w:rsidR="009F122A" w:rsidRPr="001C50C8" w:rsidRDefault="009F122A" w:rsidP="005E6AB0">
      <w:pPr>
        <w:pStyle w:val="Textodenotaderodap"/>
        <w:rPr>
          <w:rFonts w:ascii="Garamond" w:hAnsi="Garamond"/>
        </w:rPr>
      </w:pPr>
      <w:r w:rsidRPr="001C50C8">
        <w:rPr>
          <w:rStyle w:val="Refdenotaderodap"/>
          <w:rFonts w:ascii="Garamond" w:hAnsi="Garamond"/>
        </w:rPr>
        <w:footnoteRef/>
      </w:r>
      <w:r w:rsidRPr="001C50C8">
        <w:rPr>
          <w:rFonts w:ascii="Garamond" w:hAnsi="Garamond"/>
        </w:rPr>
        <w:t xml:space="preserve"> </w:t>
      </w:r>
      <w:r w:rsidRPr="00D3581C">
        <w:rPr>
          <w:rFonts w:ascii="Garamond" w:hAnsi="Garamond"/>
          <w:color w:val="FF0000"/>
        </w:rPr>
        <w:t xml:space="preserve">XXX Roteiro de Género do </w:t>
      </w:r>
      <w:proofErr w:type="spellStart"/>
      <w:r w:rsidRPr="00D3581C">
        <w:rPr>
          <w:rFonts w:ascii="Garamond" w:hAnsi="Garamond"/>
          <w:color w:val="FF0000"/>
        </w:rPr>
        <w:t>setor</w:t>
      </w:r>
      <w:proofErr w:type="spellEnd"/>
      <w:r w:rsidRPr="00D3581C">
        <w:rPr>
          <w:rFonts w:ascii="Garamond" w:hAnsi="Garamond"/>
          <w:color w:val="FF0000"/>
        </w:rPr>
        <w:t xml:space="preserve"> EFE (2017) p XX</w:t>
      </w:r>
    </w:p>
  </w:footnote>
  <w:footnote w:id="91">
    <w:p w14:paraId="7B44E213" w14:textId="77777777" w:rsidR="009F122A" w:rsidRPr="001C50C8" w:rsidRDefault="009F122A" w:rsidP="005E6AB0">
      <w:pPr>
        <w:pStyle w:val="Textodenotaderodap"/>
      </w:pPr>
      <w:r w:rsidRPr="001C50C8">
        <w:rPr>
          <w:rStyle w:val="Refdenotaderodap"/>
        </w:rPr>
        <w:footnoteRef/>
      </w:r>
      <w:r w:rsidRPr="001C50C8">
        <w:t xml:space="preserve"> </w:t>
      </w:r>
      <w:r w:rsidRPr="006E2EB4">
        <w:rPr>
          <w:rFonts w:ascii="Garamond" w:eastAsiaTheme="minorHAnsi" w:hAnsi="Garamond"/>
          <w:shd w:val="clear" w:color="auto" w:fill="FFFFFF"/>
          <w:lang w:eastAsia="en-US"/>
        </w:rPr>
        <w:t>ME (</w:t>
      </w:r>
      <w:r w:rsidRPr="006E2EB4">
        <w:rPr>
          <w:rFonts w:ascii="Garamond" w:eastAsiaTheme="minorHAnsi" w:hAnsi="Garamond"/>
          <w:color w:val="FF0000"/>
          <w:shd w:val="clear" w:color="auto" w:fill="FFFFFF"/>
          <w:lang w:eastAsia="en-US"/>
        </w:rPr>
        <w:t>XXX</w:t>
      </w:r>
      <w:r w:rsidRPr="006E2EB4">
        <w:rPr>
          <w:rFonts w:ascii="Garamond" w:eastAsiaTheme="minorHAnsi" w:hAnsi="Garamond"/>
          <w:shd w:val="clear" w:color="auto" w:fill="FFFFFF"/>
          <w:lang w:eastAsia="en-US"/>
        </w:rPr>
        <w:t>)</w:t>
      </w:r>
      <w:r>
        <w:t xml:space="preserve"> </w:t>
      </w:r>
      <w:r w:rsidRPr="001C50C8">
        <w:rPr>
          <w:rFonts w:ascii="Garamond" w:hAnsi="Garamond"/>
          <w:i/>
          <w:iCs/>
        </w:rPr>
        <w:t>Principais Indicadores da Educação 2016-2017</w:t>
      </w:r>
    </w:p>
  </w:footnote>
  <w:footnote w:id="92">
    <w:p w14:paraId="1CA1F61B" w14:textId="77777777" w:rsidR="009F122A" w:rsidRPr="001C50C8" w:rsidRDefault="009F122A" w:rsidP="005E6AB0">
      <w:pPr>
        <w:jc w:val="both"/>
        <w:rPr>
          <w:rFonts w:ascii="Garamond" w:hAnsi="Garamond"/>
          <w:sz w:val="20"/>
          <w:szCs w:val="20"/>
          <w:shd w:val="clear" w:color="auto" w:fill="FFFFFF"/>
          <w:lang w:val="pt-PT"/>
        </w:rPr>
      </w:pPr>
      <w:r w:rsidRPr="001C50C8">
        <w:rPr>
          <w:rStyle w:val="Refdenotaderodap"/>
          <w:rFonts w:eastAsiaTheme="minorEastAsia"/>
          <w:lang w:val="pt-PT" w:eastAsia="pt-PT"/>
        </w:rPr>
        <w:footnoteRef/>
      </w:r>
      <w:r w:rsidRPr="001C50C8">
        <w:rPr>
          <w:rStyle w:val="Refdenotaderodap"/>
          <w:rFonts w:eastAsiaTheme="minorEastAsia"/>
          <w:lang w:val="pt-PT" w:eastAsia="pt-PT"/>
        </w:rPr>
        <w:t xml:space="preserve"> </w:t>
      </w:r>
      <w:r w:rsidRPr="001C50C8">
        <w:rPr>
          <w:rFonts w:ascii="Garamond" w:hAnsi="Garamond"/>
          <w:sz w:val="20"/>
          <w:szCs w:val="20"/>
          <w:shd w:val="clear" w:color="auto" w:fill="FFFFFF"/>
          <w:lang w:val="pt-PT"/>
        </w:rPr>
        <w:t xml:space="preserve">No caso de menores de 14 anos, a gravidez é proveniente de crime de abuso sexual de menores, sendo punido </w:t>
      </w:r>
      <w:proofErr w:type="spellStart"/>
      <w:r w:rsidRPr="001C50C8">
        <w:rPr>
          <w:rFonts w:ascii="Garamond" w:hAnsi="Garamond"/>
          <w:sz w:val="20"/>
          <w:szCs w:val="20"/>
          <w:shd w:val="clear" w:color="auto" w:fill="FFFFFF"/>
          <w:lang w:val="pt-PT"/>
        </w:rPr>
        <w:t>pelo</w:t>
      </w:r>
      <w:proofErr w:type="spellEnd"/>
      <w:r w:rsidRPr="001C50C8">
        <w:rPr>
          <w:rFonts w:ascii="Garamond" w:hAnsi="Garamond"/>
          <w:sz w:val="20"/>
          <w:szCs w:val="20"/>
          <w:shd w:val="clear" w:color="auto" w:fill="FFFFFF"/>
          <w:lang w:val="pt-PT"/>
        </w:rPr>
        <w:t xml:space="preserve"> artigo 144º do Código Penal.</w:t>
      </w:r>
    </w:p>
  </w:footnote>
  <w:footnote w:id="93">
    <w:p w14:paraId="0C6B1F63" w14:textId="77777777" w:rsidR="009F122A" w:rsidRPr="00806495" w:rsidRDefault="009F122A" w:rsidP="005E6AB0">
      <w:pPr>
        <w:pStyle w:val="Textodenotaderodap"/>
        <w:rPr>
          <w:rFonts w:ascii="Garamond" w:hAnsi="Garamond"/>
        </w:rPr>
      </w:pPr>
      <w:r w:rsidRPr="00806495">
        <w:rPr>
          <w:rStyle w:val="Refdenotaderodap"/>
          <w:rFonts w:ascii="Garamond" w:hAnsi="Garamond"/>
        </w:rPr>
        <w:footnoteRef/>
      </w:r>
      <w:r w:rsidRPr="00806495">
        <w:rPr>
          <w:rFonts w:ascii="Garamond" w:hAnsi="Garamond"/>
        </w:rPr>
        <w:t xml:space="preserve"> Parágrafo 29 (c) das Recomendações (anexo)</w:t>
      </w:r>
    </w:p>
  </w:footnote>
  <w:footnote w:id="94">
    <w:p w14:paraId="049FC793" w14:textId="77777777" w:rsidR="009F122A" w:rsidRPr="00806495" w:rsidRDefault="009F122A" w:rsidP="005E6AB0">
      <w:pPr>
        <w:pStyle w:val="Textodenotaderodap"/>
        <w:jc w:val="both"/>
        <w:rPr>
          <w:rFonts w:ascii="Garamond" w:hAnsi="Garamond"/>
        </w:rPr>
      </w:pPr>
      <w:r w:rsidRPr="00806495">
        <w:rPr>
          <w:rStyle w:val="Refdenotaderodap"/>
        </w:rPr>
        <w:footnoteRef/>
      </w:r>
      <w:r w:rsidRPr="00806495">
        <w:t xml:space="preserve"> </w:t>
      </w:r>
      <w:proofErr w:type="spellStart"/>
      <w:r w:rsidRPr="00146BCD">
        <w:rPr>
          <w:rFonts w:ascii="Garamond" w:hAnsi="Garamond"/>
        </w:rPr>
        <w:t>UniCV</w:t>
      </w:r>
      <w:proofErr w:type="spellEnd"/>
      <w:r w:rsidRPr="00146BCD">
        <w:rPr>
          <w:rFonts w:ascii="Garamond" w:hAnsi="Garamond"/>
        </w:rPr>
        <w:t xml:space="preserve"> (2018)</w:t>
      </w:r>
      <w:r>
        <w:rPr>
          <w:rFonts w:ascii="Garamond" w:hAnsi="Garamond"/>
        </w:rPr>
        <w:t>: e</w:t>
      </w:r>
      <w:r w:rsidRPr="00806495">
        <w:rPr>
          <w:rFonts w:ascii="Garamond" w:hAnsi="Garamond"/>
        </w:rPr>
        <w:t xml:space="preserve">studo realizado em todas as escolas secundárias públicas e </w:t>
      </w:r>
      <w:proofErr w:type="spellStart"/>
      <w:r w:rsidRPr="00806495">
        <w:rPr>
          <w:rFonts w:ascii="Garamond" w:hAnsi="Garamond"/>
        </w:rPr>
        <w:t>semi</w:t>
      </w:r>
      <w:r>
        <w:rPr>
          <w:rFonts w:ascii="Garamond" w:hAnsi="Garamond"/>
        </w:rPr>
        <w:t>-</w:t>
      </w:r>
      <w:r w:rsidRPr="00806495">
        <w:rPr>
          <w:rFonts w:ascii="Garamond" w:hAnsi="Garamond"/>
        </w:rPr>
        <w:t>públicas</w:t>
      </w:r>
      <w:proofErr w:type="spellEnd"/>
      <w:r w:rsidRPr="00806495">
        <w:rPr>
          <w:rFonts w:ascii="Garamond" w:hAnsi="Garamond"/>
        </w:rPr>
        <w:t xml:space="preserve"> do país (52 escolas), considerando alunos do 7º ao 12º ano e </w:t>
      </w:r>
      <w:proofErr w:type="spellStart"/>
      <w:r w:rsidRPr="00806495">
        <w:rPr>
          <w:rFonts w:ascii="Garamond" w:hAnsi="Garamond"/>
        </w:rPr>
        <w:t>respetiva</w:t>
      </w:r>
      <w:proofErr w:type="spellEnd"/>
      <w:r w:rsidRPr="00806495">
        <w:rPr>
          <w:rFonts w:ascii="Garamond" w:hAnsi="Garamond"/>
        </w:rPr>
        <w:t xml:space="preserve"> comunidade escolar. O 7º e 8º ano fazem parte do ensino básico e o secundário vai do 9º ao 12º ano. Contudo, tendo em conta que em todas as escolas secundárias funcionam 7º e 8º anos e que os alunos são também adolescentes, foram considerados no estudo. </w:t>
      </w:r>
    </w:p>
  </w:footnote>
  <w:footnote w:id="95">
    <w:p w14:paraId="00B80522" w14:textId="77777777" w:rsidR="009F122A" w:rsidRPr="008D0A72" w:rsidRDefault="009F122A" w:rsidP="005E6AB0">
      <w:pPr>
        <w:pStyle w:val="Textodenotaderodap"/>
        <w:rPr>
          <w:rFonts w:ascii="Garamond" w:hAnsi="Garamond"/>
        </w:rPr>
      </w:pPr>
      <w:r w:rsidRPr="008D0A72">
        <w:rPr>
          <w:rStyle w:val="Refdenotaderodap"/>
          <w:rFonts w:ascii="Garamond" w:hAnsi="Garamond"/>
        </w:rPr>
        <w:footnoteRef/>
      </w:r>
      <w:r>
        <w:t xml:space="preserve"> </w:t>
      </w:r>
      <w:r w:rsidRPr="008D0A72">
        <w:rPr>
          <w:rFonts w:ascii="Garamond" w:hAnsi="Garamond"/>
        </w:rPr>
        <w:t>INE (2010) Censo</w:t>
      </w:r>
    </w:p>
  </w:footnote>
  <w:footnote w:id="96">
    <w:p w14:paraId="2EA99BB4" w14:textId="77777777" w:rsidR="009F122A" w:rsidRPr="008D0A72" w:rsidRDefault="009F122A" w:rsidP="005E6AB0">
      <w:pPr>
        <w:pStyle w:val="Textodenotaderodap"/>
        <w:rPr>
          <w:rFonts w:ascii="Garamond" w:hAnsi="Garamond"/>
        </w:rPr>
      </w:pPr>
      <w:r w:rsidRPr="008D0A72">
        <w:rPr>
          <w:rStyle w:val="Refdenotaderodap"/>
          <w:rFonts w:ascii="Garamond" w:hAnsi="Garamond"/>
        </w:rPr>
        <w:footnoteRef/>
      </w:r>
      <w:r>
        <w:t xml:space="preserve"> </w:t>
      </w:r>
      <w:r w:rsidRPr="008D0A72">
        <w:rPr>
          <w:rFonts w:ascii="Garamond" w:hAnsi="Garamond"/>
        </w:rPr>
        <w:t xml:space="preserve">Ver a Portaria nº27/2018, de 8 de </w:t>
      </w:r>
      <w:proofErr w:type="spellStart"/>
      <w:r w:rsidRPr="008D0A72">
        <w:rPr>
          <w:rFonts w:ascii="Garamond" w:hAnsi="Garamond"/>
        </w:rPr>
        <w:t>agosto</w:t>
      </w:r>
      <w:proofErr w:type="spellEnd"/>
    </w:p>
  </w:footnote>
  <w:footnote w:id="97">
    <w:p w14:paraId="1BEC4A6F" w14:textId="77777777" w:rsidR="009F122A" w:rsidRPr="00EC6FF9" w:rsidRDefault="009F122A" w:rsidP="000B1496">
      <w:pPr>
        <w:pStyle w:val="Textodenotaderodap"/>
        <w:jc w:val="both"/>
        <w:rPr>
          <w:rFonts w:ascii="Garamond" w:hAnsi="Garamond" w:cs="Arial"/>
        </w:rPr>
      </w:pPr>
      <w:r w:rsidRPr="00193604">
        <w:rPr>
          <w:rStyle w:val="Refdenotaderodap"/>
          <w:rFonts w:ascii="Garamond" w:hAnsi="Garamond"/>
        </w:rPr>
        <w:footnoteRef/>
      </w:r>
      <w:r w:rsidRPr="00193604">
        <w:rPr>
          <w:rFonts w:ascii="Garamond" w:hAnsi="Garamond"/>
        </w:rPr>
        <w:t xml:space="preserve"> </w:t>
      </w:r>
      <w:r>
        <w:rPr>
          <w:rFonts w:ascii="Garamond" w:hAnsi="Garamond"/>
        </w:rPr>
        <w:t xml:space="preserve">A </w:t>
      </w:r>
      <w:r w:rsidRPr="00EC6FF9">
        <w:rPr>
          <w:rFonts w:ascii="Garamond" w:hAnsi="Garamond" w:cs="Arial"/>
          <w:b/>
          <w:bCs/>
        </w:rPr>
        <w:t>esperança de vida</w:t>
      </w:r>
      <w:r w:rsidRPr="00193604">
        <w:rPr>
          <w:rFonts w:ascii="Garamond" w:hAnsi="Garamond" w:cs="Arial"/>
        </w:rPr>
        <w:t xml:space="preserve"> </w:t>
      </w:r>
      <w:r>
        <w:rPr>
          <w:rFonts w:ascii="Garamond" w:hAnsi="Garamond" w:cs="Arial"/>
        </w:rPr>
        <w:t xml:space="preserve">passou de </w:t>
      </w:r>
      <w:r w:rsidRPr="00193604">
        <w:rPr>
          <w:rFonts w:ascii="Garamond" w:hAnsi="Garamond" w:cs="Arial"/>
        </w:rPr>
        <w:t xml:space="preserve">75 para 79,1 anos entre as mulheres, e de 67 para 69,7 anos entre os homens, </w:t>
      </w:r>
      <w:r>
        <w:rPr>
          <w:rFonts w:ascii="Garamond" w:hAnsi="Garamond" w:cs="Arial"/>
        </w:rPr>
        <w:t>de</w:t>
      </w:r>
      <w:r w:rsidRPr="00193604">
        <w:rPr>
          <w:rFonts w:ascii="Garamond" w:hAnsi="Garamond" w:cs="Arial"/>
        </w:rPr>
        <w:t xml:space="preserve"> 2000 </w:t>
      </w:r>
      <w:r>
        <w:rPr>
          <w:rFonts w:ascii="Garamond" w:hAnsi="Garamond" w:cs="Arial"/>
        </w:rPr>
        <w:t>a</w:t>
      </w:r>
      <w:r w:rsidRPr="00193604">
        <w:rPr>
          <w:rFonts w:ascii="Garamond" w:hAnsi="Garamond" w:cs="Arial"/>
        </w:rPr>
        <w:t xml:space="preserve"> 2010</w:t>
      </w:r>
      <w:r>
        <w:rPr>
          <w:rFonts w:ascii="Garamond" w:hAnsi="Garamond" w:cs="Arial"/>
        </w:rPr>
        <w:t xml:space="preserve">; a </w:t>
      </w:r>
      <w:r w:rsidRPr="00EC6FF9">
        <w:rPr>
          <w:rFonts w:ascii="Garamond" w:hAnsi="Garamond" w:cs="Arial"/>
          <w:b/>
          <w:bCs/>
        </w:rPr>
        <w:t>taxa de mortalidade materna</w:t>
      </w:r>
      <w:r w:rsidRPr="00EC6FF9">
        <w:rPr>
          <w:rFonts w:ascii="Garamond" w:hAnsi="Garamond" w:cs="Arial"/>
        </w:rPr>
        <w:t xml:space="preserve"> </w:t>
      </w:r>
      <w:r>
        <w:rPr>
          <w:rFonts w:ascii="Garamond" w:hAnsi="Garamond" w:cs="Arial"/>
        </w:rPr>
        <w:t>foi em</w:t>
      </w:r>
      <w:r w:rsidRPr="00193604">
        <w:rPr>
          <w:rFonts w:ascii="Garamond" w:hAnsi="Garamond" w:cs="Arial"/>
        </w:rPr>
        <w:t xml:space="preserve"> média </w:t>
      </w:r>
      <w:r>
        <w:rPr>
          <w:rFonts w:ascii="Garamond" w:hAnsi="Garamond" w:cs="Arial"/>
        </w:rPr>
        <w:t xml:space="preserve">de </w:t>
      </w:r>
      <w:r w:rsidRPr="00193604">
        <w:rPr>
          <w:rFonts w:ascii="Garamond" w:hAnsi="Garamond" w:cs="Arial"/>
        </w:rPr>
        <w:t>31,5 por 100.000 de 2010 a 2016</w:t>
      </w:r>
      <w:r>
        <w:rPr>
          <w:rFonts w:ascii="Garamond" w:hAnsi="Garamond" w:cs="Arial"/>
        </w:rPr>
        <w:t xml:space="preserve"> e em 2016 de</w:t>
      </w:r>
      <w:r w:rsidRPr="00193604">
        <w:rPr>
          <w:rFonts w:ascii="Garamond" w:hAnsi="Garamond" w:cs="Arial"/>
        </w:rPr>
        <w:t xml:space="preserve"> 18,8 por 100.000 em 2016</w:t>
      </w:r>
      <w:r>
        <w:rPr>
          <w:rFonts w:ascii="Garamond" w:hAnsi="Garamond" w:cs="Arial"/>
        </w:rPr>
        <w:t xml:space="preserve">; </w:t>
      </w:r>
      <w:r w:rsidRPr="00EC6FF9">
        <w:rPr>
          <w:rFonts w:ascii="Garamond" w:hAnsi="Garamond" w:cs="Arial"/>
        </w:rPr>
        <w:t xml:space="preserve">e </w:t>
      </w:r>
      <w:r>
        <w:rPr>
          <w:rFonts w:ascii="Garamond" w:hAnsi="Garamond" w:cs="Arial"/>
        </w:rPr>
        <w:t xml:space="preserve">a </w:t>
      </w:r>
      <w:r w:rsidRPr="00EC6FF9">
        <w:rPr>
          <w:rFonts w:ascii="Garamond" w:hAnsi="Garamond" w:cs="Arial"/>
          <w:b/>
          <w:bCs/>
        </w:rPr>
        <w:t>taxa de mortalidade infantil</w:t>
      </w:r>
      <w:r>
        <w:rPr>
          <w:rFonts w:ascii="Garamond" w:hAnsi="Garamond" w:cs="Arial"/>
        </w:rPr>
        <w:t xml:space="preserve"> (crianças </w:t>
      </w:r>
      <w:r w:rsidRPr="00193604">
        <w:rPr>
          <w:rFonts w:ascii="Garamond" w:hAnsi="Garamond" w:cs="Arial"/>
        </w:rPr>
        <w:t>menores de 1 ano</w:t>
      </w:r>
      <w:r>
        <w:rPr>
          <w:rFonts w:ascii="Garamond" w:hAnsi="Garamond" w:cs="Arial"/>
        </w:rPr>
        <w:t>)</w:t>
      </w:r>
      <w:r w:rsidRPr="00EC6FF9">
        <w:rPr>
          <w:rFonts w:ascii="Garamond" w:hAnsi="Garamond" w:cs="Arial"/>
        </w:rPr>
        <w:t xml:space="preserve"> </w:t>
      </w:r>
      <w:r w:rsidRPr="00193604">
        <w:rPr>
          <w:rFonts w:ascii="Garamond" w:hAnsi="Garamond" w:cs="Arial"/>
        </w:rPr>
        <w:t xml:space="preserve">desceu </w:t>
      </w:r>
      <w:r>
        <w:rPr>
          <w:rFonts w:ascii="Garamond" w:hAnsi="Garamond" w:cs="Arial"/>
        </w:rPr>
        <w:t xml:space="preserve">de </w:t>
      </w:r>
      <w:r w:rsidRPr="00193604">
        <w:rPr>
          <w:rFonts w:ascii="Garamond" w:hAnsi="Garamond" w:cs="Arial"/>
        </w:rPr>
        <w:t xml:space="preserve">30‰ para 16‰ </w:t>
      </w:r>
      <w:r>
        <w:rPr>
          <w:rFonts w:ascii="Garamond" w:hAnsi="Garamond" w:cs="Arial"/>
        </w:rPr>
        <w:t xml:space="preserve">entre </w:t>
      </w:r>
      <w:r w:rsidRPr="00193604">
        <w:rPr>
          <w:rFonts w:ascii="Garamond" w:hAnsi="Garamond" w:cs="Arial"/>
        </w:rPr>
        <w:t xml:space="preserve">2005 </w:t>
      </w:r>
      <w:r>
        <w:rPr>
          <w:rFonts w:ascii="Garamond" w:hAnsi="Garamond" w:cs="Arial"/>
        </w:rPr>
        <w:t>e</w:t>
      </w:r>
      <w:r w:rsidRPr="00193604">
        <w:rPr>
          <w:rFonts w:ascii="Garamond" w:hAnsi="Garamond" w:cs="Arial"/>
        </w:rPr>
        <w:t xml:space="preserve"> 2018, com impacto na mortalidade das crianças de menos de 5 </w:t>
      </w:r>
      <w:r>
        <w:rPr>
          <w:rFonts w:ascii="Garamond" w:hAnsi="Garamond" w:cs="Arial"/>
        </w:rPr>
        <w:t xml:space="preserve">anos </w:t>
      </w:r>
      <w:r w:rsidRPr="00193604">
        <w:rPr>
          <w:rFonts w:ascii="Garamond" w:hAnsi="Garamond" w:cs="Arial"/>
        </w:rPr>
        <w:t>(33‰ para 18‰)</w:t>
      </w:r>
    </w:p>
  </w:footnote>
  <w:footnote w:id="98">
    <w:p w14:paraId="52F05698" w14:textId="77777777" w:rsidR="009F122A" w:rsidRPr="00B423FF" w:rsidRDefault="009F122A" w:rsidP="000B1496">
      <w:pPr>
        <w:pStyle w:val="Textodenotaderodap"/>
        <w:jc w:val="both"/>
        <w:rPr>
          <w:rFonts w:ascii="Garamond" w:hAnsi="Garamond" w:cs="Arial"/>
        </w:rPr>
      </w:pPr>
      <w:r>
        <w:rPr>
          <w:rStyle w:val="Refdenotaderodap"/>
        </w:rPr>
        <w:footnoteRef/>
      </w:r>
      <w:r w:rsidRPr="00B423FF">
        <w:t xml:space="preserve"> </w:t>
      </w:r>
      <w:r>
        <w:rPr>
          <w:rFonts w:ascii="Garamond" w:hAnsi="Garamond" w:cs="Arial"/>
        </w:rPr>
        <w:t xml:space="preserve">Os homens representam 72% dos óbitos na faixa etária dos </w:t>
      </w:r>
      <w:r w:rsidRPr="00B423FF">
        <w:rPr>
          <w:rFonts w:ascii="Garamond" w:hAnsi="Garamond" w:cs="Arial"/>
        </w:rPr>
        <w:t>15-49</w:t>
      </w:r>
      <w:r>
        <w:rPr>
          <w:rFonts w:ascii="Garamond" w:hAnsi="Garamond" w:cs="Arial"/>
        </w:rPr>
        <w:t xml:space="preserve"> anos e 69% &amp; </w:t>
      </w:r>
      <w:r w:rsidRPr="00B423FF">
        <w:rPr>
          <w:rFonts w:ascii="Garamond" w:hAnsi="Garamond" w:cs="Arial"/>
        </w:rPr>
        <w:t>dos 50-64 anos</w:t>
      </w:r>
    </w:p>
  </w:footnote>
  <w:footnote w:id="99">
    <w:p w14:paraId="6936EFFD" w14:textId="77777777" w:rsidR="009F122A" w:rsidRPr="00193604" w:rsidRDefault="009F122A" w:rsidP="000B1496">
      <w:pPr>
        <w:pStyle w:val="Textodenotaderodap"/>
        <w:jc w:val="both"/>
        <w:rPr>
          <w:rFonts w:ascii="Garamond" w:hAnsi="Garamond"/>
        </w:rPr>
      </w:pPr>
      <w:r w:rsidRPr="00193604">
        <w:rPr>
          <w:rStyle w:val="Refdenotaderodap"/>
          <w:rFonts w:ascii="Garamond" w:hAnsi="Garamond"/>
        </w:rPr>
        <w:footnoteRef/>
      </w:r>
      <w:r w:rsidRPr="00193604">
        <w:rPr>
          <w:rFonts w:ascii="Garamond" w:hAnsi="Garamond"/>
        </w:rPr>
        <w:t xml:space="preserve"> INE (</w:t>
      </w:r>
      <w:r w:rsidRPr="00951B30">
        <w:rPr>
          <w:rFonts w:ascii="Garamond" w:hAnsi="Garamond"/>
          <w:color w:val="FF0000"/>
          <w:highlight w:val="yellow"/>
        </w:rPr>
        <w:t>XXX</w:t>
      </w:r>
      <w:r w:rsidRPr="00193604">
        <w:rPr>
          <w:rFonts w:ascii="Garamond" w:hAnsi="Garamond"/>
        </w:rPr>
        <w:t xml:space="preserve">) População </w:t>
      </w:r>
      <w:r>
        <w:rPr>
          <w:rFonts w:ascii="Garamond" w:hAnsi="Garamond"/>
        </w:rPr>
        <w:t>I</w:t>
      </w:r>
      <w:r w:rsidRPr="00193604">
        <w:rPr>
          <w:rFonts w:ascii="Garamond" w:hAnsi="Garamond"/>
        </w:rPr>
        <w:t>dosa e Envelhecimento: dados do Censo 2010</w:t>
      </w:r>
    </w:p>
  </w:footnote>
  <w:footnote w:id="100">
    <w:p w14:paraId="7BA1B6E4" w14:textId="77777777" w:rsidR="009F122A" w:rsidRPr="0090203D" w:rsidRDefault="009F122A" w:rsidP="000B1496">
      <w:pPr>
        <w:pStyle w:val="Textodenotaderodap"/>
        <w:jc w:val="both"/>
        <w:rPr>
          <w:rFonts w:ascii="Garamond" w:hAnsi="Garamond"/>
        </w:rPr>
      </w:pPr>
      <w:r w:rsidRPr="0090203D">
        <w:rPr>
          <w:rStyle w:val="Refdenotaderodap"/>
          <w:rFonts w:ascii="Garamond" w:hAnsi="Garamond"/>
        </w:rPr>
        <w:footnoteRef/>
      </w:r>
      <w:r w:rsidRPr="0090203D">
        <w:rPr>
          <w:rFonts w:ascii="Garamond" w:hAnsi="Garamond"/>
        </w:rPr>
        <w:t xml:space="preserve"> Meta 3.4 – Até 2030, reduzir em um terço a mortalidade prematura por doenças não transmissíveis por meio de prevenção e tratamento, e promover a saúde mental e o bem-estar</w:t>
      </w:r>
    </w:p>
  </w:footnote>
  <w:footnote w:id="101">
    <w:p w14:paraId="05F23DF2" w14:textId="498B197E" w:rsidR="009F122A" w:rsidRPr="0090203D" w:rsidRDefault="009F122A" w:rsidP="000B1496">
      <w:pPr>
        <w:pStyle w:val="Textodenotaderodap"/>
        <w:jc w:val="both"/>
        <w:rPr>
          <w:rFonts w:ascii="Garamond" w:hAnsi="Garamond"/>
        </w:rPr>
      </w:pPr>
      <w:r w:rsidRPr="0090203D">
        <w:rPr>
          <w:rStyle w:val="Refdenotaderodap"/>
          <w:rFonts w:ascii="Garamond" w:hAnsi="Garamond"/>
        </w:rPr>
        <w:footnoteRef/>
      </w:r>
      <w:r w:rsidRPr="0090203D">
        <w:rPr>
          <w:rFonts w:ascii="Garamond" w:hAnsi="Garamond"/>
        </w:rPr>
        <w:t xml:space="preserve"> Meta 3.5 - Reforçar a prevenção e o tratamento do abuso de substâncias</w:t>
      </w:r>
      <w:r>
        <w:rPr>
          <w:rFonts w:ascii="Garamond" w:hAnsi="Garamond"/>
        </w:rPr>
        <w:t xml:space="preserve"> (</w:t>
      </w:r>
      <w:r w:rsidRPr="0090203D">
        <w:rPr>
          <w:rFonts w:ascii="Garamond" w:hAnsi="Garamond"/>
        </w:rPr>
        <w:t>abuso de drogas</w:t>
      </w:r>
      <w:r>
        <w:rPr>
          <w:rFonts w:ascii="Garamond" w:hAnsi="Garamond"/>
        </w:rPr>
        <w:t>,</w:t>
      </w:r>
      <w:r w:rsidRPr="0090203D">
        <w:rPr>
          <w:rFonts w:ascii="Garamond" w:hAnsi="Garamond"/>
        </w:rPr>
        <w:t xml:space="preserve"> uso nocivo álcool</w:t>
      </w:r>
      <w:r>
        <w:rPr>
          <w:rFonts w:ascii="Garamond" w:hAnsi="Garamond"/>
        </w:rPr>
        <w:t>, etc.)</w:t>
      </w:r>
    </w:p>
  </w:footnote>
  <w:footnote w:id="102">
    <w:p w14:paraId="393F1CCB" w14:textId="77777777" w:rsidR="009F122A" w:rsidRPr="0090203D" w:rsidRDefault="009F122A" w:rsidP="000B1496">
      <w:pPr>
        <w:pStyle w:val="Textodenotaderodap"/>
        <w:jc w:val="both"/>
        <w:rPr>
          <w:rFonts w:ascii="Garamond" w:hAnsi="Garamond"/>
        </w:rPr>
      </w:pPr>
      <w:r w:rsidRPr="0090203D">
        <w:rPr>
          <w:rStyle w:val="Refdenotaderodap"/>
          <w:rFonts w:ascii="Garamond" w:hAnsi="Garamond"/>
        </w:rPr>
        <w:footnoteRef/>
      </w:r>
      <w:r w:rsidRPr="0090203D">
        <w:rPr>
          <w:rFonts w:ascii="Garamond" w:hAnsi="Garamond"/>
        </w:rPr>
        <w:t xml:space="preserve"> Meta 3.6 - Até 2020, reduzir </w:t>
      </w:r>
      <w:proofErr w:type="spellStart"/>
      <w:r w:rsidRPr="0090203D">
        <w:rPr>
          <w:rFonts w:ascii="Garamond" w:hAnsi="Garamond"/>
        </w:rPr>
        <w:t>pela</w:t>
      </w:r>
      <w:proofErr w:type="spellEnd"/>
      <w:r w:rsidRPr="0090203D">
        <w:rPr>
          <w:rFonts w:ascii="Garamond" w:hAnsi="Garamond"/>
        </w:rPr>
        <w:t xml:space="preserve"> metade as mortes e os ferimentos globais por acidentes em estradas</w:t>
      </w:r>
    </w:p>
  </w:footnote>
  <w:footnote w:id="103">
    <w:p w14:paraId="45407435" w14:textId="77777777" w:rsidR="009F122A" w:rsidRPr="0090203D" w:rsidRDefault="009F122A" w:rsidP="000B1496">
      <w:pPr>
        <w:pStyle w:val="Textodenotaderodap"/>
        <w:jc w:val="both"/>
        <w:rPr>
          <w:rFonts w:ascii="Garamond" w:hAnsi="Garamond"/>
        </w:rPr>
      </w:pPr>
      <w:r w:rsidRPr="0090203D">
        <w:rPr>
          <w:rStyle w:val="Refdenotaderodap"/>
          <w:rFonts w:ascii="Garamond" w:hAnsi="Garamond"/>
        </w:rPr>
        <w:footnoteRef/>
      </w:r>
      <w:r w:rsidRPr="0090203D">
        <w:rPr>
          <w:rFonts w:ascii="Garamond" w:hAnsi="Garamond"/>
        </w:rPr>
        <w:t xml:space="preserve"> Calculado com base nos dados do Relatório Estatístico (2017) do MS e na fórmula dos </w:t>
      </w:r>
      <w:proofErr w:type="spellStart"/>
      <w:r w:rsidRPr="0090203D">
        <w:rPr>
          <w:rFonts w:ascii="Garamond" w:hAnsi="Garamond"/>
        </w:rPr>
        <w:t>metadados</w:t>
      </w:r>
      <w:proofErr w:type="spellEnd"/>
      <w:r w:rsidRPr="0090203D">
        <w:rPr>
          <w:rFonts w:ascii="Garamond" w:hAnsi="Garamond"/>
        </w:rPr>
        <w:t xml:space="preserve"> para o indicador 3.4.2 do </w:t>
      </w:r>
      <w:proofErr w:type="spellStart"/>
      <w:r w:rsidRPr="0090203D">
        <w:rPr>
          <w:rFonts w:ascii="Garamond" w:hAnsi="Garamond"/>
        </w:rPr>
        <w:t>ODS</w:t>
      </w:r>
      <w:proofErr w:type="spellEnd"/>
      <w:r w:rsidRPr="0090203D">
        <w:rPr>
          <w:rFonts w:ascii="Garamond" w:hAnsi="Garamond"/>
        </w:rPr>
        <w:t xml:space="preserve"> 4 </w:t>
      </w:r>
      <w:hyperlink r:id="rId5" w:history="1">
        <w:r w:rsidRPr="0090203D">
          <w:rPr>
            <w:rStyle w:val="Hiperligao"/>
            <w:rFonts w:ascii="Garamond" w:hAnsi="Garamond"/>
          </w:rPr>
          <w:t>https://unstats.un.org/sdgs/metadata/files/Metadata-03-04-02.pdf</w:t>
        </w:r>
      </w:hyperlink>
    </w:p>
  </w:footnote>
  <w:footnote w:id="104">
    <w:p w14:paraId="54B6F4A3" w14:textId="77777777" w:rsidR="009F122A" w:rsidRPr="00B21D4A" w:rsidRDefault="009F122A" w:rsidP="000B1496">
      <w:pPr>
        <w:pStyle w:val="Textodenotaderodap"/>
        <w:rPr>
          <w:rFonts w:ascii="Garamond" w:hAnsi="Garamond"/>
        </w:rPr>
      </w:pPr>
      <w:r>
        <w:rPr>
          <w:rStyle w:val="Refdenotaderodap"/>
        </w:rPr>
        <w:footnoteRef/>
      </w:r>
      <w:r w:rsidRPr="00B21D4A">
        <w:t xml:space="preserve"> </w:t>
      </w:r>
      <w:r w:rsidRPr="00B21D4A">
        <w:rPr>
          <w:rFonts w:ascii="Garamond" w:hAnsi="Garamond"/>
        </w:rPr>
        <w:t>Lei nº51/IX/2019, de 8 de Abril</w:t>
      </w:r>
    </w:p>
  </w:footnote>
  <w:footnote w:id="105">
    <w:p w14:paraId="09D3F3D3" w14:textId="77777777" w:rsidR="009F122A" w:rsidRPr="001E21B4" w:rsidRDefault="009F122A" w:rsidP="000B1496">
      <w:pPr>
        <w:pStyle w:val="Textodenotaderodap"/>
        <w:jc w:val="both"/>
      </w:pPr>
      <w:r>
        <w:rPr>
          <w:rStyle w:val="Refdenotaderodap"/>
        </w:rPr>
        <w:footnoteRef/>
      </w:r>
      <w:r w:rsidRPr="001E21B4">
        <w:t xml:space="preserve"> </w:t>
      </w:r>
      <w:r>
        <w:rPr>
          <w:rFonts w:ascii="Garamond" w:hAnsi="Garamond"/>
        </w:rPr>
        <w:t>A t</w:t>
      </w:r>
      <w:r w:rsidRPr="001E21B4">
        <w:rPr>
          <w:rFonts w:ascii="Garamond" w:hAnsi="Garamond"/>
        </w:rPr>
        <w:t>axa de partos realizados nas estruturas de saúde aumentou em 19 pp (78% a 97%), 97% dos quais assistidos por um profissional qualificado; a taxa de consultas pré-natais (4 consultas recomendadas) aumentou em 14 pp (72% a 86%) e em 22 pp para a taxa de mulheres que receberam cuidados pós-natais nos dois dias que seguiram o nascimento (65 % a 87%); a taxa de cobertura vacinal aumentou em 9 pp (74% a 83%); a amamentação materna exclusiva aumentou em 17pp aos 4-5 meses do bebé (28% para 45%).</w:t>
      </w:r>
    </w:p>
  </w:footnote>
  <w:footnote w:id="106">
    <w:p w14:paraId="233D9AA1" w14:textId="77777777" w:rsidR="009F122A" w:rsidRPr="00806495" w:rsidRDefault="009F122A" w:rsidP="000B1496">
      <w:pPr>
        <w:pStyle w:val="Textodenotaderodap"/>
        <w:jc w:val="both"/>
        <w:rPr>
          <w:rFonts w:ascii="Garamond" w:hAnsi="Garamond"/>
        </w:rPr>
      </w:pPr>
      <w:r w:rsidRPr="001E21B4">
        <w:rPr>
          <w:rStyle w:val="Refdenotaderodap"/>
        </w:rPr>
        <w:footnoteRef/>
      </w:r>
      <w:r w:rsidRPr="001E21B4">
        <w:t xml:space="preserve"> </w:t>
      </w:r>
      <w:r w:rsidRPr="00806495">
        <w:rPr>
          <w:rFonts w:ascii="Garamond" w:hAnsi="Garamond"/>
        </w:rPr>
        <w:t>Dados administrativos da Saúde (2017)</w:t>
      </w:r>
    </w:p>
  </w:footnote>
  <w:footnote w:id="107">
    <w:p w14:paraId="0D61D614" w14:textId="53069242" w:rsidR="009F122A" w:rsidRPr="007C75F2" w:rsidRDefault="009F122A" w:rsidP="000B1496">
      <w:pPr>
        <w:pStyle w:val="Textodenotaderodap"/>
        <w:jc w:val="both"/>
      </w:pPr>
      <w:r>
        <w:rPr>
          <w:rStyle w:val="Refdenotaderodap"/>
        </w:rPr>
        <w:footnoteRef/>
      </w:r>
      <w:r w:rsidRPr="007C75F2">
        <w:t xml:space="preserve"> </w:t>
      </w:r>
      <w:r w:rsidRPr="007C75F2">
        <w:rPr>
          <w:rFonts w:ascii="Garamond" w:hAnsi="Garamond"/>
        </w:rPr>
        <w:t xml:space="preserve">Faustino, </w:t>
      </w:r>
      <w:proofErr w:type="spellStart"/>
      <w:r w:rsidRPr="007C75F2">
        <w:rPr>
          <w:rFonts w:ascii="Garamond" w:hAnsi="Garamond"/>
        </w:rPr>
        <w:t>et</w:t>
      </w:r>
      <w:proofErr w:type="spellEnd"/>
      <w:r w:rsidRPr="007C75F2">
        <w:rPr>
          <w:rFonts w:ascii="Garamond" w:hAnsi="Garamond"/>
        </w:rPr>
        <w:t xml:space="preserve"> al. (2005) A saúde e estilos de vida dos adolescentes cabo-verdianos frequentando o ensino secundário</w:t>
      </w:r>
    </w:p>
  </w:footnote>
  <w:footnote w:id="108">
    <w:p w14:paraId="7D5E6A98" w14:textId="77777777" w:rsidR="009F122A" w:rsidRPr="00862878" w:rsidRDefault="009F122A" w:rsidP="000B1496">
      <w:pPr>
        <w:pStyle w:val="Textodenotaderodap"/>
        <w:rPr>
          <w:rFonts w:ascii="Garamond" w:hAnsi="Garamond"/>
        </w:rPr>
      </w:pPr>
      <w:r w:rsidRPr="00862878">
        <w:rPr>
          <w:rStyle w:val="Refdenotaderodap"/>
          <w:rFonts w:ascii="Garamond" w:hAnsi="Garamond"/>
        </w:rPr>
        <w:footnoteRef/>
      </w:r>
      <w:r w:rsidRPr="00862878">
        <w:rPr>
          <w:rFonts w:ascii="Garamond" w:hAnsi="Garamond"/>
        </w:rPr>
        <w:t xml:space="preserve"> Ministério da Saúde</w:t>
      </w:r>
    </w:p>
  </w:footnote>
  <w:footnote w:id="109">
    <w:p w14:paraId="2A2C454D" w14:textId="77777777" w:rsidR="009F122A" w:rsidRPr="00862878" w:rsidRDefault="009F122A" w:rsidP="000B1496">
      <w:pPr>
        <w:pStyle w:val="Textodenotaderodap"/>
        <w:rPr>
          <w:rFonts w:ascii="Garamond" w:hAnsi="Garamond"/>
        </w:rPr>
      </w:pPr>
      <w:r w:rsidRPr="00862878">
        <w:rPr>
          <w:rStyle w:val="Refdenotaderodap"/>
          <w:rFonts w:ascii="Garamond" w:hAnsi="Garamond"/>
        </w:rPr>
        <w:footnoteRef/>
      </w:r>
      <w:r w:rsidRPr="00862878">
        <w:rPr>
          <w:rFonts w:ascii="Garamond" w:hAnsi="Garamond"/>
        </w:rPr>
        <w:t xml:space="preserve"> INE &amp; MS (2018) Resultados preliminares do </w:t>
      </w:r>
      <w:proofErr w:type="spellStart"/>
      <w:r w:rsidRPr="00862878">
        <w:rPr>
          <w:rFonts w:ascii="Garamond" w:hAnsi="Garamond"/>
        </w:rPr>
        <w:t>IDSR</w:t>
      </w:r>
      <w:proofErr w:type="spellEnd"/>
      <w:r w:rsidRPr="00862878">
        <w:rPr>
          <w:rFonts w:ascii="Garamond" w:hAnsi="Garamond"/>
        </w:rPr>
        <w:t xml:space="preserve"> III</w:t>
      </w:r>
    </w:p>
  </w:footnote>
  <w:footnote w:id="110">
    <w:p w14:paraId="7F6B6D04" w14:textId="77777777" w:rsidR="009F122A" w:rsidRPr="002904CB" w:rsidRDefault="009F122A" w:rsidP="000B1496">
      <w:pPr>
        <w:pStyle w:val="Textodenotaderodap"/>
        <w:jc w:val="both"/>
        <w:rPr>
          <w:rFonts w:ascii="Garamond" w:hAnsi="Garamond"/>
        </w:rPr>
      </w:pPr>
      <w:r w:rsidRPr="002904CB">
        <w:rPr>
          <w:rStyle w:val="Refdenotaderodap"/>
          <w:rFonts w:ascii="Garamond" w:hAnsi="Garamond"/>
        </w:rPr>
        <w:footnoteRef/>
      </w:r>
      <w:r w:rsidRPr="002904CB">
        <w:rPr>
          <w:rFonts w:ascii="Garamond" w:hAnsi="Garamond"/>
        </w:rPr>
        <w:t xml:space="preserve"> CCS-SIDA (2017) Estudo sócio comportamental e de sero prevalência VIH em TS</w:t>
      </w:r>
    </w:p>
  </w:footnote>
  <w:footnote w:id="111">
    <w:p w14:paraId="57422EAF" w14:textId="77777777" w:rsidR="009F122A" w:rsidRPr="00825648" w:rsidRDefault="009F122A" w:rsidP="000B1496">
      <w:pPr>
        <w:jc w:val="both"/>
        <w:rPr>
          <w:rFonts w:ascii="Garamond" w:hAnsi="Garamond"/>
          <w:sz w:val="20"/>
          <w:szCs w:val="20"/>
          <w:lang w:val="pt-PT"/>
        </w:rPr>
      </w:pPr>
      <w:r w:rsidRPr="002904CB">
        <w:rPr>
          <w:rStyle w:val="Refdenotaderodap"/>
          <w:rFonts w:ascii="Garamond" w:hAnsi="Garamond"/>
        </w:rPr>
        <w:footnoteRef/>
      </w:r>
      <w:r w:rsidRPr="00825648">
        <w:rPr>
          <w:rFonts w:ascii="Garamond" w:hAnsi="Garamond"/>
          <w:lang w:val="pt-PT"/>
        </w:rPr>
        <w:t xml:space="preserve"> CCS-SIDA (2017) </w:t>
      </w:r>
      <w:r w:rsidRPr="00825648">
        <w:rPr>
          <w:rFonts w:ascii="Garamond" w:hAnsi="Garamond"/>
          <w:sz w:val="20"/>
          <w:szCs w:val="20"/>
          <w:lang w:val="pt-PT"/>
        </w:rPr>
        <w:t>Estudo socio comportamental e de sero prevalência VIH-SIDA em UD</w:t>
      </w:r>
    </w:p>
  </w:footnote>
  <w:footnote w:id="112">
    <w:p w14:paraId="2105CFB6" w14:textId="77777777" w:rsidR="009F122A" w:rsidRPr="005E7617" w:rsidRDefault="009F122A" w:rsidP="000B1496">
      <w:pPr>
        <w:pStyle w:val="Textodenotaderodap"/>
        <w:rPr>
          <w:rFonts w:ascii="Garamond" w:hAnsi="Garamond"/>
        </w:rPr>
      </w:pPr>
      <w:r>
        <w:rPr>
          <w:rStyle w:val="Refdenotaderodap"/>
        </w:rPr>
        <w:footnoteRef/>
      </w:r>
      <w:r w:rsidRPr="005E7617">
        <w:t xml:space="preserve"> </w:t>
      </w:r>
      <w:r w:rsidRPr="002904CB">
        <w:rPr>
          <w:rFonts w:ascii="Garamond" w:hAnsi="Garamond"/>
        </w:rPr>
        <w:t>CCS-SIDA (2017)</w:t>
      </w:r>
      <w:r>
        <w:rPr>
          <w:rFonts w:ascii="Garamond" w:hAnsi="Garamond"/>
        </w:rPr>
        <w:t xml:space="preserve"> </w:t>
      </w:r>
      <w:r w:rsidRPr="005E7617">
        <w:rPr>
          <w:rFonts w:ascii="Garamond" w:hAnsi="Garamond"/>
        </w:rPr>
        <w:t xml:space="preserve">Estudo Socio-comportamental e de </w:t>
      </w:r>
      <w:proofErr w:type="spellStart"/>
      <w:r w:rsidRPr="005E7617">
        <w:rPr>
          <w:rFonts w:ascii="Garamond" w:hAnsi="Garamond"/>
        </w:rPr>
        <w:t>Seroprevalência</w:t>
      </w:r>
      <w:proofErr w:type="spellEnd"/>
      <w:r w:rsidRPr="005E7617">
        <w:rPr>
          <w:rFonts w:ascii="Garamond" w:hAnsi="Garamond"/>
        </w:rPr>
        <w:t xml:space="preserve"> VIH em </w:t>
      </w:r>
      <w:proofErr w:type="spellStart"/>
      <w:r>
        <w:rPr>
          <w:rFonts w:ascii="Garamond" w:hAnsi="Garamond"/>
        </w:rPr>
        <w:t>HSH</w:t>
      </w:r>
      <w:proofErr w:type="spellEnd"/>
    </w:p>
  </w:footnote>
  <w:footnote w:id="113">
    <w:p w14:paraId="76FE2E50" w14:textId="77777777" w:rsidR="009F122A" w:rsidRPr="003702E5" w:rsidRDefault="009F122A" w:rsidP="000B1496">
      <w:pPr>
        <w:pStyle w:val="Textodenotaderodap"/>
        <w:jc w:val="both"/>
        <w:rPr>
          <w:rFonts w:ascii="Garamond" w:hAnsi="Garamond"/>
        </w:rPr>
      </w:pPr>
      <w:r>
        <w:rPr>
          <w:rStyle w:val="Refdenotaderodap"/>
        </w:rPr>
        <w:footnoteRef/>
      </w:r>
      <w:r w:rsidRPr="003702E5">
        <w:t xml:space="preserve"> </w:t>
      </w:r>
      <w:r w:rsidRPr="003702E5">
        <w:rPr>
          <w:rFonts w:ascii="Garamond" w:hAnsi="Garamond"/>
        </w:rPr>
        <w:t>Note-se que o</w:t>
      </w:r>
      <w:r>
        <w:rPr>
          <w:rFonts w:ascii="Garamond" w:hAnsi="Garamond"/>
        </w:rPr>
        <w:t xml:space="preserve"> rastreio </w:t>
      </w:r>
      <w:r w:rsidRPr="003702E5">
        <w:rPr>
          <w:rFonts w:ascii="Garamond" w:hAnsi="Garamond"/>
        </w:rPr>
        <w:t>do VIH faz parte</w:t>
      </w:r>
      <w:r>
        <w:rPr>
          <w:rFonts w:ascii="Garamond" w:hAnsi="Garamond"/>
        </w:rPr>
        <w:t xml:space="preserve"> do seguimento da gravidez, no contexto da prevenção da transmissão do VIH de mãe para filho(a) (Programa de prevenção da transmissão vertical - </w:t>
      </w:r>
      <w:proofErr w:type="spellStart"/>
      <w:r>
        <w:rPr>
          <w:rFonts w:ascii="Garamond" w:hAnsi="Garamond"/>
        </w:rPr>
        <w:t>PTV</w:t>
      </w:r>
      <w:proofErr w:type="spellEnd"/>
      <w:r>
        <w:rPr>
          <w:rFonts w:ascii="Garamond" w:hAnsi="Garamond"/>
        </w:rPr>
        <w:t>)</w:t>
      </w:r>
      <w:r w:rsidRPr="003702E5">
        <w:rPr>
          <w:rFonts w:ascii="Garamond" w:hAnsi="Garamond"/>
        </w:rPr>
        <w:t xml:space="preserve"> </w:t>
      </w:r>
    </w:p>
  </w:footnote>
  <w:footnote w:id="114">
    <w:p w14:paraId="1043B1EB" w14:textId="77777777" w:rsidR="009F122A" w:rsidRPr="001F0E30" w:rsidRDefault="009F122A" w:rsidP="000B1496">
      <w:pPr>
        <w:pStyle w:val="Textodenotaderodap"/>
        <w:rPr>
          <w:rFonts w:ascii="Garamond" w:hAnsi="Garamond"/>
          <w:color w:val="FF0000"/>
        </w:rPr>
      </w:pPr>
      <w:r w:rsidRPr="00FD11BB">
        <w:rPr>
          <w:rStyle w:val="Refdenotaderodap"/>
          <w:rFonts w:ascii="Garamond" w:hAnsi="Garamond"/>
        </w:rPr>
        <w:footnoteRef/>
      </w:r>
      <w:r w:rsidRPr="003702E5">
        <w:rPr>
          <w:rFonts w:ascii="Garamond" w:hAnsi="Garamond"/>
        </w:rPr>
        <w:t xml:space="preserve"> </w:t>
      </w:r>
      <w:r w:rsidRPr="001F0E30">
        <w:rPr>
          <w:rFonts w:ascii="Garamond" w:hAnsi="Garamond"/>
          <w:color w:val="FF0000"/>
        </w:rPr>
        <w:t xml:space="preserve">Relatório sombra, </w:t>
      </w:r>
      <w:proofErr w:type="spellStart"/>
      <w:r w:rsidRPr="001F0E30">
        <w:rPr>
          <w:rFonts w:ascii="Garamond" w:hAnsi="Garamond"/>
          <w:color w:val="FF0000"/>
        </w:rPr>
        <w:t>p.XX</w:t>
      </w:r>
      <w:proofErr w:type="spellEnd"/>
    </w:p>
  </w:footnote>
  <w:footnote w:id="115">
    <w:p w14:paraId="53438133" w14:textId="77777777" w:rsidR="009F122A" w:rsidRPr="00DF5E68" w:rsidRDefault="009F122A" w:rsidP="008601E5">
      <w:pPr>
        <w:pStyle w:val="Textodenotaderodap"/>
        <w:rPr>
          <w:color w:val="FF0000"/>
        </w:rPr>
      </w:pPr>
      <w:r>
        <w:rPr>
          <w:rStyle w:val="Refdenotaderodap"/>
        </w:rPr>
        <w:footnoteRef/>
      </w:r>
      <w:r>
        <w:t xml:space="preserve"> </w:t>
      </w:r>
      <w:proofErr w:type="spellStart"/>
      <w:r w:rsidRPr="000A3765">
        <w:rPr>
          <w:rFonts w:ascii="Garamond" w:hAnsi="Garamond"/>
        </w:rPr>
        <w:t>RMP</w:t>
      </w:r>
      <w:proofErr w:type="spellEnd"/>
      <w:r w:rsidRPr="000A3765">
        <w:rPr>
          <w:rFonts w:ascii="Garamond" w:hAnsi="Garamond"/>
        </w:rPr>
        <w:t xml:space="preserve">-CV, </w:t>
      </w:r>
      <w:proofErr w:type="spellStart"/>
      <w:r w:rsidRPr="000A3765">
        <w:rPr>
          <w:rFonts w:ascii="Garamond" w:hAnsi="Garamond"/>
        </w:rPr>
        <w:t>ICIEG</w:t>
      </w:r>
      <w:proofErr w:type="spellEnd"/>
      <w:r w:rsidRPr="000A3765">
        <w:rPr>
          <w:rFonts w:ascii="Garamond" w:hAnsi="Garamond"/>
        </w:rPr>
        <w:t xml:space="preserve"> &amp; ONU Mulheres (</w:t>
      </w:r>
      <w:r>
        <w:rPr>
          <w:rFonts w:ascii="Garamond" w:hAnsi="Garamond"/>
        </w:rPr>
        <w:t>2019</w:t>
      </w:r>
      <w:r w:rsidRPr="000A3765">
        <w:rPr>
          <w:rFonts w:ascii="Garamond" w:hAnsi="Garamond"/>
        </w:rPr>
        <w:t>) Argumentação da Lei da Paridade</w:t>
      </w:r>
      <w:r>
        <w:rPr>
          <w:rFonts w:ascii="Garamond" w:hAnsi="Garamond"/>
        </w:rPr>
        <w:t>.</w:t>
      </w:r>
      <w:r w:rsidRPr="000A3765">
        <w:rPr>
          <w:rFonts w:ascii="Garamond" w:hAnsi="Garamond"/>
        </w:rPr>
        <w:t xml:space="preserve"> </w:t>
      </w:r>
    </w:p>
  </w:footnote>
  <w:footnote w:id="116">
    <w:p w14:paraId="5FC0675A" w14:textId="77777777" w:rsidR="009F122A" w:rsidRPr="00675D53" w:rsidRDefault="009F122A" w:rsidP="008601E5">
      <w:pPr>
        <w:pStyle w:val="Textodenotaderodap"/>
        <w:jc w:val="both"/>
        <w:rPr>
          <w:rFonts w:ascii="Garamond" w:hAnsi="Garamond"/>
        </w:rPr>
      </w:pPr>
      <w:r>
        <w:rPr>
          <w:rStyle w:val="Refdenotaderodap"/>
        </w:rPr>
        <w:footnoteRef/>
      </w:r>
      <w:r w:rsidRPr="00C74E2A">
        <w:t xml:space="preserve"> </w:t>
      </w:r>
      <w:r w:rsidRPr="000A3765">
        <w:rPr>
          <w:rFonts w:ascii="Garamond" w:hAnsi="Garamond"/>
        </w:rPr>
        <w:t xml:space="preserve">Entre outros, à luz do artigo </w:t>
      </w:r>
      <w:r>
        <w:rPr>
          <w:rFonts w:ascii="Garamond" w:hAnsi="Garamond"/>
        </w:rPr>
        <w:t>1</w:t>
      </w:r>
      <w:r w:rsidRPr="000A3765">
        <w:rPr>
          <w:rFonts w:ascii="Garamond" w:hAnsi="Garamond"/>
        </w:rPr>
        <w:t>º</w:t>
      </w:r>
      <w:r>
        <w:rPr>
          <w:rFonts w:ascii="Garamond" w:hAnsi="Garamond"/>
        </w:rPr>
        <w:t xml:space="preserve">, nº4, </w:t>
      </w:r>
      <w:r w:rsidRPr="000A3765">
        <w:rPr>
          <w:rFonts w:ascii="Garamond" w:hAnsi="Garamond"/>
        </w:rPr>
        <w:t>da CR</w:t>
      </w:r>
      <w:r w:rsidRPr="00675D53">
        <w:rPr>
          <w:rFonts w:ascii="Garamond" w:hAnsi="Garamond"/>
        </w:rPr>
        <w:t>,</w:t>
      </w:r>
      <w:r>
        <w:rPr>
          <w:rFonts w:ascii="Garamond" w:hAnsi="Garamond"/>
        </w:rPr>
        <w:t xml:space="preserve"> que</w:t>
      </w:r>
      <w:r w:rsidRPr="00675D53">
        <w:rPr>
          <w:rFonts w:ascii="Garamond" w:hAnsi="Garamond"/>
        </w:rPr>
        <w:t xml:space="preserve"> estabelece a obrigação d</w:t>
      </w:r>
      <w:r>
        <w:rPr>
          <w:rFonts w:ascii="Garamond" w:hAnsi="Garamond"/>
        </w:rPr>
        <w:t>o</w:t>
      </w:r>
      <w:r w:rsidRPr="00675D53">
        <w:rPr>
          <w:rFonts w:ascii="Garamond" w:hAnsi="Garamond"/>
        </w:rPr>
        <w:t xml:space="preserve"> Estado criar “</w:t>
      </w:r>
      <w:r w:rsidRPr="00675D53">
        <w:rPr>
          <w:rFonts w:ascii="Garamond" w:hAnsi="Garamond"/>
          <w:i/>
          <w:iCs/>
        </w:rPr>
        <w:t xml:space="preserve">progressivamente as condições indispensáveis à remoção de todos os obstáculos que possam impedir o pleno desenvolvimento da pessoa humana e limitar a igualdade dos cidadãos e a </w:t>
      </w:r>
      <w:proofErr w:type="spellStart"/>
      <w:r w:rsidRPr="00675D53">
        <w:rPr>
          <w:rFonts w:ascii="Garamond" w:hAnsi="Garamond"/>
          <w:i/>
          <w:iCs/>
        </w:rPr>
        <w:t>efetiva</w:t>
      </w:r>
      <w:proofErr w:type="spellEnd"/>
      <w:r w:rsidRPr="00675D53">
        <w:rPr>
          <w:rFonts w:ascii="Garamond" w:hAnsi="Garamond"/>
          <w:i/>
          <w:iCs/>
        </w:rPr>
        <w:t xml:space="preserve"> participação destes na organização política, económica, social e cultural do Estado e da sociedade cabo</w:t>
      </w:r>
      <w:r w:rsidRPr="00675D53">
        <w:rPr>
          <w:rFonts w:ascii="Times New Roman" w:hAnsi="Times New Roman" w:cs="Times New Roman"/>
          <w:i/>
          <w:iCs/>
        </w:rPr>
        <w:t>‑</w:t>
      </w:r>
      <w:r w:rsidRPr="00675D53">
        <w:rPr>
          <w:rFonts w:ascii="Garamond" w:hAnsi="Garamond"/>
          <w:i/>
          <w:iCs/>
        </w:rPr>
        <w:t>verdiana</w:t>
      </w:r>
      <w:r>
        <w:rPr>
          <w:rFonts w:ascii="Garamond" w:hAnsi="Garamond"/>
          <w:i/>
          <w:iCs/>
        </w:rPr>
        <w:t>”</w:t>
      </w:r>
      <w:r>
        <w:rPr>
          <w:rFonts w:ascii="Garamond" w:hAnsi="Garamond"/>
        </w:rPr>
        <w:t>; do artigo 7º</w:t>
      </w:r>
      <w:r w:rsidRPr="000A3765">
        <w:rPr>
          <w:rFonts w:ascii="Garamond" w:hAnsi="Garamond"/>
        </w:rPr>
        <w:t xml:space="preserve">, que atribui responsabilidades ao Estado na remoção dos obstáculos à igualdade de oportunidades de natureza económica, social, cultural e política, especialmente os </w:t>
      </w:r>
      <w:proofErr w:type="spellStart"/>
      <w:r w:rsidRPr="000A3765">
        <w:rPr>
          <w:rFonts w:ascii="Garamond" w:hAnsi="Garamond"/>
        </w:rPr>
        <w:t>fatores</w:t>
      </w:r>
      <w:proofErr w:type="spellEnd"/>
      <w:r w:rsidRPr="000A3765">
        <w:rPr>
          <w:rFonts w:ascii="Garamond" w:hAnsi="Garamond"/>
        </w:rPr>
        <w:t xml:space="preserve"> de discriminação das mulheres na família e na sociedade; e do artigo 55º, que estabelece que o Estado incentiva a participação equilibrada de cidadãos de ambos os sexos na vida política</w:t>
      </w:r>
      <w:r>
        <w:rPr>
          <w:rFonts w:ascii="Garamond" w:hAnsi="Garamond"/>
        </w:rPr>
        <w:t>.</w:t>
      </w:r>
    </w:p>
  </w:footnote>
  <w:footnote w:id="117">
    <w:p w14:paraId="7349E220" w14:textId="77777777" w:rsidR="009F122A" w:rsidRPr="00EB6FF2" w:rsidRDefault="009F122A" w:rsidP="008601E5">
      <w:pPr>
        <w:pStyle w:val="Textodenotaderodap"/>
        <w:jc w:val="both"/>
      </w:pPr>
      <w:r>
        <w:rPr>
          <w:rStyle w:val="Refdenotaderodap"/>
        </w:rPr>
        <w:footnoteRef/>
      </w:r>
      <w:r w:rsidRPr="00C74E2A">
        <w:t xml:space="preserve"> </w:t>
      </w:r>
      <w:r w:rsidRPr="000A3765">
        <w:rPr>
          <w:rFonts w:ascii="Garamond" w:hAnsi="Garamond"/>
        </w:rPr>
        <w:t>À luz do artigo 4</w:t>
      </w:r>
      <w:r>
        <w:rPr>
          <w:rFonts w:ascii="Garamond" w:hAnsi="Garamond"/>
        </w:rPr>
        <w:t>º</w:t>
      </w:r>
      <w:r w:rsidRPr="000A3765">
        <w:rPr>
          <w:rFonts w:ascii="Garamond" w:hAnsi="Garamond"/>
        </w:rPr>
        <w:t xml:space="preserve">, parágrafo 1 da </w:t>
      </w:r>
      <w:proofErr w:type="spellStart"/>
      <w:r w:rsidRPr="000A3765">
        <w:rPr>
          <w:rFonts w:ascii="Garamond" w:hAnsi="Garamond"/>
        </w:rPr>
        <w:t>CEDAW</w:t>
      </w:r>
      <w:proofErr w:type="spellEnd"/>
      <w:r w:rsidRPr="000A3765">
        <w:rPr>
          <w:rFonts w:ascii="Garamond" w:hAnsi="Garamond"/>
        </w:rPr>
        <w:t xml:space="preserve"> que esclarece a natureza não discriminatória das medidas especiais temporárias, para garantir a participação das mulheres, nas mesmas condições que os homens, na vida política, social, económica e cultural do seu país</w:t>
      </w:r>
      <w:r>
        <w:rPr>
          <w:rFonts w:ascii="Garamond" w:hAnsi="Garamond"/>
        </w:rPr>
        <w:t>; o</w:t>
      </w:r>
      <w:r w:rsidRPr="000A3765">
        <w:rPr>
          <w:rFonts w:ascii="Garamond" w:hAnsi="Garamond"/>
        </w:rPr>
        <w:t xml:space="preserve"> artigo 7</w:t>
      </w:r>
      <w:r>
        <w:rPr>
          <w:rFonts w:ascii="Garamond" w:hAnsi="Garamond"/>
        </w:rPr>
        <w:t>º</w:t>
      </w:r>
      <w:r w:rsidRPr="000A3765">
        <w:rPr>
          <w:rFonts w:ascii="Garamond" w:hAnsi="Garamond"/>
        </w:rPr>
        <w:t xml:space="preserve"> foca em particular a vida política e pública</w:t>
      </w:r>
      <w:r>
        <w:rPr>
          <w:rFonts w:ascii="Garamond" w:hAnsi="Garamond"/>
        </w:rPr>
        <w:t>.</w:t>
      </w:r>
    </w:p>
  </w:footnote>
  <w:footnote w:id="118">
    <w:p w14:paraId="7474DE2F" w14:textId="77777777" w:rsidR="009F122A" w:rsidRPr="0012087C" w:rsidRDefault="009F122A" w:rsidP="008601E5">
      <w:pPr>
        <w:pStyle w:val="Textodenotaderodap"/>
      </w:pPr>
      <w:r>
        <w:rPr>
          <w:rStyle w:val="Refdenotaderodap"/>
        </w:rPr>
        <w:footnoteRef/>
      </w:r>
      <w:r w:rsidRPr="0012087C">
        <w:t xml:space="preserve"> </w:t>
      </w:r>
      <w:r w:rsidRPr="000A3765">
        <w:rPr>
          <w:rFonts w:ascii="Garamond" w:hAnsi="Garamond"/>
        </w:rPr>
        <w:t xml:space="preserve">Meta 5.5: </w:t>
      </w:r>
      <w:r w:rsidRPr="000A3765">
        <w:rPr>
          <w:rFonts w:ascii="Garamond" w:hAnsi="Garamond"/>
          <w:i/>
        </w:rPr>
        <w:t xml:space="preserve">Garantir a participação plena e </w:t>
      </w:r>
      <w:proofErr w:type="spellStart"/>
      <w:r w:rsidRPr="000A3765">
        <w:rPr>
          <w:rFonts w:ascii="Garamond" w:hAnsi="Garamond"/>
          <w:i/>
        </w:rPr>
        <w:t>efetiva</w:t>
      </w:r>
      <w:proofErr w:type="spellEnd"/>
      <w:r w:rsidRPr="000A3765">
        <w:rPr>
          <w:rFonts w:ascii="Garamond" w:hAnsi="Garamond"/>
          <w:i/>
        </w:rPr>
        <w:t xml:space="preserve"> das mulheres e a igualdade de oportunidades para a liderança em todos os níveis de tomada de decisão na vida política, económica e publica</w:t>
      </w:r>
    </w:p>
  </w:footnote>
  <w:footnote w:id="119">
    <w:p w14:paraId="427C94F4" w14:textId="77777777" w:rsidR="009F122A" w:rsidRPr="007C3384" w:rsidRDefault="009F122A" w:rsidP="008601E5">
      <w:pPr>
        <w:pStyle w:val="Textodenotaderodap"/>
        <w:jc w:val="both"/>
        <w:rPr>
          <w:i/>
        </w:rPr>
      </w:pPr>
      <w:r>
        <w:rPr>
          <w:rStyle w:val="Refdenotaderodap"/>
        </w:rPr>
        <w:footnoteRef/>
      </w:r>
      <w:r>
        <w:t xml:space="preserve"> </w:t>
      </w:r>
      <w:r w:rsidRPr="000A3765">
        <w:rPr>
          <w:rFonts w:ascii="Garamond" w:hAnsi="Garamond"/>
        </w:rPr>
        <w:t xml:space="preserve">Meta 16.7: </w:t>
      </w:r>
      <w:r w:rsidRPr="000A3765">
        <w:rPr>
          <w:rFonts w:ascii="Garamond" w:hAnsi="Garamond"/>
          <w:i/>
        </w:rPr>
        <w:t>Garantir a tomada de decisão responsável, inclusiva, participativa e representativa em todos os níveis</w:t>
      </w:r>
    </w:p>
  </w:footnote>
  <w:footnote w:id="120">
    <w:p w14:paraId="406B336D" w14:textId="77777777" w:rsidR="009F122A" w:rsidRPr="00552086" w:rsidRDefault="009F122A" w:rsidP="008601E5">
      <w:pPr>
        <w:pStyle w:val="Textodenotaderodap"/>
        <w:jc w:val="both"/>
      </w:pPr>
      <w:r>
        <w:rPr>
          <w:rStyle w:val="Refdenotaderodap"/>
        </w:rPr>
        <w:footnoteRef/>
      </w:r>
      <w:r w:rsidRPr="003E5CEC">
        <w:t xml:space="preserve"> </w:t>
      </w:r>
      <w:r w:rsidRPr="000A3765">
        <w:rPr>
          <w:rFonts w:ascii="Garamond" w:hAnsi="Garamond"/>
        </w:rPr>
        <w:t xml:space="preserve">No caso do </w:t>
      </w:r>
      <w:proofErr w:type="spellStart"/>
      <w:r w:rsidRPr="000A3765">
        <w:rPr>
          <w:rFonts w:ascii="Garamond" w:hAnsi="Garamond"/>
        </w:rPr>
        <w:t>MpD</w:t>
      </w:r>
      <w:proofErr w:type="spellEnd"/>
      <w:r w:rsidRPr="000A3765">
        <w:rPr>
          <w:rFonts w:ascii="Garamond" w:hAnsi="Garamond"/>
        </w:rPr>
        <w:t>, na última Convenção (</w:t>
      </w:r>
      <w:proofErr w:type="spellStart"/>
      <w:r w:rsidRPr="000A3765">
        <w:rPr>
          <w:rFonts w:ascii="Garamond" w:hAnsi="Garamond"/>
        </w:rPr>
        <w:t>janeiro</w:t>
      </w:r>
      <w:proofErr w:type="spellEnd"/>
      <w:r w:rsidRPr="000A3765">
        <w:rPr>
          <w:rFonts w:ascii="Garamond" w:hAnsi="Garamond"/>
        </w:rPr>
        <w:t xml:space="preserve"> de 2017), a Mesa da Convenção Nacional passou a contar com uma proporção de 60% de mulheres, 43% no Conselho de Jurisdição, 40% na Direcção Nacional e 30% na Comissão Política Nacional. O PAICV conta com uma proporção de mulheres de 30% no Conselho Nacional, 30% na Comissão Política Nacional e 50% no Secretariado Geral, sendo este o Órgão Executivo do Partido. Desde 2014 o PAICV tem uma Presidente mulher, que em </w:t>
      </w:r>
      <w:proofErr w:type="spellStart"/>
      <w:r w:rsidRPr="000A3765">
        <w:rPr>
          <w:rFonts w:ascii="Garamond" w:hAnsi="Garamond"/>
        </w:rPr>
        <w:t>julho</w:t>
      </w:r>
      <w:proofErr w:type="spellEnd"/>
      <w:r w:rsidRPr="000A3765">
        <w:rPr>
          <w:rFonts w:ascii="Garamond" w:hAnsi="Garamond"/>
        </w:rPr>
        <w:t xml:space="preserve"> de 2017 foi eleita Vice-Presidente da Internacional Socialista a nível mundial</w:t>
      </w:r>
    </w:p>
  </w:footnote>
  <w:footnote w:id="121">
    <w:p w14:paraId="6BA0ADD1" w14:textId="77777777" w:rsidR="009F122A" w:rsidRPr="00400C8F" w:rsidRDefault="009F122A" w:rsidP="008601E5">
      <w:pPr>
        <w:pStyle w:val="Textodenotaderodap"/>
        <w:jc w:val="both"/>
        <w:rPr>
          <w:rFonts w:ascii="Garamond" w:hAnsi="Garamond"/>
        </w:rPr>
      </w:pPr>
      <w:r w:rsidRPr="00400C8F">
        <w:rPr>
          <w:rStyle w:val="Refdenotaderodap"/>
          <w:rFonts w:ascii="Garamond" w:hAnsi="Garamond"/>
        </w:rPr>
        <w:footnoteRef/>
      </w:r>
      <w:r w:rsidRPr="00400C8F">
        <w:rPr>
          <w:rFonts w:ascii="Garamond" w:hAnsi="Garamond"/>
        </w:rPr>
        <w:t xml:space="preserve"> </w:t>
      </w:r>
      <w:r>
        <w:rPr>
          <w:rFonts w:ascii="Garamond" w:hAnsi="Garamond"/>
        </w:rPr>
        <w:t xml:space="preserve">Passados </w:t>
      </w:r>
      <w:r w:rsidRPr="000A3765">
        <w:rPr>
          <w:rFonts w:ascii="Garamond" w:hAnsi="Garamond"/>
        </w:rPr>
        <w:t>2 anos</w:t>
      </w:r>
      <w:r>
        <w:rPr>
          <w:rFonts w:ascii="Garamond" w:hAnsi="Garamond"/>
        </w:rPr>
        <w:t xml:space="preserve"> da </w:t>
      </w:r>
      <w:proofErr w:type="spellStart"/>
      <w:r>
        <w:rPr>
          <w:rFonts w:ascii="Garamond" w:hAnsi="Garamond"/>
        </w:rPr>
        <w:t>receção</w:t>
      </w:r>
      <w:proofErr w:type="spellEnd"/>
      <w:r>
        <w:rPr>
          <w:rFonts w:ascii="Garamond" w:hAnsi="Garamond"/>
        </w:rPr>
        <w:t xml:space="preserve"> das recomendações, ver p</w:t>
      </w:r>
      <w:r w:rsidRPr="00400C8F">
        <w:rPr>
          <w:rFonts w:ascii="Garamond" w:hAnsi="Garamond"/>
        </w:rPr>
        <w:t xml:space="preserve">arágrafo 26 (a) </w:t>
      </w:r>
      <w:r w:rsidRPr="00FD76ED">
        <w:rPr>
          <w:rFonts w:ascii="Garamond" w:hAnsi="Garamond"/>
          <w:color w:val="FF0000"/>
          <w:highlight w:val="yellow"/>
        </w:rPr>
        <w:t>das Recomendações (anexo)</w:t>
      </w:r>
    </w:p>
  </w:footnote>
  <w:footnote w:id="122">
    <w:p w14:paraId="0E39273C" w14:textId="77777777" w:rsidR="009F122A" w:rsidRPr="00AD6000" w:rsidRDefault="009F122A" w:rsidP="008601E5">
      <w:pPr>
        <w:pStyle w:val="Textodenotaderodap"/>
        <w:jc w:val="both"/>
        <w:rPr>
          <w:rFonts w:ascii="Garamond" w:hAnsi="Garamond" w:cs="Arial"/>
          <w:color w:val="000000"/>
          <w:shd w:val="clear" w:color="auto" w:fill="FFFFFF"/>
        </w:rPr>
      </w:pPr>
      <w:r>
        <w:rPr>
          <w:rStyle w:val="Refdenotaderodap"/>
        </w:rPr>
        <w:footnoteRef/>
      </w:r>
      <w:r w:rsidRPr="00C22D1A">
        <w:t xml:space="preserve"> </w:t>
      </w:r>
      <w:r w:rsidRPr="00AD6000">
        <w:rPr>
          <w:rFonts w:ascii="Garamond" w:hAnsi="Garamond"/>
        </w:rPr>
        <w:t xml:space="preserve">IPU &amp; UN </w:t>
      </w:r>
      <w:proofErr w:type="spellStart"/>
      <w:r w:rsidRPr="00AD6000">
        <w:rPr>
          <w:rFonts w:ascii="Garamond" w:hAnsi="Garamond"/>
        </w:rPr>
        <w:t>Women</w:t>
      </w:r>
      <w:proofErr w:type="spellEnd"/>
      <w:r w:rsidRPr="00AD6000">
        <w:rPr>
          <w:rFonts w:ascii="Garamond" w:hAnsi="Garamond"/>
        </w:rPr>
        <w:t xml:space="preserve"> (2017) </w:t>
      </w:r>
      <w:proofErr w:type="spellStart"/>
      <w:r w:rsidRPr="00AD6000">
        <w:rPr>
          <w:rFonts w:ascii="Garamond" w:hAnsi="Garamond"/>
          <w:i/>
          <w:iCs/>
        </w:rPr>
        <w:t>Women</w:t>
      </w:r>
      <w:proofErr w:type="spellEnd"/>
      <w:r w:rsidRPr="00AD6000">
        <w:rPr>
          <w:rFonts w:ascii="Garamond" w:hAnsi="Garamond"/>
          <w:i/>
          <w:iCs/>
        </w:rPr>
        <w:t xml:space="preserve"> in </w:t>
      </w:r>
      <w:proofErr w:type="spellStart"/>
      <w:r w:rsidRPr="00AD6000">
        <w:rPr>
          <w:rFonts w:ascii="Garamond" w:hAnsi="Garamond"/>
          <w:i/>
          <w:iCs/>
        </w:rPr>
        <w:t>Politics</w:t>
      </w:r>
      <w:proofErr w:type="spellEnd"/>
      <w:r w:rsidRPr="00AD6000">
        <w:rPr>
          <w:rFonts w:ascii="Garamond" w:hAnsi="Garamond"/>
        </w:rPr>
        <w:t xml:space="preserve">, que </w:t>
      </w:r>
      <w:proofErr w:type="spellStart"/>
      <w:r w:rsidRPr="00AD6000">
        <w:rPr>
          <w:rFonts w:ascii="Garamond" w:hAnsi="Garamond"/>
        </w:rPr>
        <w:t>reflete</w:t>
      </w:r>
      <w:proofErr w:type="spellEnd"/>
      <w:r w:rsidRPr="00AD6000">
        <w:rPr>
          <w:rFonts w:ascii="Garamond" w:hAnsi="Garamond"/>
        </w:rPr>
        <w:t xml:space="preserve"> a situação do país a 1 de Janeiro de 2017</w:t>
      </w:r>
    </w:p>
  </w:footnote>
  <w:footnote w:id="123">
    <w:p w14:paraId="41A2E976" w14:textId="77777777" w:rsidR="009F122A" w:rsidRPr="008601E5" w:rsidRDefault="009F122A" w:rsidP="008601E5">
      <w:pPr>
        <w:jc w:val="both"/>
        <w:rPr>
          <w:rFonts w:ascii="Garamond" w:hAnsi="Garamond"/>
          <w:sz w:val="28"/>
          <w:szCs w:val="28"/>
          <w:lang w:val="pt-PT"/>
        </w:rPr>
      </w:pPr>
      <w:r w:rsidRPr="00EC61D8">
        <w:rPr>
          <w:rStyle w:val="Refdenotaderodap"/>
          <w:rFonts w:eastAsiaTheme="minorEastAsia"/>
          <w:lang w:eastAsia="pt-PT"/>
        </w:rPr>
        <w:footnoteRef/>
      </w:r>
      <w:r w:rsidRPr="008601E5">
        <w:rPr>
          <w:rStyle w:val="Refdenotaderodap"/>
          <w:rFonts w:eastAsiaTheme="minorEastAsia"/>
          <w:lang w:val="pt-PT" w:eastAsia="pt-PT"/>
        </w:rPr>
        <w:t xml:space="preserve"> </w:t>
      </w:r>
      <w:proofErr w:type="spellStart"/>
      <w:r w:rsidRPr="008601E5">
        <w:rPr>
          <w:rFonts w:ascii="Garamond" w:hAnsi="Garamond" w:cstheme="minorHAnsi"/>
          <w:sz w:val="20"/>
          <w:szCs w:val="20"/>
          <w:lang w:val="pt-PT"/>
        </w:rPr>
        <w:t>DNAP</w:t>
      </w:r>
      <w:proofErr w:type="spellEnd"/>
      <w:r w:rsidRPr="008601E5">
        <w:rPr>
          <w:rFonts w:ascii="Garamond" w:hAnsi="Garamond" w:cstheme="minorHAnsi"/>
          <w:sz w:val="20"/>
          <w:szCs w:val="20"/>
          <w:lang w:val="pt-PT"/>
        </w:rPr>
        <w:t xml:space="preserve"> (2016) </w:t>
      </w:r>
      <w:r w:rsidRPr="008601E5">
        <w:rPr>
          <w:rFonts w:ascii="Garamond" w:hAnsi="Garamond" w:cstheme="minorHAnsi"/>
          <w:i/>
          <w:sz w:val="20"/>
          <w:szCs w:val="20"/>
          <w:lang w:val="pt-PT"/>
        </w:rPr>
        <w:t>Balanço Social do capital humano da Administração</w:t>
      </w:r>
      <w:r w:rsidRPr="008601E5">
        <w:rPr>
          <w:rFonts w:ascii="Garamond" w:hAnsi="Garamond" w:cstheme="minorHAnsi"/>
          <w:sz w:val="20"/>
          <w:szCs w:val="20"/>
          <w:lang w:val="pt-PT"/>
        </w:rPr>
        <w:t xml:space="preserve"> </w:t>
      </w:r>
    </w:p>
  </w:footnote>
  <w:footnote w:id="124">
    <w:p w14:paraId="21E32458" w14:textId="77777777" w:rsidR="009F122A" w:rsidRPr="00EC61D8" w:rsidRDefault="009F122A" w:rsidP="008601E5">
      <w:pPr>
        <w:pStyle w:val="Textodenotaderodap"/>
        <w:jc w:val="both"/>
        <w:rPr>
          <w:rFonts w:ascii="Garamond" w:hAnsi="Garamond"/>
          <w:color w:val="FF0000"/>
        </w:rPr>
      </w:pPr>
      <w:r>
        <w:rPr>
          <w:rStyle w:val="Refdenotaderodap"/>
        </w:rPr>
        <w:footnoteRef/>
      </w:r>
      <w:r>
        <w:t xml:space="preserve"> </w:t>
      </w:r>
      <w:proofErr w:type="spellStart"/>
      <w:r w:rsidRPr="00EC61D8">
        <w:rPr>
          <w:rFonts w:ascii="Garamond" w:hAnsi="Garamond"/>
          <w:color w:val="FF0000"/>
        </w:rPr>
        <w:t>MNEC</w:t>
      </w:r>
      <w:proofErr w:type="spellEnd"/>
    </w:p>
  </w:footnote>
  <w:footnote w:id="125">
    <w:p w14:paraId="21F5FA98" w14:textId="77777777" w:rsidR="009F122A" w:rsidRPr="00E96E8F" w:rsidRDefault="009F122A" w:rsidP="008601E5">
      <w:pPr>
        <w:pStyle w:val="Textodenotaderodap"/>
        <w:jc w:val="both"/>
        <w:rPr>
          <w:rFonts w:ascii="Garamond" w:hAnsi="Garamond"/>
        </w:rPr>
      </w:pPr>
      <w:r>
        <w:rPr>
          <w:rStyle w:val="Refdenotaderodap"/>
        </w:rPr>
        <w:footnoteRef/>
      </w:r>
      <w:r>
        <w:t xml:space="preserve"> </w:t>
      </w:r>
      <w:r w:rsidRPr="00E96E8F">
        <w:rPr>
          <w:rFonts w:ascii="Garamond" w:hAnsi="Garamond"/>
        </w:rPr>
        <w:t xml:space="preserve">Federações Cabo-Verdianas de Andebol, </w:t>
      </w:r>
      <w:r>
        <w:rPr>
          <w:rFonts w:ascii="Garamond" w:hAnsi="Garamond"/>
        </w:rPr>
        <w:t xml:space="preserve">Atletismo, </w:t>
      </w:r>
      <w:r w:rsidRPr="00E96E8F">
        <w:rPr>
          <w:rFonts w:ascii="Garamond" w:hAnsi="Garamond"/>
        </w:rPr>
        <w:t>Basquet</w:t>
      </w:r>
      <w:r>
        <w:rPr>
          <w:rFonts w:ascii="Garamond" w:hAnsi="Garamond"/>
        </w:rPr>
        <w:t>e</w:t>
      </w:r>
      <w:r w:rsidRPr="00E96E8F">
        <w:rPr>
          <w:rFonts w:ascii="Garamond" w:hAnsi="Garamond"/>
        </w:rPr>
        <w:t xml:space="preserve">bol, </w:t>
      </w:r>
      <w:r>
        <w:rPr>
          <w:rFonts w:ascii="Garamond" w:hAnsi="Garamond"/>
        </w:rPr>
        <w:t xml:space="preserve">Boxe, Ciclismo, Esgrima, Futebol, Ginástica, </w:t>
      </w:r>
      <w:r w:rsidRPr="00E96E8F">
        <w:rPr>
          <w:rFonts w:ascii="Garamond" w:hAnsi="Garamond"/>
        </w:rPr>
        <w:t>Halterofilismo</w:t>
      </w:r>
      <w:r>
        <w:rPr>
          <w:rFonts w:ascii="Garamond" w:hAnsi="Garamond"/>
        </w:rPr>
        <w:t xml:space="preserve">, Judo, Karaté, Natação, Surf, </w:t>
      </w:r>
      <w:r w:rsidRPr="00E96E8F">
        <w:rPr>
          <w:rFonts w:ascii="Garamond" w:hAnsi="Garamond"/>
        </w:rPr>
        <w:t>Taekwondo</w:t>
      </w:r>
      <w:r>
        <w:rPr>
          <w:rFonts w:ascii="Garamond" w:hAnsi="Garamond"/>
        </w:rPr>
        <w:t xml:space="preserve">, Ténis, </w:t>
      </w:r>
      <w:r w:rsidRPr="00E96E8F">
        <w:rPr>
          <w:rFonts w:ascii="Garamond" w:hAnsi="Garamond"/>
        </w:rPr>
        <w:t>Voleibol</w:t>
      </w:r>
      <w:r>
        <w:rPr>
          <w:rFonts w:ascii="Garamond" w:hAnsi="Garamond"/>
        </w:rPr>
        <w:t xml:space="preserve">, Xadrez, Ténis de Mesa, Desporto Universitário, </w:t>
      </w:r>
      <w:proofErr w:type="spellStart"/>
      <w:r w:rsidRPr="00E96E8F">
        <w:rPr>
          <w:rFonts w:ascii="Garamond" w:hAnsi="Garamond"/>
        </w:rPr>
        <w:t>FreeStyle</w:t>
      </w:r>
      <w:proofErr w:type="spellEnd"/>
      <w:r>
        <w:rPr>
          <w:rFonts w:ascii="Garamond" w:hAnsi="Garamond"/>
        </w:rPr>
        <w:t>, Kitesurf, Remo.</w:t>
      </w:r>
    </w:p>
  </w:footnote>
  <w:footnote w:id="126">
    <w:p w14:paraId="749B5CA7" w14:textId="77777777" w:rsidR="009F122A" w:rsidRPr="00AD6000" w:rsidRDefault="009F122A" w:rsidP="008601E5">
      <w:pPr>
        <w:pStyle w:val="Textodenotaderodap"/>
        <w:jc w:val="both"/>
        <w:rPr>
          <w:rFonts w:ascii="Garamond" w:hAnsi="Garamond"/>
        </w:rPr>
      </w:pPr>
      <w:r>
        <w:rPr>
          <w:rStyle w:val="Refdenotaderodap"/>
        </w:rPr>
        <w:footnoteRef/>
      </w:r>
      <w:r>
        <w:t xml:space="preserve"> </w:t>
      </w:r>
      <w:r>
        <w:rPr>
          <w:rFonts w:ascii="Garamond" w:hAnsi="Garamond"/>
        </w:rPr>
        <w:t>N</w:t>
      </w:r>
      <w:r w:rsidRPr="00AD6000">
        <w:rPr>
          <w:rFonts w:ascii="Garamond" w:hAnsi="Garamond"/>
        </w:rPr>
        <w:t>o período de 2009 a 2015</w:t>
      </w:r>
      <w:r>
        <w:rPr>
          <w:rFonts w:ascii="Garamond" w:hAnsi="Garamond"/>
        </w:rPr>
        <w:t xml:space="preserve"> a</w:t>
      </w:r>
      <w:r w:rsidRPr="00AD6000">
        <w:rPr>
          <w:rFonts w:ascii="Garamond" w:hAnsi="Garamond"/>
        </w:rPr>
        <w:t xml:space="preserve"> proporção de magistradas </w:t>
      </w:r>
      <w:r>
        <w:rPr>
          <w:rFonts w:ascii="Garamond" w:hAnsi="Garamond"/>
        </w:rPr>
        <w:t xml:space="preserve">variou </w:t>
      </w:r>
      <w:r w:rsidRPr="00AD6000">
        <w:rPr>
          <w:rFonts w:ascii="Garamond" w:hAnsi="Garamond"/>
        </w:rPr>
        <w:t xml:space="preserve">entre 35% e 37% </w:t>
      </w:r>
    </w:p>
  </w:footnote>
  <w:footnote w:id="127">
    <w:p w14:paraId="073E5ECB" w14:textId="77777777" w:rsidR="009F122A" w:rsidRDefault="009F122A" w:rsidP="008601E5">
      <w:pPr>
        <w:pStyle w:val="Textodenotaderodap"/>
        <w:jc w:val="both"/>
      </w:pPr>
      <w:r>
        <w:rPr>
          <w:rStyle w:val="Refdenotaderodap"/>
        </w:rPr>
        <w:footnoteRef/>
      </w:r>
      <w:r>
        <w:t xml:space="preserve"> </w:t>
      </w:r>
      <w:r>
        <w:rPr>
          <w:rFonts w:ascii="Garamond" w:hAnsi="Garamond"/>
        </w:rPr>
        <w:t>N</w:t>
      </w:r>
      <w:r w:rsidRPr="000A3765">
        <w:rPr>
          <w:rFonts w:ascii="Garamond" w:hAnsi="Garamond"/>
        </w:rPr>
        <w:t>as 393 ACD analisadas, a representação das mulheres nos órgãos de decisão varia de 16% a 27%</w:t>
      </w:r>
      <w:r>
        <w:rPr>
          <w:rFonts w:ascii="Garamond" w:hAnsi="Garamond"/>
        </w:rPr>
        <w:t xml:space="preserve">. </w:t>
      </w:r>
      <w:r w:rsidRPr="000A3765">
        <w:rPr>
          <w:rFonts w:ascii="Garamond" w:hAnsi="Garamond"/>
        </w:rPr>
        <w:t xml:space="preserve">FIDA (2018) Relatório de Supervisão do </w:t>
      </w:r>
      <w:proofErr w:type="spellStart"/>
      <w:r w:rsidRPr="000A3765">
        <w:rPr>
          <w:rFonts w:ascii="Garamond" w:hAnsi="Garamond"/>
        </w:rPr>
        <w:t>POSER</w:t>
      </w:r>
      <w:proofErr w:type="spellEnd"/>
      <w:r w:rsidRPr="000A3765">
        <w:rPr>
          <w:rFonts w:ascii="Garamond" w:hAnsi="Garamond"/>
        </w:rPr>
        <w:t xml:space="preserve"> – </w:t>
      </w:r>
      <w:proofErr w:type="spellStart"/>
      <w:r w:rsidRPr="000A3765">
        <w:rPr>
          <w:rFonts w:ascii="Garamond" w:hAnsi="Garamond"/>
        </w:rPr>
        <w:t>Projeto</w:t>
      </w:r>
      <w:proofErr w:type="spellEnd"/>
      <w:r w:rsidRPr="000A3765">
        <w:rPr>
          <w:rFonts w:ascii="Garamond" w:hAnsi="Garamond"/>
        </w:rPr>
        <w:t xml:space="preserve"> Promoção de Oportunidades Socioeconómicas Rurais</w:t>
      </w:r>
    </w:p>
  </w:footnote>
  <w:footnote w:id="128">
    <w:p w14:paraId="6FA731B6" w14:textId="77777777" w:rsidR="009F122A" w:rsidRPr="00BB0491" w:rsidRDefault="009F122A" w:rsidP="00236223">
      <w:pPr>
        <w:pStyle w:val="Textodenotaderodap"/>
        <w:jc w:val="both"/>
        <w:rPr>
          <w:rFonts w:ascii="Garamond" w:hAnsi="Garamond"/>
        </w:rPr>
      </w:pPr>
      <w:r w:rsidRPr="00580B24">
        <w:rPr>
          <w:rStyle w:val="Refdenotaderodap"/>
        </w:rPr>
        <w:footnoteRef/>
      </w:r>
      <w:r w:rsidRPr="00580B24">
        <w:t xml:space="preserve"> </w:t>
      </w:r>
      <w:r w:rsidRPr="00580B24">
        <w:rPr>
          <w:rFonts w:ascii="Garamond" w:hAnsi="Garamond"/>
        </w:rPr>
        <w:t xml:space="preserve">A classificação é feita em 4 níveis: G0 </w:t>
      </w:r>
      <w:proofErr w:type="spellStart"/>
      <w:r w:rsidRPr="00580B24">
        <w:rPr>
          <w:rFonts w:ascii="Garamond" w:hAnsi="Garamond"/>
        </w:rPr>
        <w:t>projeto</w:t>
      </w:r>
      <w:proofErr w:type="spellEnd"/>
      <w:r w:rsidRPr="00580B24">
        <w:rPr>
          <w:rFonts w:ascii="Garamond" w:hAnsi="Garamond"/>
        </w:rPr>
        <w:t xml:space="preserve"> que ainda não integra o género, G1 </w:t>
      </w:r>
      <w:proofErr w:type="spellStart"/>
      <w:r w:rsidRPr="00580B24">
        <w:rPr>
          <w:rFonts w:ascii="Garamond" w:hAnsi="Garamond"/>
        </w:rPr>
        <w:t>projeto</w:t>
      </w:r>
      <w:proofErr w:type="spellEnd"/>
      <w:r w:rsidRPr="00580B24">
        <w:rPr>
          <w:rFonts w:ascii="Garamond" w:hAnsi="Garamond"/>
        </w:rPr>
        <w:t xml:space="preserve"> com alguma intervenção de género (produto, </w:t>
      </w:r>
      <w:proofErr w:type="spellStart"/>
      <w:r w:rsidRPr="00580B24">
        <w:rPr>
          <w:rFonts w:ascii="Garamond" w:hAnsi="Garamond"/>
        </w:rPr>
        <w:t>atividade</w:t>
      </w:r>
      <w:proofErr w:type="spellEnd"/>
      <w:r w:rsidRPr="00580B24">
        <w:rPr>
          <w:rFonts w:ascii="Garamond" w:hAnsi="Garamond"/>
        </w:rPr>
        <w:t xml:space="preserve"> ou indicador), G2 </w:t>
      </w:r>
      <w:proofErr w:type="spellStart"/>
      <w:r w:rsidRPr="00580B24">
        <w:rPr>
          <w:rFonts w:ascii="Garamond" w:hAnsi="Garamond"/>
        </w:rPr>
        <w:t>projeto</w:t>
      </w:r>
      <w:proofErr w:type="spellEnd"/>
      <w:r w:rsidRPr="00580B24">
        <w:rPr>
          <w:rFonts w:ascii="Garamond" w:hAnsi="Garamond"/>
        </w:rPr>
        <w:t xml:space="preserve"> com componente de género (produto, </w:t>
      </w:r>
      <w:proofErr w:type="spellStart"/>
      <w:r w:rsidRPr="00580B24">
        <w:rPr>
          <w:rFonts w:ascii="Garamond" w:hAnsi="Garamond"/>
        </w:rPr>
        <w:t>atividade</w:t>
      </w:r>
      <w:proofErr w:type="spellEnd"/>
      <w:r w:rsidRPr="00580B24">
        <w:rPr>
          <w:rFonts w:ascii="Garamond" w:hAnsi="Garamond"/>
        </w:rPr>
        <w:t xml:space="preserve"> e indicador, em simultâneo), G3 </w:t>
      </w:r>
      <w:proofErr w:type="spellStart"/>
      <w:r w:rsidRPr="00580B24">
        <w:rPr>
          <w:rFonts w:ascii="Garamond" w:hAnsi="Garamond"/>
        </w:rPr>
        <w:t>projeto</w:t>
      </w:r>
      <w:proofErr w:type="spellEnd"/>
      <w:r w:rsidRPr="00580B24">
        <w:rPr>
          <w:rFonts w:ascii="Garamond" w:hAnsi="Garamond"/>
        </w:rPr>
        <w:t xml:space="preserve"> de género.</w:t>
      </w:r>
      <w:r>
        <w:rPr>
          <w:rFonts w:ascii="Garamond" w:hAnsi="Garamond"/>
        </w:rPr>
        <w:t xml:space="preserve"> Ver mais detalhes na </w:t>
      </w:r>
      <w:r w:rsidRPr="00BB0491">
        <w:rPr>
          <w:rFonts w:ascii="Garamond" w:hAnsi="Garamond"/>
          <w:i/>
          <w:iCs/>
        </w:rPr>
        <w:t xml:space="preserve">Proposta de sistema de marcadores para orçamentação sensível ao género no </w:t>
      </w:r>
      <w:proofErr w:type="spellStart"/>
      <w:r w:rsidRPr="00BB0491">
        <w:rPr>
          <w:rFonts w:ascii="Garamond" w:hAnsi="Garamond"/>
          <w:i/>
          <w:iCs/>
        </w:rPr>
        <w:t>SIGOF</w:t>
      </w:r>
      <w:proofErr w:type="spellEnd"/>
      <w:r w:rsidRPr="00BB0491">
        <w:rPr>
          <w:rFonts w:ascii="Garamond" w:hAnsi="Garamond"/>
          <w:i/>
          <w:iCs/>
        </w:rPr>
        <w:t>, Cabo Verde</w:t>
      </w:r>
      <w:r>
        <w:rPr>
          <w:rFonts w:ascii="Garamond" w:hAnsi="Garamond"/>
        </w:rPr>
        <w:t>, r</w:t>
      </w:r>
      <w:r w:rsidRPr="00BB0491">
        <w:rPr>
          <w:rFonts w:ascii="Garamond" w:hAnsi="Garamond"/>
        </w:rPr>
        <w:t xml:space="preserve">ecurso desenvolvido por Raquel </w:t>
      </w:r>
      <w:proofErr w:type="spellStart"/>
      <w:r w:rsidRPr="00BB0491">
        <w:rPr>
          <w:rFonts w:ascii="Garamond" w:hAnsi="Garamond"/>
        </w:rPr>
        <w:t>Coello</w:t>
      </w:r>
      <w:proofErr w:type="spellEnd"/>
      <w:r w:rsidRPr="00BB0491">
        <w:rPr>
          <w:rFonts w:ascii="Garamond" w:hAnsi="Garamond"/>
        </w:rPr>
        <w:t xml:space="preserve"> </w:t>
      </w:r>
      <w:proofErr w:type="spellStart"/>
      <w:r w:rsidRPr="00BB0491">
        <w:rPr>
          <w:rFonts w:ascii="Garamond" w:hAnsi="Garamond"/>
        </w:rPr>
        <w:t>Cremades</w:t>
      </w:r>
      <w:proofErr w:type="spellEnd"/>
      <w:r>
        <w:rPr>
          <w:rFonts w:ascii="Garamond" w:hAnsi="Garamond"/>
        </w:rPr>
        <w:t xml:space="preserve"> em 2017 através do </w:t>
      </w:r>
      <w:proofErr w:type="spellStart"/>
      <w:r w:rsidRPr="00BB0491">
        <w:rPr>
          <w:rFonts w:ascii="Garamond" w:hAnsi="Garamond"/>
        </w:rPr>
        <w:t>Projeto</w:t>
      </w:r>
      <w:proofErr w:type="spellEnd"/>
      <w:r w:rsidRPr="00BB0491">
        <w:rPr>
          <w:rFonts w:ascii="Garamond" w:hAnsi="Garamond"/>
        </w:rPr>
        <w:t xml:space="preserve"> Pro PALOP- TL </w:t>
      </w:r>
      <w:proofErr w:type="spellStart"/>
      <w:r w:rsidRPr="00BB0491">
        <w:rPr>
          <w:rFonts w:ascii="Garamond" w:hAnsi="Garamond"/>
        </w:rPr>
        <w:t>ISC</w:t>
      </w:r>
      <w:proofErr w:type="spellEnd"/>
    </w:p>
  </w:footnote>
  <w:footnote w:id="129">
    <w:p w14:paraId="7C2AFEA3" w14:textId="77777777" w:rsidR="009F122A" w:rsidRDefault="009F122A" w:rsidP="00236223">
      <w:pPr>
        <w:pStyle w:val="Textodenotaderodap"/>
        <w:jc w:val="both"/>
      </w:pPr>
      <w:r>
        <w:rPr>
          <w:rStyle w:val="Refdenotaderodap"/>
        </w:rPr>
        <w:footnoteRef/>
      </w:r>
      <w:r>
        <w:t xml:space="preserve"> </w:t>
      </w:r>
      <w:r w:rsidRPr="00130B3F">
        <w:rPr>
          <w:rFonts w:ascii="Garamond" w:hAnsi="Garamond"/>
        </w:rPr>
        <w:t>Águas da Boa Vista, Águas de Ponta Preta (Sal), Ele</w:t>
      </w:r>
      <w:r>
        <w:rPr>
          <w:rFonts w:ascii="Garamond" w:hAnsi="Garamond"/>
        </w:rPr>
        <w:t>c</w:t>
      </w:r>
      <w:r w:rsidRPr="00130B3F">
        <w:rPr>
          <w:rFonts w:ascii="Garamond" w:hAnsi="Garamond"/>
        </w:rPr>
        <w:t>tra (cobrindo São Vicente, entre outros)</w:t>
      </w:r>
      <w:r>
        <w:rPr>
          <w:rFonts w:ascii="Garamond" w:hAnsi="Garamond"/>
        </w:rPr>
        <w:t xml:space="preserve">, </w:t>
      </w:r>
      <w:r w:rsidRPr="00130B3F">
        <w:rPr>
          <w:rFonts w:ascii="Garamond" w:hAnsi="Garamond"/>
        </w:rPr>
        <w:t>operadora do Maio</w:t>
      </w:r>
      <w:r>
        <w:rPr>
          <w:rFonts w:ascii="Garamond" w:hAnsi="Garamond"/>
        </w:rPr>
        <w:t xml:space="preserve"> em curso de instalação e </w:t>
      </w:r>
      <w:r w:rsidRPr="00130B3F">
        <w:rPr>
          <w:rFonts w:ascii="Garamond" w:hAnsi="Garamond"/>
        </w:rPr>
        <w:t>possibilidade de cria</w:t>
      </w:r>
      <w:r>
        <w:rPr>
          <w:rFonts w:ascii="Garamond" w:hAnsi="Garamond"/>
        </w:rPr>
        <w:t>ção d</w:t>
      </w:r>
      <w:r w:rsidRPr="00130B3F">
        <w:rPr>
          <w:rFonts w:ascii="Garamond" w:hAnsi="Garamond"/>
        </w:rPr>
        <w:t>a Águas de Santo Antão.</w:t>
      </w:r>
    </w:p>
  </w:footnote>
  <w:footnote w:id="130">
    <w:p w14:paraId="1DD44A41" w14:textId="43F504EA" w:rsidR="009F122A" w:rsidRPr="00DA7A8E" w:rsidRDefault="009F122A">
      <w:pPr>
        <w:pStyle w:val="Textodenotaderodap"/>
        <w:rPr>
          <w:rFonts w:ascii="Garamond" w:hAnsi="Garamond"/>
        </w:rPr>
      </w:pPr>
      <w:r w:rsidRPr="00DA7A8E">
        <w:rPr>
          <w:rStyle w:val="Refdenotaderodap"/>
          <w:rFonts w:ascii="Garamond" w:hAnsi="Garamond"/>
        </w:rPr>
        <w:footnoteRef/>
      </w:r>
      <w:r w:rsidRPr="00DA7A8E">
        <w:rPr>
          <w:rFonts w:ascii="Garamond" w:hAnsi="Garamond"/>
        </w:rPr>
        <w:t xml:space="preserve"> Portaria conjunta do </w:t>
      </w:r>
      <w:proofErr w:type="spellStart"/>
      <w:r w:rsidRPr="00DA7A8E">
        <w:rPr>
          <w:rFonts w:ascii="Garamond" w:hAnsi="Garamond"/>
        </w:rPr>
        <w:t>MFIS</w:t>
      </w:r>
      <w:proofErr w:type="spellEnd"/>
      <w:r w:rsidRPr="00DA7A8E">
        <w:rPr>
          <w:rFonts w:ascii="Garamond" w:hAnsi="Garamond"/>
        </w:rPr>
        <w:t xml:space="preserve"> e MF nº 22/2018, de 30 de </w:t>
      </w:r>
      <w:proofErr w:type="spellStart"/>
      <w:r w:rsidRPr="00DA7A8E">
        <w:rPr>
          <w:rFonts w:ascii="Garamond" w:hAnsi="Garamond"/>
        </w:rPr>
        <w:t>julho</w:t>
      </w:r>
      <w:proofErr w:type="spellEnd"/>
    </w:p>
  </w:footnote>
  <w:footnote w:id="131">
    <w:p w14:paraId="61CF746A" w14:textId="77777777" w:rsidR="009F122A" w:rsidRPr="001535DE" w:rsidRDefault="009F122A" w:rsidP="001535DE">
      <w:pPr>
        <w:pStyle w:val="Textodenotaderodap"/>
        <w:jc w:val="both"/>
        <w:rPr>
          <w:rFonts w:ascii="Garamond" w:hAnsi="Garamond"/>
        </w:rPr>
      </w:pPr>
      <w:r w:rsidRPr="001535DE">
        <w:rPr>
          <w:rStyle w:val="Refdenotaderodap"/>
          <w:rFonts w:ascii="Garamond" w:hAnsi="Garamond"/>
        </w:rPr>
        <w:footnoteRef/>
      </w:r>
      <w:r w:rsidRPr="001535DE">
        <w:rPr>
          <w:rFonts w:ascii="Garamond" w:hAnsi="Garamond"/>
        </w:rPr>
        <w:t xml:space="preserve"> </w:t>
      </w:r>
      <w:r>
        <w:rPr>
          <w:rFonts w:ascii="Garamond" w:hAnsi="Garamond"/>
        </w:rPr>
        <w:t>N</w:t>
      </w:r>
      <w:r w:rsidRPr="001535DE">
        <w:rPr>
          <w:rFonts w:ascii="Garamond" w:hAnsi="Garamond"/>
        </w:rPr>
        <w:t>ão fo</w:t>
      </w:r>
      <w:r>
        <w:rPr>
          <w:rFonts w:ascii="Garamond" w:hAnsi="Garamond"/>
        </w:rPr>
        <w:t xml:space="preserve">i, por exemplo, </w:t>
      </w:r>
      <w:r w:rsidRPr="001535DE">
        <w:rPr>
          <w:rFonts w:ascii="Garamond" w:hAnsi="Garamond"/>
        </w:rPr>
        <w:t>incluíd</w:t>
      </w:r>
      <w:r>
        <w:rPr>
          <w:rFonts w:ascii="Garamond" w:hAnsi="Garamond"/>
        </w:rPr>
        <w:t>a a</w:t>
      </w:r>
      <w:r w:rsidRPr="001535DE">
        <w:rPr>
          <w:rFonts w:ascii="Garamond" w:hAnsi="Garamond"/>
        </w:rPr>
        <w:t xml:space="preserve"> prevalência da </w:t>
      </w:r>
      <w:proofErr w:type="spellStart"/>
      <w:r w:rsidRPr="001535DE">
        <w:rPr>
          <w:rFonts w:ascii="Garamond" w:hAnsi="Garamond"/>
        </w:rPr>
        <w:t>VBG</w:t>
      </w:r>
      <w:proofErr w:type="spellEnd"/>
      <w:r>
        <w:rPr>
          <w:rFonts w:ascii="Garamond" w:hAnsi="Garamond"/>
        </w:rPr>
        <w:t xml:space="preserve"> </w:t>
      </w:r>
      <w:proofErr w:type="spellStart"/>
      <w:r>
        <w:rPr>
          <w:rFonts w:ascii="Garamond" w:hAnsi="Garamond"/>
        </w:rPr>
        <w:t>nso</w:t>
      </w:r>
      <w:proofErr w:type="spellEnd"/>
      <w:r>
        <w:rPr>
          <w:rFonts w:ascii="Garamond" w:hAnsi="Garamond"/>
        </w:rPr>
        <w:t xml:space="preserve"> indicadores de impacto</w:t>
      </w:r>
      <w:r w:rsidRPr="001535DE">
        <w:rPr>
          <w:rFonts w:ascii="Garamond" w:hAnsi="Garamond"/>
        </w:rPr>
        <w:t xml:space="preserve">, ou </w:t>
      </w:r>
      <w:r>
        <w:rPr>
          <w:rFonts w:ascii="Garamond" w:hAnsi="Garamond"/>
        </w:rPr>
        <w:t xml:space="preserve">outros indicadores a obter com o próximo </w:t>
      </w:r>
      <w:proofErr w:type="spellStart"/>
      <w:r w:rsidRPr="001535DE">
        <w:rPr>
          <w:rFonts w:ascii="Garamond" w:hAnsi="Garamond"/>
        </w:rPr>
        <w:t>IDSR</w:t>
      </w:r>
      <w:proofErr w:type="spellEnd"/>
      <w:r>
        <w:rPr>
          <w:rFonts w:ascii="Garamond" w:hAnsi="Garamond"/>
        </w:rPr>
        <w:t xml:space="preserve">, já que </w:t>
      </w:r>
      <w:r w:rsidRPr="001535DE">
        <w:rPr>
          <w:rFonts w:ascii="Garamond" w:hAnsi="Garamond"/>
        </w:rPr>
        <w:t>não</w:t>
      </w:r>
      <w:r>
        <w:rPr>
          <w:rFonts w:ascii="Garamond" w:hAnsi="Garamond"/>
        </w:rPr>
        <w:t xml:space="preserve"> está prevista a sua </w:t>
      </w:r>
      <w:r w:rsidRPr="001535DE">
        <w:rPr>
          <w:rFonts w:ascii="Garamond" w:hAnsi="Garamond"/>
        </w:rPr>
        <w:t>realiza</w:t>
      </w:r>
      <w:r>
        <w:rPr>
          <w:rFonts w:ascii="Garamond" w:hAnsi="Garamond"/>
        </w:rPr>
        <w:t>ção</w:t>
      </w:r>
      <w:r w:rsidRPr="001535DE">
        <w:rPr>
          <w:rFonts w:ascii="Garamond" w:hAnsi="Garamond"/>
        </w:rPr>
        <w:t xml:space="preserve"> até ao fim do período de vigência do </w:t>
      </w:r>
      <w:proofErr w:type="spellStart"/>
      <w:r w:rsidRPr="001535DE">
        <w:rPr>
          <w:rFonts w:ascii="Garamond" w:hAnsi="Garamond"/>
        </w:rPr>
        <w:t>PNIG</w:t>
      </w:r>
      <w:proofErr w:type="spellEnd"/>
      <w:r>
        <w:rPr>
          <w:rFonts w:ascii="Garamond" w:hAnsi="Garamond"/>
        </w:rPr>
        <w:t xml:space="preserve">. Nestas </w:t>
      </w:r>
      <w:r w:rsidRPr="001535DE">
        <w:rPr>
          <w:rFonts w:ascii="Garamond" w:hAnsi="Garamond"/>
        </w:rPr>
        <w:t xml:space="preserve">situações foram considerados indicadores de impacto </w:t>
      </w:r>
      <w:r w:rsidRPr="001535DE">
        <w:rPr>
          <w:rFonts w:ascii="Garamond" w:hAnsi="Garamond"/>
          <w:i/>
          <w:iCs/>
        </w:rPr>
        <w:t>proxy</w:t>
      </w:r>
      <w:r w:rsidRPr="001535DE">
        <w:rPr>
          <w:rFonts w:ascii="Garamond" w:hAnsi="Garamond"/>
        </w:rPr>
        <w:t xml:space="preserve"> para os quais estão </w:t>
      </w:r>
      <w:proofErr w:type="spellStart"/>
      <w:r w:rsidRPr="001535DE">
        <w:rPr>
          <w:rFonts w:ascii="Garamond" w:hAnsi="Garamond"/>
        </w:rPr>
        <w:t>efetivamente</w:t>
      </w:r>
      <w:proofErr w:type="spellEnd"/>
      <w:r w:rsidRPr="001535DE">
        <w:rPr>
          <w:rFonts w:ascii="Garamond" w:hAnsi="Garamond"/>
        </w:rPr>
        <w:t xml:space="preserve"> disponíveis dados</w:t>
      </w:r>
      <w:r>
        <w:rPr>
          <w:rFonts w:ascii="Garamond" w:hAnsi="Garamond"/>
        </w:rPr>
        <w:t>.</w:t>
      </w:r>
    </w:p>
  </w:footnote>
  <w:footnote w:id="132">
    <w:p w14:paraId="7C4B59F6" w14:textId="77777777" w:rsidR="009F122A" w:rsidRDefault="009F122A" w:rsidP="000417DE">
      <w:pPr>
        <w:pStyle w:val="Textodenotaderodap"/>
      </w:pPr>
      <w:r>
        <w:rPr>
          <w:rStyle w:val="Refdenotaderodap"/>
        </w:rPr>
        <w:footnoteRef/>
      </w:r>
      <w:r>
        <w:t xml:space="preserve"> </w:t>
      </w:r>
      <w:r w:rsidRPr="00B13F0B">
        <w:rPr>
          <w:rFonts w:ascii="Garamond" w:hAnsi="Garamond"/>
        </w:rPr>
        <w:t xml:space="preserve">A informação entre </w:t>
      </w:r>
      <w:r>
        <w:rPr>
          <w:rFonts w:ascii="Garamond" w:hAnsi="Garamond"/>
        </w:rPr>
        <w:t>p</w:t>
      </w:r>
      <w:r w:rsidRPr="00B13F0B">
        <w:rPr>
          <w:rFonts w:ascii="Garamond" w:hAnsi="Garamond"/>
        </w:rPr>
        <w:t>arêntesis</w:t>
      </w:r>
      <w:r>
        <w:rPr>
          <w:rFonts w:ascii="Garamond" w:hAnsi="Garamond"/>
        </w:rPr>
        <w:t xml:space="preserve"> diz respeito às entidades responsáveis, ao longo do </w:t>
      </w:r>
      <w:proofErr w:type="spellStart"/>
      <w:r>
        <w:rPr>
          <w:rFonts w:ascii="Garamond" w:hAnsi="Garamond"/>
        </w:rPr>
        <w:t>PNIG</w:t>
      </w:r>
      <w:proofErr w:type="spellEnd"/>
      <w:r>
        <w:rPr>
          <w:rFonts w:ascii="Garamond" w:hAnsi="Garamond"/>
        </w:rPr>
        <w:t xml:space="preserve">, por fornecer ou compilar as informações (assinaladas se forem diferentes das referências sem parêntesis, que dizem respeito às fontes onde foi obtida a Linha de Base) </w:t>
      </w:r>
      <w:r w:rsidRPr="00B13F0B">
        <w:rPr>
          <w:rFonts w:ascii="Garamond" w:hAnsi="Garamond"/>
        </w:rPr>
        <w:t xml:space="preserve"> </w:t>
      </w:r>
    </w:p>
  </w:footnote>
  <w:footnote w:id="133">
    <w:p w14:paraId="420B112B" w14:textId="1FFA5C63" w:rsidR="009F122A" w:rsidRDefault="009F122A">
      <w:pPr>
        <w:pStyle w:val="Textodenotaderodap"/>
      </w:pPr>
      <w:r>
        <w:rPr>
          <w:rStyle w:val="Refdenotaderodap"/>
        </w:rPr>
        <w:footnoteRef/>
      </w:r>
      <w:r>
        <w:t xml:space="preserve"> </w:t>
      </w:r>
      <w:r>
        <w:rPr>
          <w:rFonts w:ascii="Garamond" w:hAnsi="Garamond" w:cs="Times New Roman"/>
        </w:rPr>
        <w:t xml:space="preserve">Anterior </w:t>
      </w:r>
      <w:proofErr w:type="spellStart"/>
      <w:r>
        <w:rPr>
          <w:rFonts w:ascii="Garamond" w:hAnsi="Garamond" w:cs="Times New Roman"/>
        </w:rPr>
        <w:t>PNIG</w:t>
      </w:r>
      <w:proofErr w:type="spellEnd"/>
      <w:r>
        <w:rPr>
          <w:rFonts w:ascii="Garamond" w:hAnsi="Garamond" w:cs="Times New Roman"/>
        </w:rPr>
        <w:t xml:space="preserve"> 184.950.601 </w:t>
      </w:r>
      <w:proofErr w:type="spellStart"/>
      <w:r>
        <w:rPr>
          <w:rFonts w:ascii="Garamond" w:hAnsi="Garamond" w:cs="Times New Roman"/>
        </w:rPr>
        <w:t>ECV</w:t>
      </w:r>
      <w:proofErr w:type="spellEnd"/>
      <w:r>
        <w:rPr>
          <w:rFonts w:ascii="Garamond" w:hAnsi="Garamond" w:cs="Times New Roman"/>
        </w:rPr>
        <w:t xml:space="preserve"> &amp; </w:t>
      </w:r>
      <w:proofErr w:type="spellStart"/>
      <w:r>
        <w:rPr>
          <w:rFonts w:ascii="Garamond" w:hAnsi="Garamond" w:cs="Times New Roman"/>
        </w:rPr>
        <w:t>PNVBG</w:t>
      </w:r>
      <w:proofErr w:type="spellEnd"/>
      <w:r>
        <w:rPr>
          <w:rFonts w:ascii="Garamond" w:hAnsi="Garamond" w:cs="Times New Roman"/>
        </w:rPr>
        <w:t xml:space="preserve"> 198.900.000 </w:t>
      </w:r>
      <w:proofErr w:type="spellStart"/>
      <w:r>
        <w:rPr>
          <w:rFonts w:ascii="Garamond" w:hAnsi="Garamond" w:cs="Times New Roman"/>
        </w:rPr>
        <w:t>ECV</w:t>
      </w:r>
      <w:proofErr w:type="spellEnd"/>
      <w:r>
        <w:rPr>
          <w:rFonts w:ascii="Garamond" w:hAnsi="Garamond" w:cs="Times New Roman"/>
        </w:rPr>
        <w:t xml:space="preserve">, </w:t>
      </w:r>
      <w:proofErr w:type="spellStart"/>
      <w:r>
        <w:rPr>
          <w:rFonts w:ascii="Garamond" w:hAnsi="Garamond" w:cs="Times New Roman"/>
        </w:rPr>
        <w:t>prefazendo</w:t>
      </w:r>
      <w:proofErr w:type="spellEnd"/>
      <w:r>
        <w:rPr>
          <w:rFonts w:ascii="Garamond" w:hAnsi="Garamond" w:cs="Times New Roman"/>
        </w:rPr>
        <w:t xml:space="preserve"> um total de 383.850.601 </w:t>
      </w:r>
      <w:proofErr w:type="spellStart"/>
      <w:r>
        <w:rPr>
          <w:rFonts w:ascii="Garamond" w:hAnsi="Garamond" w:cs="Times New Roman"/>
        </w:rPr>
        <w:t>ECV</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B78E" w14:textId="1DC010C9" w:rsidR="009F122A" w:rsidRDefault="009F12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7EDE" w14:textId="6C50A903" w:rsidR="009F122A" w:rsidRDefault="009F122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98C6" w14:textId="24DF189D" w:rsidR="009F122A" w:rsidRDefault="009F12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23B"/>
    <w:multiLevelType w:val="hybridMultilevel"/>
    <w:tmpl w:val="79680424"/>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 w15:restartNumberingAfterBreak="0">
    <w:nsid w:val="03EB74EA"/>
    <w:multiLevelType w:val="hybridMultilevel"/>
    <w:tmpl w:val="45820A0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7063257"/>
    <w:multiLevelType w:val="hybridMultilevel"/>
    <w:tmpl w:val="E87A2BE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7F9158D"/>
    <w:multiLevelType w:val="hybridMultilevel"/>
    <w:tmpl w:val="E1B2FF74"/>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09757FEA"/>
    <w:multiLevelType w:val="hybridMultilevel"/>
    <w:tmpl w:val="02442356"/>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0ACD06BE"/>
    <w:multiLevelType w:val="hybridMultilevel"/>
    <w:tmpl w:val="952C2BE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0B196169"/>
    <w:multiLevelType w:val="hybridMultilevel"/>
    <w:tmpl w:val="95D4608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DB50FCA"/>
    <w:multiLevelType w:val="hybridMultilevel"/>
    <w:tmpl w:val="C30ACBEA"/>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0DC209F0"/>
    <w:multiLevelType w:val="hybridMultilevel"/>
    <w:tmpl w:val="C0DADED0"/>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0E741CFF"/>
    <w:multiLevelType w:val="hybridMultilevel"/>
    <w:tmpl w:val="46B0244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0EE06BE9"/>
    <w:multiLevelType w:val="hybridMultilevel"/>
    <w:tmpl w:val="484AA9C2"/>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10902528"/>
    <w:multiLevelType w:val="hybridMultilevel"/>
    <w:tmpl w:val="4F386E36"/>
    <w:lvl w:ilvl="0" w:tplc="9B4C5764">
      <w:start w:val="1"/>
      <w:numFmt w:val="bullet"/>
      <w:lvlText w:val=""/>
      <w:lvlJc w:val="left"/>
      <w:pPr>
        <w:ind w:left="3192" w:hanging="360"/>
      </w:pPr>
      <w:rPr>
        <w:rFonts w:ascii="Symbol" w:hAnsi="Symbol" w:hint="default"/>
      </w:rPr>
    </w:lvl>
    <w:lvl w:ilvl="1" w:tplc="08160003" w:tentative="1">
      <w:start w:val="1"/>
      <w:numFmt w:val="bullet"/>
      <w:lvlText w:val="o"/>
      <w:lvlJc w:val="left"/>
      <w:pPr>
        <w:ind w:left="3912" w:hanging="360"/>
      </w:pPr>
      <w:rPr>
        <w:rFonts w:ascii="Courier New" w:hAnsi="Courier New" w:cs="Courier New" w:hint="default"/>
      </w:rPr>
    </w:lvl>
    <w:lvl w:ilvl="2" w:tplc="08160005" w:tentative="1">
      <w:start w:val="1"/>
      <w:numFmt w:val="bullet"/>
      <w:lvlText w:val=""/>
      <w:lvlJc w:val="left"/>
      <w:pPr>
        <w:ind w:left="4632" w:hanging="360"/>
      </w:pPr>
      <w:rPr>
        <w:rFonts w:ascii="Wingdings" w:hAnsi="Wingdings" w:hint="default"/>
      </w:rPr>
    </w:lvl>
    <w:lvl w:ilvl="3" w:tplc="08160001" w:tentative="1">
      <w:start w:val="1"/>
      <w:numFmt w:val="bullet"/>
      <w:lvlText w:val=""/>
      <w:lvlJc w:val="left"/>
      <w:pPr>
        <w:ind w:left="5352" w:hanging="360"/>
      </w:pPr>
      <w:rPr>
        <w:rFonts w:ascii="Symbol" w:hAnsi="Symbol" w:hint="default"/>
      </w:rPr>
    </w:lvl>
    <w:lvl w:ilvl="4" w:tplc="08160003" w:tentative="1">
      <w:start w:val="1"/>
      <w:numFmt w:val="bullet"/>
      <w:lvlText w:val="o"/>
      <w:lvlJc w:val="left"/>
      <w:pPr>
        <w:ind w:left="6072" w:hanging="360"/>
      </w:pPr>
      <w:rPr>
        <w:rFonts w:ascii="Courier New" w:hAnsi="Courier New" w:cs="Courier New" w:hint="default"/>
      </w:rPr>
    </w:lvl>
    <w:lvl w:ilvl="5" w:tplc="08160005" w:tentative="1">
      <w:start w:val="1"/>
      <w:numFmt w:val="bullet"/>
      <w:lvlText w:val=""/>
      <w:lvlJc w:val="left"/>
      <w:pPr>
        <w:ind w:left="6792" w:hanging="360"/>
      </w:pPr>
      <w:rPr>
        <w:rFonts w:ascii="Wingdings" w:hAnsi="Wingdings" w:hint="default"/>
      </w:rPr>
    </w:lvl>
    <w:lvl w:ilvl="6" w:tplc="08160001" w:tentative="1">
      <w:start w:val="1"/>
      <w:numFmt w:val="bullet"/>
      <w:lvlText w:val=""/>
      <w:lvlJc w:val="left"/>
      <w:pPr>
        <w:ind w:left="7512" w:hanging="360"/>
      </w:pPr>
      <w:rPr>
        <w:rFonts w:ascii="Symbol" w:hAnsi="Symbol" w:hint="default"/>
      </w:rPr>
    </w:lvl>
    <w:lvl w:ilvl="7" w:tplc="08160003" w:tentative="1">
      <w:start w:val="1"/>
      <w:numFmt w:val="bullet"/>
      <w:lvlText w:val="o"/>
      <w:lvlJc w:val="left"/>
      <w:pPr>
        <w:ind w:left="8232" w:hanging="360"/>
      </w:pPr>
      <w:rPr>
        <w:rFonts w:ascii="Courier New" w:hAnsi="Courier New" w:cs="Courier New" w:hint="default"/>
      </w:rPr>
    </w:lvl>
    <w:lvl w:ilvl="8" w:tplc="08160005" w:tentative="1">
      <w:start w:val="1"/>
      <w:numFmt w:val="bullet"/>
      <w:lvlText w:val=""/>
      <w:lvlJc w:val="left"/>
      <w:pPr>
        <w:ind w:left="8952" w:hanging="360"/>
      </w:pPr>
      <w:rPr>
        <w:rFonts w:ascii="Wingdings" w:hAnsi="Wingdings" w:hint="default"/>
      </w:rPr>
    </w:lvl>
  </w:abstractNum>
  <w:abstractNum w:abstractNumId="12" w15:restartNumberingAfterBreak="0">
    <w:nsid w:val="10B475C4"/>
    <w:multiLevelType w:val="hybridMultilevel"/>
    <w:tmpl w:val="BC802952"/>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128A7829"/>
    <w:multiLevelType w:val="hybridMultilevel"/>
    <w:tmpl w:val="3F9A8212"/>
    <w:lvl w:ilvl="0" w:tplc="9B4C5764">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61B395C"/>
    <w:multiLevelType w:val="hybridMultilevel"/>
    <w:tmpl w:val="F04A105C"/>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1A085276"/>
    <w:multiLevelType w:val="hybridMultilevel"/>
    <w:tmpl w:val="78C813A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1B3E5554"/>
    <w:multiLevelType w:val="multilevel"/>
    <w:tmpl w:val="64C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6E0553"/>
    <w:multiLevelType w:val="hybridMultilevel"/>
    <w:tmpl w:val="00B21ED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1BDD22F8"/>
    <w:multiLevelType w:val="hybridMultilevel"/>
    <w:tmpl w:val="7A92930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1E781BF4"/>
    <w:multiLevelType w:val="hybridMultilevel"/>
    <w:tmpl w:val="1A5CB8C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0" w15:restartNumberingAfterBreak="0">
    <w:nsid w:val="1EA674AA"/>
    <w:multiLevelType w:val="hybridMultilevel"/>
    <w:tmpl w:val="83642BF6"/>
    <w:lvl w:ilvl="0" w:tplc="0B04EAC8">
      <w:start w:val="1"/>
      <w:numFmt w:val="decimal"/>
      <w:pStyle w:val="Paragraphnumbering"/>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562DF3"/>
    <w:multiLevelType w:val="hybridMultilevel"/>
    <w:tmpl w:val="13088060"/>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20D11E5E"/>
    <w:multiLevelType w:val="hybridMultilevel"/>
    <w:tmpl w:val="82CE986C"/>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21492591"/>
    <w:multiLevelType w:val="hybridMultilevel"/>
    <w:tmpl w:val="AA26159E"/>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21A44855"/>
    <w:multiLevelType w:val="hybridMultilevel"/>
    <w:tmpl w:val="365EFF3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281E3881"/>
    <w:multiLevelType w:val="hybridMultilevel"/>
    <w:tmpl w:val="0D967C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28E81054"/>
    <w:multiLevelType w:val="hybridMultilevel"/>
    <w:tmpl w:val="07B271DE"/>
    <w:lvl w:ilvl="0" w:tplc="8D625C58">
      <w:start w:val="1"/>
      <w:numFmt w:val="lowerRoman"/>
      <w:lvlText w:val="(%1)"/>
      <w:lvlJc w:val="left"/>
      <w:pPr>
        <w:ind w:left="9" w:hanging="720"/>
      </w:pPr>
      <w:rPr>
        <w:rFonts w:hint="default"/>
      </w:rPr>
    </w:lvl>
    <w:lvl w:ilvl="1" w:tplc="08160019" w:tentative="1">
      <w:start w:val="1"/>
      <w:numFmt w:val="lowerLetter"/>
      <w:lvlText w:val="%2."/>
      <w:lvlJc w:val="left"/>
      <w:pPr>
        <w:ind w:left="369" w:hanging="360"/>
      </w:pPr>
    </w:lvl>
    <w:lvl w:ilvl="2" w:tplc="0816001B" w:tentative="1">
      <w:start w:val="1"/>
      <w:numFmt w:val="lowerRoman"/>
      <w:lvlText w:val="%3."/>
      <w:lvlJc w:val="right"/>
      <w:pPr>
        <w:ind w:left="1089" w:hanging="180"/>
      </w:pPr>
    </w:lvl>
    <w:lvl w:ilvl="3" w:tplc="0816000F" w:tentative="1">
      <w:start w:val="1"/>
      <w:numFmt w:val="decimal"/>
      <w:lvlText w:val="%4."/>
      <w:lvlJc w:val="left"/>
      <w:pPr>
        <w:ind w:left="1809" w:hanging="360"/>
      </w:pPr>
    </w:lvl>
    <w:lvl w:ilvl="4" w:tplc="08160019" w:tentative="1">
      <w:start w:val="1"/>
      <w:numFmt w:val="lowerLetter"/>
      <w:lvlText w:val="%5."/>
      <w:lvlJc w:val="left"/>
      <w:pPr>
        <w:ind w:left="2529" w:hanging="360"/>
      </w:pPr>
    </w:lvl>
    <w:lvl w:ilvl="5" w:tplc="0816001B" w:tentative="1">
      <w:start w:val="1"/>
      <w:numFmt w:val="lowerRoman"/>
      <w:lvlText w:val="%6."/>
      <w:lvlJc w:val="right"/>
      <w:pPr>
        <w:ind w:left="3249" w:hanging="180"/>
      </w:pPr>
    </w:lvl>
    <w:lvl w:ilvl="6" w:tplc="0816000F" w:tentative="1">
      <w:start w:val="1"/>
      <w:numFmt w:val="decimal"/>
      <w:lvlText w:val="%7."/>
      <w:lvlJc w:val="left"/>
      <w:pPr>
        <w:ind w:left="3969" w:hanging="360"/>
      </w:pPr>
    </w:lvl>
    <w:lvl w:ilvl="7" w:tplc="08160019" w:tentative="1">
      <w:start w:val="1"/>
      <w:numFmt w:val="lowerLetter"/>
      <w:lvlText w:val="%8."/>
      <w:lvlJc w:val="left"/>
      <w:pPr>
        <w:ind w:left="4689" w:hanging="360"/>
      </w:pPr>
    </w:lvl>
    <w:lvl w:ilvl="8" w:tplc="0816001B" w:tentative="1">
      <w:start w:val="1"/>
      <w:numFmt w:val="lowerRoman"/>
      <w:lvlText w:val="%9."/>
      <w:lvlJc w:val="right"/>
      <w:pPr>
        <w:ind w:left="5409" w:hanging="180"/>
      </w:pPr>
    </w:lvl>
  </w:abstractNum>
  <w:abstractNum w:abstractNumId="27" w15:restartNumberingAfterBreak="0">
    <w:nsid w:val="2C1A1F10"/>
    <w:multiLevelType w:val="hybridMultilevel"/>
    <w:tmpl w:val="CB620ED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2D7931DA"/>
    <w:multiLevelType w:val="hybridMultilevel"/>
    <w:tmpl w:val="4F362B14"/>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15:restartNumberingAfterBreak="0">
    <w:nsid w:val="2E3F5628"/>
    <w:multiLevelType w:val="hybridMultilevel"/>
    <w:tmpl w:val="E9CCBD26"/>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2E90137A"/>
    <w:multiLevelType w:val="hybridMultilevel"/>
    <w:tmpl w:val="D0F4ADB4"/>
    <w:lvl w:ilvl="0" w:tplc="E25218C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D53850"/>
    <w:multiLevelType w:val="hybridMultilevel"/>
    <w:tmpl w:val="9BC08190"/>
    <w:lvl w:ilvl="0" w:tplc="0816000F">
      <w:start w:val="1"/>
      <w:numFmt w:val="decimal"/>
      <w:lvlText w:val="%1."/>
      <w:lvlJc w:val="left"/>
      <w:pPr>
        <w:ind w:left="360" w:hanging="360"/>
      </w:pPr>
      <w:rPr>
        <w:rFonts w:hint="default"/>
      </w:rPr>
    </w:lvl>
    <w:lvl w:ilvl="1" w:tplc="E8220A6C">
      <w:start w:val="1"/>
      <w:numFmt w:val="decimal"/>
      <w:lvlText w:val="%2)"/>
      <w:lvlJc w:val="left"/>
      <w:pPr>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30BA79CD"/>
    <w:multiLevelType w:val="hybridMultilevel"/>
    <w:tmpl w:val="A22C23E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310413F0"/>
    <w:multiLevelType w:val="hybridMultilevel"/>
    <w:tmpl w:val="2110BCCE"/>
    <w:lvl w:ilvl="0" w:tplc="9B4C5764">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342E08D7"/>
    <w:multiLevelType w:val="hybridMultilevel"/>
    <w:tmpl w:val="C31C9E38"/>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34A00E69"/>
    <w:multiLevelType w:val="hybridMultilevel"/>
    <w:tmpl w:val="F954B716"/>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356E079F"/>
    <w:multiLevelType w:val="hybridMultilevel"/>
    <w:tmpl w:val="2098C726"/>
    <w:lvl w:ilvl="0" w:tplc="FD8A5650">
      <w:start w:val="1"/>
      <w:numFmt w:val="bullet"/>
      <w:lvlText w:val="-"/>
      <w:lvlJc w:val="left"/>
      <w:pPr>
        <w:ind w:left="360" w:hanging="360"/>
      </w:pPr>
      <w:rPr>
        <w:rFonts w:ascii="Calibri" w:hAnsi="Calibri"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15:restartNumberingAfterBreak="0">
    <w:nsid w:val="359F4C26"/>
    <w:multiLevelType w:val="hybridMultilevel"/>
    <w:tmpl w:val="1B561EEE"/>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15:restartNumberingAfterBreak="0">
    <w:nsid w:val="35ED721D"/>
    <w:multiLevelType w:val="hybridMultilevel"/>
    <w:tmpl w:val="3F249E24"/>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9" w15:restartNumberingAfterBreak="0">
    <w:nsid w:val="36FD5062"/>
    <w:multiLevelType w:val="hybridMultilevel"/>
    <w:tmpl w:val="026AF952"/>
    <w:lvl w:ilvl="0" w:tplc="FF0E4E3E">
      <w:start w:val="1"/>
      <w:numFmt w:val="lowerRoman"/>
      <w:lvlText w:val="%1."/>
      <w:lvlJc w:val="left"/>
      <w:pPr>
        <w:ind w:left="1080" w:hanging="72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FD7706"/>
    <w:multiLevelType w:val="hybridMultilevel"/>
    <w:tmpl w:val="D5108810"/>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1" w15:restartNumberingAfterBreak="0">
    <w:nsid w:val="3BA97D50"/>
    <w:multiLevelType w:val="hybridMultilevel"/>
    <w:tmpl w:val="6AA0DFD4"/>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3F932004"/>
    <w:multiLevelType w:val="hybridMultilevel"/>
    <w:tmpl w:val="5C1273B4"/>
    <w:lvl w:ilvl="0" w:tplc="04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3" w15:restartNumberingAfterBreak="0">
    <w:nsid w:val="3FC47B27"/>
    <w:multiLevelType w:val="hybridMultilevel"/>
    <w:tmpl w:val="B316F114"/>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3FDD534E"/>
    <w:multiLevelType w:val="hybridMultilevel"/>
    <w:tmpl w:val="49DCED26"/>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41325E30"/>
    <w:multiLevelType w:val="hybridMultilevel"/>
    <w:tmpl w:val="502AD1E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416A3B17"/>
    <w:multiLevelType w:val="hybridMultilevel"/>
    <w:tmpl w:val="6E342834"/>
    <w:lvl w:ilvl="0" w:tplc="9418FA3C">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7" w15:restartNumberingAfterBreak="0">
    <w:nsid w:val="43403693"/>
    <w:multiLevelType w:val="hybridMultilevel"/>
    <w:tmpl w:val="E334F14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46847940"/>
    <w:multiLevelType w:val="hybridMultilevel"/>
    <w:tmpl w:val="2AA455E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47373BA8"/>
    <w:multiLevelType w:val="hybridMultilevel"/>
    <w:tmpl w:val="A30E0130"/>
    <w:lvl w:ilvl="0" w:tplc="9B4C5764">
      <w:start w:val="1"/>
      <w:numFmt w:val="bullet"/>
      <w:lvlText w:val=""/>
      <w:lvlJc w:val="left"/>
      <w:pPr>
        <w:ind w:left="774" w:hanging="360"/>
      </w:pPr>
      <w:rPr>
        <w:rFonts w:ascii="Symbol" w:hAnsi="Symbol"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50" w15:restartNumberingAfterBreak="0">
    <w:nsid w:val="48117E0D"/>
    <w:multiLevelType w:val="hybridMultilevel"/>
    <w:tmpl w:val="2B5E42D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1" w15:restartNumberingAfterBreak="0">
    <w:nsid w:val="48580E99"/>
    <w:multiLevelType w:val="hybridMultilevel"/>
    <w:tmpl w:val="68CE3B68"/>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2" w15:restartNumberingAfterBreak="0">
    <w:nsid w:val="49AD2EC0"/>
    <w:multiLevelType w:val="hybridMultilevel"/>
    <w:tmpl w:val="73922FB8"/>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4A962A1E"/>
    <w:multiLevelType w:val="hybridMultilevel"/>
    <w:tmpl w:val="039276F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4" w15:restartNumberingAfterBreak="0">
    <w:nsid w:val="4B5A747A"/>
    <w:multiLevelType w:val="hybridMultilevel"/>
    <w:tmpl w:val="D3B8D45C"/>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5" w15:restartNumberingAfterBreak="0">
    <w:nsid w:val="4B734A21"/>
    <w:multiLevelType w:val="hybridMultilevel"/>
    <w:tmpl w:val="257A2B4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15:restartNumberingAfterBreak="0">
    <w:nsid w:val="4C29733B"/>
    <w:multiLevelType w:val="hybridMultilevel"/>
    <w:tmpl w:val="C0D2ADF0"/>
    <w:lvl w:ilvl="0" w:tplc="9B4C5764">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15:restartNumberingAfterBreak="0">
    <w:nsid w:val="4E781CC3"/>
    <w:multiLevelType w:val="hybridMultilevel"/>
    <w:tmpl w:val="35FA2DDA"/>
    <w:lvl w:ilvl="0" w:tplc="E25218C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506FF7"/>
    <w:multiLevelType w:val="hybridMultilevel"/>
    <w:tmpl w:val="3D74EB80"/>
    <w:lvl w:ilvl="0" w:tplc="08160001">
      <w:start w:val="1"/>
      <w:numFmt w:val="bullet"/>
      <w:lvlText w:val=""/>
      <w:lvlJc w:val="left"/>
      <w:pPr>
        <w:ind w:left="644" w:hanging="360"/>
      </w:pPr>
      <w:rPr>
        <w:rFonts w:ascii="Symbol" w:hAnsi="Symbol" w:hint="default"/>
      </w:rPr>
    </w:lvl>
    <w:lvl w:ilvl="1" w:tplc="08160003">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9" w15:restartNumberingAfterBreak="0">
    <w:nsid w:val="540F19C6"/>
    <w:multiLevelType w:val="hybridMultilevel"/>
    <w:tmpl w:val="38DA653A"/>
    <w:lvl w:ilvl="0" w:tplc="C166168C">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0" w15:restartNumberingAfterBreak="0">
    <w:nsid w:val="55043F3E"/>
    <w:multiLevelType w:val="hybridMultilevel"/>
    <w:tmpl w:val="01905374"/>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1" w15:restartNumberingAfterBreak="0">
    <w:nsid w:val="588539A8"/>
    <w:multiLevelType w:val="hybridMultilevel"/>
    <w:tmpl w:val="4BC2CF4A"/>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2" w15:restartNumberingAfterBreak="0">
    <w:nsid w:val="59CA5594"/>
    <w:multiLevelType w:val="hybridMultilevel"/>
    <w:tmpl w:val="C4D6ED0E"/>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3" w15:restartNumberingAfterBreak="0">
    <w:nsid w:val="59CC4014"/>
    <w:multiLevelType w:val="hybridMultilevel"/>
    <w:tmpl w:val="757228D0"/>
    <w:lvl w:ilvl="0" w:tplc="9B4C5764">
      <w:start w:val="1"/>
      <w:numFmt w:val="bullet"/>
      <w:lvlText w:val=""/>
      <w:lvlJc w:val="left"/>
      <w:pPr>
        <w:ind w:left="720" w:hanging="360"/>
      </w:pPr>
      <w:rPr>
        <w:rFonts w:ascii="Symbol" w:hAnsi="Symbol" w:hint="default"/>
      </w:rPr>
    </w:lvl>
    <w:lvl w:ilvl="1" w:tplc="08160005">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15:restartNumberingAfterBreak="0">
    <w:nsid w:val="5A274240"/>
    <w:multiLevelType w:val="hybridMultilevel"/>
    <w:tmpl w:val="CBD67DA0"/>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5" w15:restartNumberingAfterBreak="0">
    <w:nsid w:val="5B7D1A4D"/>
    <w:multiLevelType w:val="hybridMultilevel"/>
    <w:tmpl w:val="6478DA12"/>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6" w15:restartNumberingAfterBreak="0">
    <w:nsid w:val="5D362590"/>
    <w:multiLevelType w:val="hybridMultilevel"/>
    <w:tmpl w:val="86BC829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7" w15:restartNumberingAfterBreak="0">
    <w:nsid w:val="5F731207"/>
    <w:multiLevelType w:val="hybridMultilevel"/>
    <w:tmpl w:val="06786D88"/>
    <w:lvl w:ilvl="0" w:tplc="C73A6FEA">
      <w:start w:val="1"/>
      <w:numFmt w:val="bullet"/>
      <w:lvlText w:val="→"/>
      <w:lvlJc w:val="left"/>
      <w:pPr>
        <w:ind w:left="360" w:hanging="360"/>
      </w:pPr>
      <w:rPr>
        <w:rFonts w:ascii="Courier New" w:hAnsi="Courier New"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8" w15:restartNumberingAfterBreak="0">
    <w:nsid w:val="5F917A4C"/>
    <w:multiLevelType w:val="hybridMultilevel"/>
    <w:tmpl w:val="C384386C"/>
    <w:lvl w:ilvl="0" w:tplc="FF0E4E3E">
      <w:start w:val="1"/>
      <w:numFmt w:val="lowerRoman"/>
      <w:lvlText w:val="%1."/>
      <w:lvlJc w:val="left"/>
      <w:pPr>
        <w:ind w:left="1080" w:hanging="72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DD40BE"/>
    <w:multiLevelType w:val="hybridMultilevel"/>
    <w:tmpl w:val="FCF8792A"/>
    <w:lvl w:ilvl="0" w:tplc="C888AA5C">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0" w15:restartNumberingAfterBreak="0">
    <w:nsid w:val="613E563F"/>
    <w:multiLevelType w:val="hybridMultilevel"/>
    <w:tmpl w:val="E4227FC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1" w15:restartNumberingAfterBreak="0">
    <w:nsid w:val="62FD5F2C"/>
    <w:multiLevelType w:val="hybridMultilevel"/>
    <w:tmpl w:val="84205E8C"/>
    <w:lvl w:ilvl="0" w:tplc="C73A6FEA">
      <w:start w:val="1"/>
      <w:numFmt w:val="bullet"/>
      <w:lvlText w:val="→"/>
      <w:lvlJc w:val="left"/>
      <w:pPr>
        <w:ind w:left="360" w:hanging="360"/>
      </w:pPr>
      <w:rPr>
        <w:rFonts w:ascii="Courier New" w:hAnsi="Courier New"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2" w15:restartNumberingAfterBreak="0">
    <w:nsid w:val="64F60072"/>
    <w:multiLevelType w:val="hybridMultilevel"/>
    <w:tmpl w:val="BB92821E"/>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3" w15:restartNumberingAfterBreak="0">
    <w:nsid w:val="66C56D24"/>
    <w:multiLevelType w:val="hybridMultilevel"/>
    <w:tmpl w:val="D8908FAA"/>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4" w15:restartNumberingAfterBreak="0">
    <w:nsid w:val="67FD119A"/>
    <w:multiLevelType w:val="hybridMultilevel"/>
    <w:tmpl w:val="D3A4B17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5" w15:restartNumberingAfterBreak="0">
    <w:nsid w:val="683C2108"/>
    <w:multiLevelType w:val="hybridMultilevel"/>
    <w:tmpl w:val="D2B4DC8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6" w15:restartNumberingAfterBreak="0">
    <w:nsid w:val="68664C28"/>
    <w:multiLevelType w:val="hybridMultilevel"/>
    <w:tmpl w:val="98BE4C34"/>
    <w:lvl w:ilvl="0" w:tplc="C73A6FEA">
      <w:start w:val="1"/>
      <w:numFmt w:val="bullet"/>
      <w:lvlText w:val="→"/>
      <w:lvlJc w:val="left"/>
      <w:pPr>
        <w:ind w:left="360" w:hanging="360"/>
      </w:pPr>
      <w:rPr>
        <w:rFonts w:ascii="Courier New" w:hAnsi="Courier New" w:hint="default"/>
      </w:rPr>
    </w:lvl>
    <w:lvl w:ilvl="1" w:tplc="08160005">
      <w:start w:val="1"/>
      <w:numFmt w:val="bullet"/>
      <w:lvlText w:val=""/>
      <w:lvlJc w:val="left"/>
      <w:pPr>
        <w:ind w:left="1080" w:hanging="360"/>
      </w:pPr>
      <w:rPr>
        <w:rFonts w:ascii="Wingdings" w:hAnsi="Wingdings"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7" w15:restartNumberingAfterBreak="0">
    <w:nsid w:val="69135D00"/>
    <w:multiLevelType w:val="multilevel"/>
    <w:tmpl w:val="087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633E73"/>
    <w:multiLevelType w:val="hybridMultilevel"/>
    <w:tmpl w:val="19D20A20"/>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9" w15:restartNumberingAfterBreak="0">
    <w:nsid w:val="69CF6CE2"/>
    <w:multiLevelType w:val="hybridMultilevel"/>
    <w:tmpl w:val="B714FD12"/>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0" w15:restartNumberingAfterBreak="0">
    <w:nsid w:val="6AC67995"/>
    <w:multiLevelType w:val="hybridMultilevel"/>
    <w:tmpl w:val="541050C2"/>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1" w15:restartNumberingAfterBreak="0">
    <w:nsid w:val="6B8C3626"/>
    <w:multiLevelType w:val="hybridMultilevel"/>
    <w:tmpl w:val="AD949612"/>
    <w:lvl w:ilvl="0" w:tplc="9B4C5764">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2" w15:restartNumberingAfterBreak="0">
    <w:nsid w:val="6D192A95"/>
    <w:multiLevelType w:val="hybridMultilevel"/>
    <w:tmpl w:val="ABD0F97C"/>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3" w15:restartNumberingAfterBreak="0">
    <w:nsid w:val="6EC714A4"/>
    <w:multiLevelType w:val="hybridMultilevel"/>
    <w:tmpl w:val="A2E22122"/>
    <w:lvl w:ilvl="0" w:tplc="2CA07562">
      <w:start w:val="1"/>
      <w:numFmt w:val="lowerRoman"/>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4" w15:restartNumberingAfterBreak="0">
    <w:nsid w:val="70163D23"/>
    <w:multiLevelType w:val="hybridMultilevel"/>
    <w:tmpl w:val="3FC266C6"/>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5" w15:restartNumberingAfterBreak="0">
    <w:nsid w:val="72C5411D"/>
    <w:multiLevelType w:val="hybridMultilevel"/>
    <w:tmpl w:val="72C8C254"/>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6" w15:restartNumberingAfterBreak="0">
    <w:nsid w:val="746776DE"/>
    <w:multiLevelType w:val="hybridMultilevel"/>
    <w:tmpl w:val="CECABC1C"/>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7" w15:restartNumberingAfterBreak="0">
    <w:nsid w:val="77D90460"/>
    <w:multiLevelType w:val="hybridMultilevel"/>
    <w:tmpl w:val="192867B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8" w15:restartNumberingAfterBreak="0">
    <w:nsid w:val="79673DD8"/>
    <w:multiLevelType w:val="hybridMultilevel"/>
    <w:tmpl w:val="863631B6"/>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9" w15:restartNumberingAfterBreak="0">
    <w:nsid w:val="799E7DFE"/>
    <w:multiLevelType w:val="hybridMultilevel"/>
    <w:tmpl w:val="A872A940"/>
    <w:lvl w:ilvl="0" w:tplc="9B4C576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0" w15:restartNumberingAfterBreak="0">
    <w:nsid w:val="79B309A5"/>
    <w:multiLevelType w:val="hybridMultilevel"/>
    <w:tmpl w:val="58089E6A"/>
    <w:lvl w:ilvl="0" w:tplc="08160005">
      <w:start w:val="1"/>
      <w:numFmt w:val="bullet"/>
      <w:lvlText w:val=""/>
      <w:lvlJc w:val="left"/>
      <w:pPr>
        <w:ind w:left="720" w:hanging="360"/>
      </w:pPr>
      <w:rPr>
        <w:rFonts w:ascii="Wingdings" w:hAnsi="Wingdings" w:hint="default"/>
      </w:rPr>
    </w:lvl>
    <w:lvl w:ilvl="1" w:tplc="C73A6FEA">
      <w:start w:val="1"/>
      <w:numFmt w:val="bullet"/>
      <w:lvlText w:val="→"/>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1" w15:restartNumberingAfterBreak="0">
    <w:nsid w:val="7AFC575E"/>
    <w:multiLevelType w:val="hybridMultilevel"/>
    <w:tmpl w:val="23B42664"/>
    <w:lvl w:ilvl="0" w:tplc="C73A6FEA">
      <w:start w:val="1"/>
      <w:numFmt w:val="bullet"/>
      <w:lvlText w:val="→"/>
      <w:lvlJc w:val="left"/>
      <w:pPr>
        <w:ind w:left="360" w:hanging="360"/>
      </w:pPr>
      <w:rPr>
        <w:rFonts w:ascii="Courier New" w:hAnsi="Courier New" w:hint="default"/>
      </w:rPr>
    </w:lvl>
    <w:lvl w:ilvl="1" w:tplc="FD8A5650">
      <w:start w:val="1"/>
      <w:numFmt w:val="bullet"/>
      <w:lvlText w:val="-"/>
      <w:lvlJc w:val="left"/>
      <w:pPr>
        <w:ind w:left="1080" w:hanging="360"/>
      </w:pPr>
      <w:rPr>
        <w:rFonts w:ascii="Calibri" w:hAnsi="Calibri"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2" w15:restartNumberingAfterBreak="0">
    <w:nsid w:val="7C2A17A4"/>
    <w:multiLevelType w:val="hybridMultilevel"/>
    <w:tmpl w:val="2CECD898"/>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3" w15:restartNumberingAfterBreak="0">
    <w:nsid w:val="7D7E1447"/>
    <w:multiLevelType w:val="hybridMultilevel"/>
    <w:tmpl w:val="CB7C100C"/>
    <w:lvl w:ilvl="0" w:tplc="F6B66A16">
      <w:start w:val="1"/>
      <w:numFmt w:val="bullet"/>
      <w:pStyle w:val="Lista2"/>
      <w:lvlText w:val=""/>
      <w:lvlJc w:val="left"/>
      <w:pPr>
        <w:tabs>
          <w:tab w:val="num" w:pos="2340"/>
        </w:tabs>
        <w:ind w:left="2340" w:hanging="360"/>
      </w:pPr>
      <w:rPr>
        <w:rFonts w:ascii="Symbol" w:hAnsi="Symbol" w:hint="default"/>
      </w:rPr>
    </w:lvl>
    <w:lvl w:ilvl="1" w:tplc="19BEEE5C">
      <w:start w:val="1"/>
      <w:numFmt w:val="bullet"/>
      <w:pStyle w:val="Lista3"/>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9E688B"/>
    <w:multiLevelType w:val="hybridMultilevel"/>
    <w:tmpl w:val="F8B4DD68"/>
    <w:lvl w:ilvl="0" w:tplc="C73A6FEA">
      <w:start w:val="1"/>
      <w:numFmt w:val="bullet"/>
      <w:lvlText w:val="→"/>
      <w:lvlJc w:val="left"/>
      <w:pPr>
        <w:ind w:left="720" w:hanging="360"/>
      </w:pPr>
      <w:rPr>
        <w:rFonts w:ascii="Courier New" w:hAnsi="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5" w15:restartNumberingAfterBreak="0">
    <w:nsid w:val="7E177A8D"/>
    <w:multiLevelType w:val="hybridMultilevel"/>
    <w:tmpl w:val="6AEE947C"/>
    <w:lvl w:ilvl="0" w:tplc="C73A6FEA">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6" w15:restartNumberingAfterBreak="0">
    <w:nsid w:val="7E857DFF"/>
    <w:multiLevelType w:val="hybridMultilevel"/>
    <w:tmpl w:val="B74EA5A6"/>
    <w:lvl w:ilvl="0" w:tplc="08160005">
      <w:start w:val="1"/>
      <w:numFmt w:val="bullet"/>
      <w:lvlText w:val=""/>
      <w:lvlJc w:val="left"/>
      <w:pPr>
        <w:ind w:left="720" w:hanging="360"/>
      </w:pPr>
      <w:rPr>
        <w:rFonts w:ascii="Wingdings" w:hAnsi="Wingdings" w:hint="default"/>
      </w:rPr>
    </w:lvl>
    <w:lvl w:ilvl="1" w:tplc="C73A6FEA">
      <w:start w:val="1"/>
      <w:numFmt w:val="bullet"/>
      <w:lvlText w:val="→"/>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0"/>
  </w:num>
  <w:num w:numId="2">
    <w:abstractNumId w:val="57"/>
  </w:num>
  <w:num w:numId="3">
    <w:abstractNumId w:val="68"/>
  </w:num>
  <w:num w:numId="4">
    <w:abstractNumId w:val="77"/>
  </w:num>
  <w:num w:numId="5">
    <w:abstractNumId w:val="16"/>
  </w:num>
  <w:num w:numId="6">
    <w:abstractNumId w:val="39"/>
  </w:num>
  <w:num w:numId="7">
    <w:abstractNumId w:val="31"/>
  </w:num>
  <w:num w:numId="8">
    <w:abstractNumId w:val="72"/>
  </w:num>
  <w:num w:numId="9">
    <w:abstractNumId w:val="60"/>
  </w:num>
  <w:num w:numId="10">
    <w:abstractNumId w:val="26"/>
  </w:num>
  <w:num w:numId="11">
    <w:abstractNumId w:val="84"/>
  </w:num>
  <w:num w:numId="12">
    <w:abstractNumId w:val="14"/>
  </w:num>
  <w:num w:numId="13">
    <w:abstractNumId w:val="17"/>
  </w:num>
  <w:num w:numId="14">
    <w:abstractNumId w:val="89"/>
  </w:num>
  <w:num w:numId="15">
    <w:abstractNumId w:val="28"/>
  </w:num>
  <w:num w:numId="16">
    <w:abstractNumId w:val="13"/>
  </w:num>
  <w:num w:numId="17">
    <w:abstractNumId w:val="45"/>
  </w:num>
  <w:num w:numId="18">
    <w:abstractNumId w:val="83"/>
  </w:num>
  <w:num w:numId="19">
    <w:abstractNumId w:val="6"/>
  </w:num>
  <w:num w:numId="20">
    <w:abstractNumId w:val="43"/>
  </w:num>
  <w:num w:numId="21">
    <w:abstractNumId w:val="37"/>
  </w:num>
  <w:num w:numId="22">
    <w:abstractNumId w:val="21"/>
  </w:num>
  <w:num w:numId="23">
    <w:abstractNumId w:val="53"/>
  </w:num>
  <w:num w:numId="24">
    <w:abstractNumId w:val="24"/>
  </w:num>
  <w:num w:numId="25">
    <w:abstractNumId w:val="86"/>
  </w:num>
  <w:num w:numId="26">
    <w:abstractNumId w:val="1"/>
  </w:num>
  <w:num w:numId="27">
    <w:abstractNumId w:val="70"/>
  </w:num>
  <w:num w:numId="28">
    <w:abstractNumId w:val="93"/>
  </w:num>
  <w:num w:numId="29">
    <w:abstractNumId w:val="20"/>
  </w:num>
  <w:num w:numId="30">
    <w:abstractNumId w:val="51"/>
  </w:num>
  <w:num w:numId="31">
    <w:abstractNumId w:val="55"/>
  </w:num>
  <w:num w:numId="32">
    <w:abstractNumId w:val="15"/>
  </w:num>
  <w:num w:numId="33">
    <w:abstractNumId w:val="87"/>
  </w:num>
  <w:num w:numId="34">
    <w:abstractNumId w:val="96"/>
  </w:num>
  <w:num w:numId="35">
    <w:abstractNumId w:val="23"/>
  </w:num>
  <w:num w:numId="36">
    <w:abstractNumId w:val="48"/>
  </w:num>
  <w:num w:numId="37">
    <w:abstractNumId w:val="90"/>
  </w:num>
  <w:num w:numId="38">
    <w:abstractNumId w:val="33"/>
  </w:num>
  <w:num w:numId="39">
    <w:abstractNumId w:val="2"/>
  </w:num>
  <w:num w:numId="40">
    <w:abstractNumId w:val="44"/>
  </w:num>
  <w:num w:numId="41">
    <w:abstractNumId w:val="50"/>
  </w:num>
  <w:num w:numId="42">
    <w:abstractNumId w:val="9"/>
  </w:num>
  <w:num w:numId="43">
    <w:abstractNumId w:val="35"/>
  </w:num>
  <w:num w:numId="44">
    <w:abstractNumId w:val="75"/>
  </w:num>
  <w:num w:numId="45">
    <w:abstractNumId w:val="19"/>
  </w:num>
  <w:num w:numId="46">
    <w:abstractNumId w:val="74"/>
  </w:num>
  <w:num w:numId="47">
    <w:abstractNumId w:val="34"/>
  </w:num>
  <w:num w:numId="48">
    <w:abstractNumId w:val="47"/>
  </w:num>
  <w:num w:numId="49">
    <w:abstractNumId w:val="49"/>
  </w:num>
  <w:num w:numId="50">
    <w:abstractNumId w:val="65"/>
  </w:num>
  <w:num w:numId="51">
    <w:abstractNumId w:val="12"/>
  </w:num>
  <w:num w:numId="52">
    <w:abstractNumId w:val="82"/>
  </w:num>
  <w:num w:numId="53">
    <w:abstractNumId w:val="10"/>
  </w:num>
  <w:num w:numId="54">
    <w:abstractNumId w:val="5"/>
  </w:num>
  <w:num w:numId="55">
    <w:abstractNumId w:val="69"/>
  </w:num>
  <w:num w:numId="56">
    <w:abstractNumId w:val="61"/>
  </w:num>
  <w:num w:numId="57">
    <w:abstractNumId w:val="62"/>
  </w:num>
  <w:num w:numId="58">
    <w:abstractNumId w:val="42"/>
  </w:num>
  <w:num w:numId="59">
    <w:abstractNumId w:val="29"/>
  </w:num>
  <w:num w:numId="60">
    <w:abstractNumId w:val="64"/>
  </w:num>
  <w:num w:numId="61">
    <w:abstractNumId w:val="7"/>
  </w:num>
  <w:num w:numId="62">
    <w:abstractNumId w:val="41"/>
  </w:num>
  <w:num w:numId="63">
    <w:abstractNumId w:val="73"/>
  </w:num>
  <w:num w:numId="64">
    <w:abstractNumId w:val="67"/>
  </w:num>
  <w:num w:numId="65">
    <w:abstractNumId w:val="36"/>
  </w:num>
  <w:num w:numId="66">
    <w:abstractNumId w:val="92"/>
  </w:num>
  <w:num w:numId="67">
    <w:abstractNumId w:val="79"/>
  </w:num>
  <w:num w:numId="68">
    <w:abstractNumId w:val="59"/>
  </w:num>
  <w:num w:numId="69">
    <w:abstractNumId w:val="63"/>
  </w:num>
  <w:num w:numId="70">
    <w:abstractNumId w:val="81"/>
  </w:num>
  <w:num w:numId="71">
    <w:abstractNumId w:val="58"/>
  </w:num>
  <w:num w:numId="72">
    <w:abstractNumId w:val="0"/>
  </w:num>
  <w:num w:numId="73">
    <w:abstractNumId w:val="56"/>
  </w:num>
  <w:num w:numId="74">
    <w:abstractNumId w:val="66"/>
  </w:num>
  <w:num w:numId="75">
    <w:abstractNumId w:val="71"/>
  </w:num>
  <w:num w:numId="76">
    <w:abstractNumId w:val="4"/>
  </w:num>
  <w:num w:numId="77">
    <w:abstractNumId w:val="11"/>
  </w:num>
  <w:num w:numId="78">
    <w:abstractNumId w:val="91"/>
  </w:num>
  <w:num w:numId="79">
    <w:abstractNumId w:val="54"/>
  </w:num>
  <w:num w:numId="80">
    <w:abstractNumId w:val="40"/>
  </w:num>
  <w:num w:numId="81">
    <w:abstractNumId w:val="95"/>
  </w:num>
  <w:num w:numId="82">
    <w:abstractNumId w:val="88"/>
  </w:num>
  <w:num w:numId="83">
    <w:abstractNumId w:val="32"/>
  </w:num>
  <w:num w:numId="84">
    <w:abstractNumId w:val="18"/>
  </w:num>
  <w:num w:numId="85">
    <w:abstractNumId w:val="85"/>
  </w:num>
  <w:num w:numId="86">
    <w:abstractNumId w:val="8"/>
  </w:num>
  <w:num w:numId="87">
    <w:abstractNumId w:val="22"/>
  </w:num>
  <w:num w:numId="88">
    <w:abstractNumId w:val="27"/>
  </w:num>
  <w:num w:numId="89">
    <w:abstractNumId w:val="3"/>
  </w:num>
  <w:num w:numId="90">
    <w:abstractNumId w:val="80"/>
  </w:num>
  <w:num w:numId="91">
    <w:abstractNumId w:val="38"/>
  </w:num>
  <w:num w:numId="92">
    <w:abstractNumId w:val="78"/>
  </w:num>
  <w:num w:numId="93">
    <w:abstractNumId w:val="52"/>
  </w:num>
  <w:num w:numId="94">
    <w:abstractNumId w:val="46"/>
  </w:num>
  <w:num w:numId="95">
    <w:abstractNumId w:val="25"/>
  </w:num>
  <w:num w:numId="96">
    <w:abstractNumId w:val="94"/>
  </w:num>
  <w:num w:numId="97">
    <w:abstractNumId w:val="7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hyphenationZone w:val="425"/>
  <w:drawingGridHorizontalSpacing w:val="57"/>
  <w:drawingGridVerticalSpacing w:val="4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D9"/>
    <w:rsid w:val="00002697"/>
    <w:rsid w:val="00002786"/>
    <w:rsid w:val="000042AD"/>
    <w:rsid w:val="00004E79"/>
    <w:rsid w:val="000115FB"/>
    <w:rsid w:val="0001295E"/>
    <w:rsid w:val="0001770C"/>
    <w:rsid w:val="000206FC"/>
    <w:rsid w:val="000217E2"/>
    <w:rsid w:val="00022044"/>
    <w:rsid w:val="0002331D"/>
    <w:rsid w:val="00024793"/>
    <w:rsid w:val="000300E4"/>
    <w:rsid w:val="00034A3D"/>
    <w:rsid w:val="00040761"/>
    <w:rsid w:val="000417DE"/>
    <w:rsid w:val="00041FA6"/>
    <w:rsid w:val="00041FC8"/>
    <w:rsid w:val="00044E26"/>
    <w:rsid w:val="00045097"/>
    <w:rsid w:val="000450B4"/>
    <w:rsid w:val="000461D3"/>
    <w:rsid w:val="00046C5B"/>
    <w:rsid w:val="000543D8"/>
    <w:rsid w:val="00054D8B"/>
    <w:rsid w:val="00055EFA"/>
    <w:rsid w:val="00057319"/>
    <w:rsid w:val="00063938"/>
    <w:rsid w:val="00064912"/>
    <w:rsid w:val="0006557D"/>
    <w:rsid w:val="00065B4A"/>
    <w:rsid w:val="00065C53"/>
    <w:rsid w:val="00065FF5"/>
    <w:rsid w:val="000666E6"/>
    <w:rsid w:val="00072947"/>
    <w:rsid w:val="00072B92"/>
    <w:rsid w:val="000732B4"/>
    <w:rsid w:val="0007402E"/>
    <w:rsid w:val="000758F2"/>
    <w:rsid w:val="00076E06"/>
    <w:rsid w:val="00081FCE"/>
    <w:rsid w:val="00084515"/>
    <w:rsid w:val="00084698"/>
    <w:rsid w:val="000858DA"/>
    <w:rsid w:val="00085960"/>
    <w:rsid w:val="00087143"/>
    <w:rsid w:val="0009063D"/>
    <w:rsid w:val="000910F5"/>
    <w:rsid w:val="00092E69"/>
    <w:rsid w:val="0009505B"/>
    <w:rsid w:val="000976D9"/>
    <w:rsid w:val="000A0A8C"/>
    <w:rsid w:val="000A1CB6"/>
    <w:rsid w:val="000A3765"/>
    <w:rsid w:val="000A4855"/>
    <w:rsid w:val="000A6F12"/>
    <w:rsid w:val="000A7715"/>
    <w:rsid w:val="000A7F3E"/>
    <w:rsid w:val="000B1496"/>
    <w:rsid w:val="000B1FEC"/>
    <w:rsid w:val="000B2AC6"/>
    <w:rsid w:val="000B3605"/>
    <w:rsid w:val="000B719E"/>
    <w:rsid w:val="000B76E5"/>
    <w:rsid w:val="000C029F"/>
    <w:rsid w:val="000C1DE9"/>
    <w:rsid w:val="000C281F"/>
    <w:rsid w:val="000C3811"/>
    <w:rsid w:val="000C4E8E"/>
    <w:rsid w:val="000C7A40"/>
    <w:rsid w:val="000D0B6F"/>
    <w:rsid w:val="000D1CCF"/>
    <w:rsid w:val="000D3ECA"/>
    <w:rsid w:val="000D4499"/>
    <w:rsid w:val="000D54A0"/>
    <w:rsid w:val="000D5542"/>
    <w:rsid w:val="000D623A"/>
    <w:rsid w:val="000E04C1"/>
    <w:rsid w:val="000E0900"/>
    <w:rsid w:val="000E0ADA"/>
    <w:rsid w:val="000E1BBD"/>
    <w:rsid w:val="000E33FF"/>
    <w:rsid w:val="000E64A6"/>
    <w:rsid w:val="000E696A"/>
    <w:rsid w:val="000F0278"/>
    <w:rsid w:val="000F2405"/>
    <w:rsid w:val="000F479F"/>
    <w:rsid w:val="000F5FE9"/>
    <w:rsid w:val="00101AD2"/>
    <w:rsid w:val="00102CD8"/>
    <w:rsid w:val="00103E6C"/>
    <w:rsid w:val="00105316"/>
    <w:rsid w:val="001064B5"/>
    <w:rsid w:val="00107E49"/>
    <w:rsid w:val="0011026A"/>
    <w:rsid w:val="00110435"/>
    <w:rsid w:val="00111107"/>
    <w:rsid w:val="001121BE"/>
    <w:rsid w:val="0011530A"/>
    <w:rsid w:val="0011569B"/>
    <w:rsid w:val="00121C3B"/>
    <w:rsid w:val="00122B49"/>
    <w:rsid w:val="0012409E"/>
    <w:rsid w:val="00124610"/>
    <w:rsid w:val="00131E97"/>
    <w:rsid w:val="00132272"/>
    <w:rsid w:val="0013260D"/>
    <w:rsid w:val="00132B6F"/>
    <w:rsid w:val="001337AD"/>
    <w:rsid w:val="00136A72"/>
    <w:rsid w:val="001401FB"/>
    <w:rsid w:val="00142D2C"/>
    <w:rsid w:val="00144165"/>
    <w:rsid w:val="00144DB0"/>
    <w:rsid w:val="001465B1"/>
    <w:rsid w:val="0015127C"/>
    <w:rsid w:val="001520C0"/>
    <w:rsid w:val="001521E3"/>
    <w:rsid w:val="00152725"/>
    <w:rsid w:val="001528C5"/>
    <w:rsid w:val="00152C17"/>
    <w:rsid w:val="0015303E"/>
    <w:rsid w:val="001532AB"/>
    <w:rsid w:val="001535DE"/>
    <w:rsid w:val="00153BF5"/>
    <w:rsid w:val="001559A1"/>
    <w:rsid w:val="00155EE2"/>
    <w:rsid w:val="00156EE3"/>
    <w:rsid w:val="00160334"/>
    <w:rsid w:val="00160915"/>
    <w:rsid w:val="00162574"/>
    <w:rsid w:val="001636CB"/>
    <w:rsid w:val="00163E13"/>
    <w:rsid w:val="00164426"/>
    <w:rsid w:val="001664B9"/>
    <w:rsid w:val="001668B7"/>
    <w:rsid w:val="00166C9D"/>
    <w:rsid w:val="0016730F"/>
    <w:rsid w:val="0016766E"/>
    <w:rsid w:val="0017001E"/>
    <w:rsid w:val="00170C71"/>
    <w:rsid w:val="00170FD4"/>
    <w:rsid w:val="00171597"/>
    <w:rsid w:val="001725DF"/>
    <w:rsid w:val="00173D6A"/>
    <w:rsid w:val="001757B2"/>
    <w:rsid w:val="001773AF"/>
    <w:rsid w:val="001776A5"/>
    <w:rsid w:val="00180821"/>
    <w:rsid w:val="001823D5"/>
    <w:rsid w:val="00183A91"/>
    <w:rsid w:val="00186C91"/>
    <w:rsid w:val="00187776"/>
    <w:rsid w:val="00187F45"/>
    <w:rsid w:val="00190391"/>
    <w:rsid w:val="001946CA"/>
    <w:rsid w:val="0019584E"/>
    <w:rsid w:val="00195D54"/>
    <w:rsid w:val="001A10A7"/>
    <w:rsid w:val="001A2DE1"/>
    <w:rsid w:val="001A3004"/>
    <w:rsid w:val="001A5A98"/>
    <w:rsid w:val="001A60E2"/>
    <w:rsid w:val="001B0D3E"/>
    <w:rsid w:val="001B1A10"/>
    <w:rsid w:val="001B6BB7"/>
    <w:rsid w:val="001C0A68"/>
    <w:rsid w:val="001C1403"/>
    <w:rsid w:val="001C2C91"/>
    <w:rsid w:val="001C4F13"/>
    <w:rsid w:val="001C50C8"/>
    <w:rsid w:val="001C5B6B"/>
    <w:rsid w:val="001D1796"/>
    <w:rsid w:val="001D25C4"/>
    <w:rsid w:val="001D26D9"/>
    <w:rsid w:val="001D30E3"/>
    <w:rsid w:val="001D3D65"/>
    <w:rsid w:val="001D738A"/>
    <w:rsid w:val="001D75D9"/>
    <w:rsid w:val="001E0189"/>
    <w:rsid w:val="001E0268"/>
    <w:rsid w:val="001E35E7"/>
    <w:rsid w:val="001E3A97"/>
    <w:rsid w:val="001E599D"/>
    <w:rsid w:val="001E77AF"/>
    <w:rsid w:val="001F0D9C"/>
    <w:rsid w:val="001F2AEB"/>
    <w:rsid w:val="001F5066"/>
    <w:rsid w:val="00200041"/>
    <w:rsid w:val="00201F52"/>
    <w:rsid w:val="0020256E"/>
    <w:rsid w:val="0020758D"/>
    <w:rsid w:val="002113FD"/>
    <w:rsid w:val="00213BC9"/>
    <w:rsid w:val="00213C8D"/>
    <w:rsid w:val="00216170"/>
    <w:rsid w:val="00217396"/>
    <w:rsid w:val="00220A66"/>
    <w:rsid w:val="0022168B"/>
    <w:rsid w:val="0022356B"/>
    <w:rsid w:val="002241C3"/>
    <w:rsid w:val="00224D29"/>
    <w:rsid w:val="00227851"/>
    <w:rsid w:val="002279A1"/>
    <w:rsid w:val="002308C2"/>
    <w:rsid w:val="00234968"/>
    <w:rsid w:val="002352CA"/>
    <w:rsid w:val="00236223"/>
    <w:rsid w:val="00236FE5"/>
    <w:rsid w:val="00237D05"/>
    <w:rsid w:val="00240899"/>
    <w:rsid w:val="00240F3A"/>
    <w:rsid w:val="002411E6"/>
    <w:rsid w:val="00241425"/>
    <w:rsid w:val="00241E83"/>
    <w:rsid w:val="0024472F"/>
    <w:rsid w:val="00244AEC"/>
    <w:rsid w:val="002452F2"/>
    <w:rsid w:val="002467C0"/>
    <w:rsid w:val="002520E0"/>
    <w:rsid w:val="0025474E"/>
    <w:rsid w:val="00256BAE"/>
    <w:rsid w:val="0025719A"/>
    <w:rsid w:val="00260023"/>
    <w:rsid w:val="00264484"/>
    <w:rsid w:val="00264ADD"/>
    <w:rsid w:val="00265FBA"/>
    <w:rsid w:val="00267647"/>
    <w:rsid w:val="00267987"/>
    <w:rsid w:val="002714DA"/>
    <w:rsid w:val="00277C84"/>
    <w:rsid w:val="00280429"/>
    <w:rsid w:val="0028158D"/>
    <w:rsid w:val="00282B86"/>
    <w:rsid w:val="0028323F"/>
    <w:rsid w:val="0028347D"/>
    <w:rsid w:val="002836BF"/>
    <w:rsid w:val="00284A4D"/>
    <w:rsid w:val="0028574D"/>
    <w:rsid w:val="00287F69"/>
    <w:rsid w:val="00290FAA"/>
    <w:rsid w:val="00291811"/>
    <w:rsid w:val="00293732"/>
    <w:rsid w:val="002938CF"/>
    <w:rsid w:val="00295D92"/>
    <w:rsid w:val="00295E4A"/>
    <w:rsid w:val="002A24FF"/>
    <w:rsid w:val="002A4024"/>
    <w:rsid w:val="002A476D"/>
    <w:rsid w:val="002A50C5"/>
    <w:rsid w:val="002A62A2"/>
    <w:rsid w:val="002A6A7A"/>
    <w:rsid w:val="002A7100"/>
    <w:rsid w:val="002B0761"/>
    <w:rsid w:val="002B0F42"/>
    <w:rsid w:val="002B24A2"/>
    <w:rsid w:val="002B4BBA"/>
    <w:rsid w:val="002B6703"/>
    <w:rsid w:val="002B7379"/>
    <w:rsid w:val="002C33E5"/>
    <w:rsid w:val="002C547B"/>
    <w:rsid w:val="002D2AE4"/>
    <w:rsid w:val="002D2B93"/>
    <w:rsid w:val="002D4BC8"/>
    <w:rsid w:val="002D564E"/>
    <w:rsid w:val="002E2530"/>
    <w:rsid w:val="002E5977"/>
    <w:rsid w:val="002E6BE6"/>
    <w:rsid w:val="002F00EE"/>
    <w:rsid w:val="002F09F8"/>
    <w:rsid w:val="002F0DF5"/>
    <w:rsid w:val="002F18DC"/>
    <w:rsid w:val="002F2AC0"/>
    <w:rsid w:val="002F351A"/>
    <w:rsid w:val="002F78D6"/>
    <w:rsid w:val="00301327"/>
    <w:rsid w:val="00302FA8"/>
    <w:rsid w:val="0030343B"/>
    <w:rsid w:val="00304468"/>
    <w:rsid w:val="00304C9D"/>
    <w:rsid w:val="0030569F"/>
    <w:rsid w:val="00306070"/>
    <w:rsid w:val="00310CDD"/>
    <w:rsid w:val="0031159D"/>
    <w:rsid w:val="00312D0C"/>
    <w:rsid w:val="00312F65"/>
    <w:rsid w:val="003161F1"/>
    <w:rsid w:val="00316FBC"/>
    <w:rsid w:val="00317A52"/>
    <w:rsid w:val="00317BDF"/>
    <w:rsid w:val="00320337"/>
    <w:rsid w:val="00321AB8"/>
    <w:rsid w:val="00321B20"/>
    <w:rsid w:val="003257D3"/>
    <w:rsid w:val="00330F51"/>
    <w:rsid w:val="00335399"/>
    <w:rsid w:val="003377AD"/>
    <w:rsid w:val="00337F9F"/>
    <w:rsid w:val="00340AF8"/>
    <w:rsid w:val="00340FBC"/>
    <w:rsid w:val="00342118"/>
    <w:rsid w:val="003426A2"/>
    <w:rsid w:val="00343A2A"/>
    <w:rsid w:val="00343BA6"/>
    <w:rsid w:val="003455F1"/>
    <w:rsid w:val="00347186"/>
    <w:rsid w:val="00351AC1"/>
    <w:rsid w:val="003531BE"/>
    <w:rsid w:val="00355A60"/>
    <w:rsid w:val="003560F2"/>
    <w:rsid w:val="00360AD2"/>
    <w:rsid w:val="00362E58"/>
    <w:rsid w:val="00366D42"/>
    <w:rsid w:val="00366E70"/>
    <w:rsid w:val="0036712E"/>
    <w:rsid w:val="003676E8"/>
    <w:rsid w:val="00367B25"/>
    <w:rsid w:val="0037130B"/>
    <w:rsid w:val="00371996"/>
    <w:rsid w:val="0037229F"/>
    <w:rsid w:val="00373A31"/>
    <w:rsid w:val="00375088"/>
    <w:rsid w:val="0037550E"/>
    <w:rsid w:val="003758B1"/>
    <w:rsid w:val="00377246"/>
    <w:rsid w:val="00377D6B"/>
    <w:rsid w:val="00384DFF"/>
    <w:rsid w:val="003853D4"/>
    <w:rsid w:val="00390034"/>
    <w:rsid w:val="00390166"/>
    <w:rsid w:val="003932A6"/>
    <w:rsid w:val="0039427C"/>
    <w:rsid w:val="003A06FD"/>
    <w:rsid w:val="003A2ABB"/>
    <w:rsid w:val="003A3E15"/>
    <w:rsid w:val="003A4295"/>
    <w:rsid w:val="003A4AF3"/>
    <w:rsid w:val="003A6D7E"/>
    <w:rsid w:val="003B03B5"/>
    <w:rsid w:val="003B4670"/>
    <w:rsid w:val="003B6F65"/>
    <w:rsid w:val="003C00CE"/>
    <w:rsid w:val="003C0F9B"/>
    <w:rsid w:val="003C2E69"/>
    <w:rsid w:val="003C36E4"/>
    <w:rsid w:val="003C4BDB"/>
    <w:rsid w:val="003C57D0"/>
    <w:rsid w:val="003C6CAE"/>
    <w:rsid w:val="003C6FD9"/>
    <w:rsid w:val="003C7C83"/>
    <w:rsid w:val="003D03EF"/>
    <w:rsid w:val="003D3369"/>
    <w:rsid w:val="003D52F6"/>
    <w:rsid w:val="003D58EB"/>
    <w:rsid w:val="003D61AF"/>
    <w:rsid w:val="003D6810"/>
    <w:rsid w:val="003D6A7D"/>
    <w:rsid w:val="003D7EF6"/>
    <w:rsid w:val="003E00E8"/>
    <w:rsid w:val="003E0EDD"/>
    <w:rsid w:val="003E75D7"/>
    <w:rsid w:val="003E7D46"/>
    <w:rsid w:val="003F0B68"/>
    <w:rsid w:val="003F0ED8"/>
    <w:rsid w:val="003F29F2"/>
    <w:rsid w:val="003F62BC"/>
    <w:rsid w:val="003F70F8"/>
    <w:rsid w:val="003F74D1"/>
    <w:rsid w:val="003F771C"/>
    <w:rsid w:val="003F7768"/>
    <w:rsid w:val="004003C9"/>
    <w:rsid w:val="00400C8F"/>
    <w:rsid w:val="00405F8B"/>
    <w:rsid w:val="00407057"/>
    <w:rsid w:val="00410BD5"/>
    <w:rsid w:val="004119FA"/>
    <w:rsid w:val="00415531"/>
    <w:rsid w:val="00420052"/>
    <w:rsid w:val="00421613"/>
    <w:rsid w:val="00423BE7"/>
    <w:rsid w:val="00424886"/>
    <w:rsid w:val="0042725D"/>
    <w:rsid w:val="004275DD"/>
    <w:rsid w:val="004279AC"/>
    <w:rsid w:val="004318F3"/>
    <w:rsid w:val="00431A5C"/>
    <w:rsid w:val="00432079"/>
    <w:rsid w:val="00432609"/>
    <w:rsid w:val="00435B6C"/>
    <w:rsid w:val="0043674F"/>
    <w:rsid w:val="00436FDC"/>
    <w:rsid w:val="00437643"/>
    <w:rsid w:val="00437EB4"/>
    <w:rsid w:val="00444AD8"/>
    <w:rsid w:val="004454DA"/>
    <w:rsid w:val="004468A7"/>
    <w:rsid w:val="00450129"/>
    <w:rsid w:val="0045211C"/>
    <w:rsid w:val="004551D9"/>
    <w:rsid w:val="0045731C"/>
    <w:rsid w:val="00457624"/>
    <w:rsid w:val="00460423"/>
    <w:rsid w:val="00460EF2"/>
    <w:rsid w:val="00460FA1"/>
    <w:rsid w:val="00461002"/>
    <w:rsid w:val="00463F4C"/>
    <w:rsid w:val="004640B2"/>
    <w:rsid w:val="00466F66"/>
    <w:rsid w:val="00466FA1"/>
    <w:rsid w:val="00471CC8"/>
    <w:rsid w:val="0047211F"/>
    <w:rsid w:val="004723E2"/>
    <w:rsid w:val="004725F5"/>
    <w:rsid w:val="00473BFE"/>
    <w:rsid w:val="00477CD8"/>
    <w:rsid w:val="00481A03"/>
    <w:rsid w:val="0048343B"/>
    <w:rsid w:val="00483D4B"/>
    <w:rsid w:val="0048607A"/>
    <w:rsid w:val="0048613A"/>
    <w:rsid w:val="004862E6"/>
    <w:rsid w:val="004870BF"/>
    <w:rsid w:val="004909E4"/>
    <w:rsid w:val="00490C7E"/>
    <w:rsid w:val="0049125D"/>
    <w:rsid w:val="00491F6A"/>
    <w:rsid w:val="00492E0D"/>
    <w:rsid w:val="004936D9"/>
    <w:rsid w:val="00493F3E"/>
    <w:rsid w:val="0049464C"/>
    <w:rsid w:val="00494931"/>
    <w:rsid w:val="00494AEC"/>
    <w:rsid w:val="00494CF7"/>
    <w:rsid w:val="00496E41"/>
    <w:rsid w:val="00497002"/>
    <w:rsid w:val="004A3F66"/>
    <w:rsid w:val="004A58A7"/>
    <w:rsid w:val="004A6EB4"/>
    <w:rsid w:val="004A7EB2"/>
    <w:rsid w:val="004B01AC"/>
    <w:rsid w:val="004B1B13"/>
    <w:rsid w:val="004B205D"/>
    <w:rsid w:val="004B29C1"/>
    <w:rsid w:val="004B43A0"/>
    <w:rsid w:val="004B5224"/>
    <w:rsid w:val="004B545E"/>
    <w:rsid w:val="004C1F62"/>
    <w:rsid w:val="004C22F2"/>
    <w:rsid w:val="004C2520"/>
    <w:rsid w:val="004C36F0"/>
    <w:rsid w:val="004C5C14"/>
    <w:rsid w:val="004C5E23"/>
    <w:rsid w:val="004C6E39"/>
    <w:rsid w:val="004D02C2"/>
    <w:rsid w:val="004D1917"/>
    <w:rsid w:val="004D2581"/>
    <w:rsid w:val="004D3551"/>
    <w:rsid w:val="004D3EA7"/>
    <w:rsid w:val="004D458A"/>
    <w:rsid w:val="004D5033"/>
    <w:rsid w:val="004D5284"/>
    <w:rsid w:val="004D5FD9"/>
    <w:rsid w:val="004D704D"/>
    <w:rsid w:val="004E128A"/>
    <w:rsid w:val="004E269D"/>
    <w:rsid w:val="004E6075"/>
    <w:rsid w:val="004E6124"/>
    <w:rsid w:val="004E795A"/>
    <w:rsid w:val="004F13F4"/>
    <w:rsid w:val="004F1905"/>
    <w:rsid w:val="004F357E"/>
    <w:rsid w:val="004F395A"/>
    <w:rsid w:val="004F4BB1"/>
    <w:rsid w:val="004F6098"/>
    <w:rsid w:val="00503661"/>
    <w:rsid w:val="00503943"/>
    <w:rsid w:val="0050624F"/>
    <w:rsid w:val="005064CA"/>
    <w:rsid w:val="00507440"/>
    <w:rsid w:val="00507D3F"/>
    <w:rsid w:val="00510164"/>
    <w:rsid w:val="00510E10"/>
    <w:rsid w:val="00511CAF"/>
    <w:rsid w:val="005122D8"/>
    <w:rsid w:val="00512C73"/>
    <w:rsid w:val="00513254"/>
    <w:rsid w:val="0051346D"/>
    <w:rsid w:val="00515338"/>
    <w:rsid w:val="00515F9D"/>
    <w:rsid w:val="005160FF"/>
    <w:rsid w:val="00516101"/>
    <w:rsid w:val="00516B23"/>
    <w:rsid w:val="0051774B"/>
    <w:rsid w:val="00521DB0"/>
    <w:rsid w:val="005233C9"/>
    <w:rsid w:val="0052769F"/>
    <w:rsid w:val="005313DA"/>
    <w:rsid w:val="0053161F"/>
    <w:rsid w:val="00531CA7"/>
    <w:rsid w:val="005334F9"/>
    <w:rsid w:val="00533A2B"/>
    <w:rsid w:val="00533E3E"/>
    <w:rsid w:val="00536F60"/>
    <w:rsid w:val="00541FA6"/>
    <w:rsid w:val="005445F4"/>
    <w:rsid w:val="0054631A"/>
    <w:rsid w:val="0055267C"/>
    <w:rsid w:val="0055419A"/>
    <w:rsid w:val="0055489D"/>
    <w:rsid w:val="0055649F"/>
    <w:rsid w:val="00560E83"/>
    <w:rsid w:val="00565A45"/>
    <w:rsid w:val="0056614C"/>
    <w:rsid w:val="00570096"/>
    <w:rsid w:val="005709DA"/>
    <w:rsid w:val="0057201C"/>
    <w:rsid w:val="00572B11"/>
    <w:rsid w:val="00572BD6"/>
    <w:rsid w:val="00573F45"/>
    <w:rsid w:val="005757FE"/>
    <w:rsid w:val="00575A72"/>
    <w:rsid w:val="00575BB7"/>
    <w:rsid w:val="005808D4"/>
    <w:rsid w:val="00582302"/>
    <w:rsid w:val="00582AC7"/>
    <w:rsid w:val="00585325"/>
    <w:rsid w:val="00585A79"/>
    <w:rsid w:val="005900E0"/>
    <w:rsid w:val="005910F0"/>
    <w:rsid w:val="005912D2"/>
    <w:rsid w:val="005918B5"/>
    <w:rsid w:val="00592355"/>
    <w:rsid w:val="00592BB1"/>
    <w:rsid w:val="00593DE9"/>
    <w:rsid w:val="00596506"/>
    <w:rsid w:val="005A1176"/>
    <w:rsid w:val="005A1E8E"/>
    <w:rsid w:val="005A223B"/>
    <w:rsid w:val="005A315D"/>
    <w:rsid w:val="005A62D9"/>
    <w:rsid w:val="005A6C7C"/>
    <w:rsid w:val="005A6C9A"/>
    <w:rsid w:val="005B086A"/>
    <w:rsid w:val="005B342F"/>
    <w:rsid w:val="005B3E7A"/>
    <w:rsid w:val="005B5408"/>
    <w:rsid w:val="005C016A"/>
    <w:rsid w:val="005C1778"/>
    <w:rsid w:val="005C2D32"/>
    <w:rsid w:val="005C2FE0"/>
    <w:rsid w:val="005C5983"/>
    <w:rsid w:val="005C5BC0"/>
    <w:rsid w:val="005C620E"/>
    <w:rsid w:val="005C6BD3"/>
    <w:rsid w:val="005C7035"/>
    <w:rsid w:val="005C75F0"/>
    <w:rsid w:val="005D0AF0"/>
    <w:rsid w:val="005D1094"/>
    <w:rsid w:val="005D1CD3"/>
    <w:rsid w:val="005D227B"/>
    <w:rsid w:val="005D5D93"/>
    <w:rsid w:val="005D605D"/>
    <w:rsid w:val="005D6098"/>
    <w:rsid w:val="005D61D6"/>
    <w:rsid w:val="005D62EF"/>
    <w:rsid w:val="005D76CD"/>
    <w:rsid w:val="005E22A9"/>
    <w:rsid w:val="005E27F7"/>
    <w:rsid w:val="005E2AC4"/>
    <w:rsid w:val="005E2DC0"/>
    <w:rsid w:val="005E38C3"/>
    <w:rsid w:val="005E3F3B"/>
    <w:rsid w:val="005E5BB0"/>
    <w:rsid w:val="005E6AB0"/>
    <w:rsid w:val="005F054F"/>
    <w:rsid w:val="005F0A0F"/>
    <w:rsid w:val="005F1E6B"/>
    <w:rsid w:val="005F26E1"/>
    <w:rsid w:val="005F2B42"/>
    <w:rsid w:val="005F74CA"/>
    <w:rsid w:val="00603948"/>
    <w:rsid w:val="00604438"/>
    <w:rsid w:val="00605088"/>
    <w:rsid w:val="006067C8"/>
    <w:rsid w:val="00607F9A"/>
    <w:rsid w:val="00610465"/>
    <w:rsid w:val="006110D5"/>
    <w:rsid w:val="006121D1"/>
    <w:rsid w:val="00612254"/>
    <w:rsid w:val="0061426D"/>
    <w:rsid w:val="0061558C"/>
    <w:rsid w:val="006205B5"/>
    <w:rsid w:val="006224D3"/>
    <w:rsid w:val="006237EF"/>
    <w:rsid w:val="006239B2"/>
    <w:rsid w:val="00625DCA"/>
    <w:rsid w:val="00625EFB"/>
    <w:rsid w:val="00627205"/>
    <w:rsid w:val="00627507"/>
    <w:rsid w:val="00627F78"/>
    <w:rsid w:val="00630DE3"/>
    <w:rsid w:val="00631E1D"/>
    <w:rsid w:val="0063282D"/>
    <w:rsid w:val="00636170"/>
    <w:rsid w:val="00643ACD"/>
    <w:rsid w:val="006449A5"/>
    <w:rsid w:val="00644CE8"/>
    <w:rsid w:val="00645643"/>
    <w:rsid w:val="00646D29"/>
    <w:rsid w:val="0064793B"/>
    <w:rsid w:val="00651213"/>
    <w:rsid w:val="0065346D"/>
    <w:rsid w:val="00655DB7"/>
    <w:rsid w:val="006576D4"/>
    <w:rsid w:val="006614E9"/>
    <w:rsid w:val="0066213D"/>
    <w:rsid w:val="00664A2D"/>
    <w:rsid w:val="006654C4"/>
    <w:rsid w:val="006661F2"/>
    <w:rsid w:val="00674124"/>
    <w:rsid w:val="00674A8D"/>
    <w:rsid w:val="00674E99"/>
    <w:rsid w:val="006762B4"/>
    <w:rsid w:val="00676C64"/>
    <w:rsid w:val="00677F10"/>
    <w:rsid w:val="006842F0"/>
    <w:rsid w:val="0068487C"/>
    <w:rsid w:val="00685CE2"/>
    <w:rsid w:val="00686A21"/>
    <w:rsid w:val="00691D99"/>
    <w:rsid w:val="006924BB"/>
    <w:rsid w:val="006933A4"/>
    <w:rsid w:val="00695D0E"/>
    <w:rsid w:val="006A16EA"/>
    <w:rsid w:val="006A1B26"/>
    <w:rsid w:val="006A359B"/>
    <w:rsid w:val="006A4954"/>
    <w:rsid w:val="006A59C2"/>
    <w:rsid w:val="006B3186"/>
    <w:rsid w:val="006B4BAD"/>
    <w:rsid w:val="006B6B40"/>
    <w:rsid w:val="006B7EB2"/>
    <w:rsid w:val="006B7F6E"/>
    <w:rsid w:val="006C03AE"/>
    <w:rsid w:val="006C18BD"/>
    <w:rsid w:val="006C3E4C"/>
    <w:rsid w:val="006C4574"/>
    <w:rsid w:val="006C5B03"/>
    <w:rsid w:val="006C7031"/>
    <w:rsid w:val="006D0993"/>
    <w:rsid w:val="006D0F13"/>
    <w:rsid w:val="006D4EF3"/>
    <w:rsid w:val="006D555F"/>
    <w:rsid w:val="006D74CE"/>
    <w:rsid w:val="006E2541"/>
    <w:rsid w:val="006E27ED"/>
    <w:rsid w:val="006E3817"/>
    <w:rsid w:val="006F039A"/>
    <w:rsid w:val="006F0471"/>
    <w:rsid w:val="006F1BD0"/>
    <w:rsid w:val="006F25BB"/>
    <w:rsid w:val="006F2794"/>
    <w:rsid w:val="006F3558"/>
    <w:rsid w:val="006F4D1F"/>
    <w:rsid w:val="006F570B"/>
    <w:rsid w:val="006F7460"/>
    <w:rsid w:val="006F76FD"/>
    <w:rsid w:val="0070173E"/>
    <w:rsid w:val="00702D02"/>
    <w:rsid w:val="00703104"/>
    <w:rsid w:val="00703CFC"/>
    <w:rsid w:val="0070412B"/>
    <w:rsid w:val="00704658"/>
    <w:rsid w:val="00704B19"/>
    <w:rsid w:val="00704DAA"/>
    <w:rsid w:val="00705C64"/>
    <w:rsid w:val="007077CB"/>
    <w:rsid w:val="007106FB"/>
    <w:rsid w:val="0071098D"/>
    <w:rsid w:val="007113B4"/>
    <w:rsid w:val="00711C8D"/>
    <w:rsid w:val="00712805"/>
    <w:rsid w:val="00712D86"/>
    <w:rsid w:val="00713ECC"/>
    <w:rsid w:val="007140B9"/>
    <w:rsid w:val="00715D30"/>
    <w:rsid w:val="00715E93"/>
    <w:rsid w:val="007174A2"/>
    <w:rsid w:val="00717A83"/>
    <w:rsid w:val="00722EBC"/>
    <w:rsid w:val="00722F27"/>
    <w:rsid w:val="00722F9A"/>
    <w:rsid w:val="00724158"/>
    <w:rsid w:val="0072698C"/>
    <w:rsid w:val="00727936"/>
    <w:rsid w:val="007305C2"/>
    <w:rsid w:val="00731FDD"/>
    <w:rsid w:val="00734A56"/>
    <w:rsid w:val="00737403"/>
    <w:rsid w:val="00737737"/>
    <w:rsid w:val="007377B0"/>
    <w:rsid w:val="00737BF1"/>
    <w:rsid w:val="0074028B"/>
    <w:rsid w:val="0074258C"/>
    <w:rsid w:val="0074388A"/>
    <w:rsid w:val="00744B4C"/>
    <w:rsid w:val="007455CE"/>
    <w:rsid w:val="0074695E"/>
    <w:rsid w:val="007470D7"/>
    <w:rsid w:val="007502DD"/>
    <w:rsid w:val="00751A5A"/>
    <w:rsid w:val="00751B5C"/>
    <w:rsid w:val="00753654"/>
    <w:rsid w:val="007544E4"/>
    <w:rsid w:val="007546CC"/>
    <w:rsid w:val="007548F8"/>
    <w:rsid w:val="007553B5"/>
    <w:rsid w:val="00757F31"/>
    <w:rsid w:val="00760FB8"/>
    <w:rsid w:val="0076135F"/>
    <w:rsid w:val="00761DBD"/>
    <w:rsid w:val="0076487C"/>
    <w:rsid w:val="007656EE"/>
    <w:rsid w:val="00765CC8"/>
    <w:rsid w:val="00771CD3"/>
    <w:rsid w:val="00771DE8"/>
    <w:rsid w:val="007726A8"/>
    <w:rsid w:val="007807B7"/>
    <w:rsid w:val="00781560"/>
    <w:rsid w:val="0078157D"/>
    <w:rsid w:val="00782921"/>
    <w:rsid w:val="00784013"/>
    <w:rsid w:val="00785C1E"/>
    <w:rsid w:val="00786DEC"/>
    <w:rsid w:val="00790AB5"/>
    <w:rsid w:val="00790DAE"/>
    <w:rsid w:val="00792038"/>
    <w:rsid w:val="00794516"/>
    <w:rsid w:val="00794E0E"/>
    <w:rsid w:val="007965C1"/>
    <w:rsid w:val="007A21BD"/>
    <w:rsid w:val="007A2778"/>
    <w:rsid w:val="007A3810"/>
    <w:rsid w:val="007A401E"/>
    <w:rsid w:val="007A4DB8"/>
    <w:rsid w:val="007A4FC3"/>
    <w:rsid w:val="007A5378"/>
    <w:rsid w:val="007A73F8"/>
    <w:rsid w:val="007B0F41"/>
    <w:rsid w:val="007B260D"/>
    <w:rsid w:val="007B3FD3"/>
    <w:rsid w:val="007B59FF"/>
    <w:rsid w:val="007B64B2"/>
    <w:rsid w:val="007B74A8"/>
    <w:rsid w:val="007C011A"/>
    <w:rsid w:val="007C0ABC"/>
    <w:rsid w:val="007C1873"/>
    <w:rsid w:val="007C374D"/>
    <w:rsid w:val="007C460E"/>
    <w:rsid w:val="007C5C77"/>
    <w:rsid w:val="007C7745"/>
    <w:rsid w:val="007C7AB6"/>
    <w:rsid w:val="007D04D2"/>
    <w:rsid w:val="007D151B"/>
    <w:rsid w:val="007D2C18"/>
    <w:rsid w:val="007D4224"/>
    <w:rsid w:val="007D54C1"/>
    <w:rsid w:val="007D684E"/>
    <w:rsid w:val="007E0896"/>
    <w:rsid w:val="007E1354"/>
    <w:rsid w:val="007E159E"/>
    <w:rsid w:val="007E1DAC"/>
    <w:rsid w:val="007E479A"/>
    <w:rsid w:val="007E635F"/>
    <w:rsid w:val="007E7A50"/>
    <w:rsid w:val="007F1765"/>
    <w:rsid w:val="007F1D67"/>
    <w:rsid w:val="007F2C5F"/>
    <w:rsid w:val="007F343D"/>
    <w:rsid w:val="007F3C7D"/>
    <w:rsid w:val="007F3F54"/>
    <w:rsid w:val="007F40AA"/>
    <w:rsid w:val="007F460F"/>
    <w:rsid w:val="007F7BCA"/>
    <w:rsid w:val="008000D8"/>
    <w:rsid w:val="008028B7"/>
    <w:rsid w:val="00806495"/>
    <w:rsid w:val="008077B3"/>
    <w:rsid w:val="0081242F"/>
    <w:rsid w:val="00812AE6"/>
    <w:rsid w:val="00815498"/>
    <w:rsid w:val="00815F75"/>
    <w:rsid w:val="00817CBF"/>
    <w:rsid w:val="008208EB"/>
    <w:rsid w:val="00820F01"/>
    <w:rsid w:val="00821678"/>
    <w:rsid w:val="0082250C"/>
    <w:rsid w:val="00825648"/>
    <w:rsid w:val="00825D3B"/>
    <w:rsid w:val="0082722B"/>
    <w:rsid w:val="0082759E"/>
    <w:rsid w:val="00831061"/>
    <w:rsid w:val="00832D01"/>
    <w:rsid w:val="008339DA"/>
    <w:rsid w:val="008343DD"/>
    <w:rsid w:val="008367A8"/>
    <w:rsid w:val="008372C6"/>
    <w:rsid w:val="00841D2D"/>
    <w:rsid w:val="00845008"/>
    <w:rsid w:val="008477D7"/>
    <w:rsid w:val="0085200E"/>
    <w:rsid w:val="00852CA7"/>
    <w:rsid w:val="008544EF"/>
    <w:rsid w:val="008601E5"/>
    <w:rsid w:val="00861830"/>
    <w:rsid w:val="0086489C"/>
    <w:rsid w:val="00864FAB"/>
    <w:rsid w:val="00866C48"/>
    <w:rsid w:val="0087303B"/>
    <w:rsid w:val="00873334"/>
    <w:rsid w:val="0087444B"/>
    <w:rsid w:val="00874A08"/>
    <w:rsid w:val="00875DE1"/>
    <w:rsid w:val="0087756B"/>
    <w:rsid w:val="00883ED1"/>
    <w:rsid w:val="0088525D"/>
    <w:rsid w:val="00885B0D"/>
    <w:rsid w:val="00885C20"/>
    <w:rsid w:val="008919F9"/>
    <w:rsid w:val="00892969"/>
    <w:rsid w:val="00892F03"/>
    <w:rsid w:val="00892F56"/>
    <w:rsid w:val="00895C89"/>
    <w:rsid w:val="00896EBB"/>
    <w:rsid w:val="008A0EC8"/>
    <w:rsid w:val="008A0F85"/>
    <w:rsid w:val="008A1CF7"/>
    <w:rsid w:val="008A1DD0"/>
    <w:rsid w:val="008A2681"/>
    <w:rsid w:val="008A3757"/>
    <w:rsid w:val="008A4089"/>
    <w:rsid w:val="008A4904"/>
    <w:rsid w:val="008A5FB9"/>
    <w:rsid w:val="008A622D"/>
    <w:rsid w:val="008A70AF"/>
    <w:rsid w:val="008B08A5"/>
    <w:rsid w:val="008B0FA0"/>
    <w:rsid w:val="008B2106"/>
    <w:rsid w:val="008B244B"/>
    <w:rsid w:val="008B3F7A"/>
    <w:rsid w:val="008B4A36"/>
    <w:rsid w:val="008B51F8"/>
    <w:rsid w:val="008B6973"/>
    <w:rsid w:val="008B6C0B"/>
    <w:rsid w:val="008C1141"/>
    <w:rsid w:val="008C1DE0"/>
    <w:rsid w:val="008C34BC"/>
    <w:rsid w:val="008C412B"/>
    <w:rsid w:val="008C495C"/>
    <w:rsid w:val="008C68AA"/>
    <w:rsid w:val="008C69A4"/>
    <w:rsid w:val="008C7B52"/>
    <w:rsid w:val="008C7F91"/>
    <w:rsid w:val="008D0A72"/>
    <w:rsid w:val="008D0E1D"/>
    <w:rsid w:val="008D1FFC"/>
    <w:rsid w:val="008D3290"/>
    <w:rsid w:val="008D4E61"/>
    <w:rsid w:val="008E1D40"/>
    <w:rsid w:val="008E24F6"/>
    <w:rsid w:val="008E31A2"/>
    <w:rsid w:val="008E3DD6"/>
    <w:rsid w:val="008E460A"/>
    <w:rsid w:val="008E719B"/>
    <w:rsid w:val="008E76FB"/>
    <w:rsid w:val="008E7730"/>
    <w:rsid w:val="008E78AB"/>
    <w:rsid w:val="008E798E"/>
    <w:rsid w:val="008F07B3"/>
    <w:rsid w:val="008F07D8"/>
    <w:rsid w:val="008F10A8"/>
    <w:rsid w:val="008F693A"/>
    <w:rsid w:val="008F6B99"/>
    <w:rsid w:val="008F7360"/>
    <w:rsid w:val="009022E6"/>
    <w:rsid w:val="00905932"/>
    <w:rsid w:val="0091070A"/>
    <w:rsid w:val="00912F93"/>
    <w:rsid w:val="009140CB"/>
    <w:rsid w:val="00914587"/>
    <w:rsid w:val="0091466C"/>
    <w:rsid w:val="00914863"/>
    <w:rsid w:val="00921F5A"/>
    <w:rsid w:val="00922684"/>
    <w:rsid w:val="00924BC8"/>
    <w:rsid w:val="0092530E"/>
    <w:rsid w:val="00925C00"/>
    <w:rsid w:val="00925F31"/>
    <w:rsid w:val="0092686F"/>
    <w:rsid w:val="00926B39"/>
    <w:rsid w:val="009275CA"/>
    <w:rsid w:val="00930870"/>
    <w:rsid w:val="00931060"/>
    <w:rsid w:val="00931E08"/>
    <w:rsid w:val="00932C87"/>
    <w:rsid w:val="009334E2"/>
    <w:rsid w:val="00933837"/>
    <w:rsid w:val="009371AF"/>
    <w:rsid w:val="00937340"/>
    <w:rsid w:val="00940064"/>
    <w:rsid w:val="00940437"/>
    <w:rsid w:val="00940496"/>
    <w:rsid w:val="00941622"/>
    <w:rsid w:val="00943300"/>
    <w:rsid w:val="0094354A"/>
    <w:rsid w:val="00943E5E"/>
    <w:rsid w:val="00947D7A"/>
    <w:rsid w:val="0095029A"/>
    <w:rsid w:val="00950F18"/>
    <w:rsid w:val="00952574"/>
    <w:rsid w:val="009530CA"/>
    <w:rsid w:val="00955FDF"/>
    <w:rsid w:val="009578A4"/>
    <w:rsid w:val="00962791"/>
    <w:rsid w:val="00965E24"/>
    <w:rsid w:val="00966AEC"/>
    <w:rsid w:val="00970807"/>
    <w:rsid w:val="00971C9F"/>
    <w:rsid w:val="00973393"/>
    <w:rsid w:val="0097365F"/>
    <w:rsid w:val="00973AC0"/>
    <w:rsid w:val="009747F4"/>
    <w:rsid w:val="00975BCE"/>
    <w:rsid w:val="00975F94"/>
    <w:rsid w:val="00976E0D"/>
    <w:rsid w:val="00977C4E"/>
    <w:rsid w:val="00981F15"/>
    <w:rsid w:val="0098281C"/>
    <w:rsid w:val="00983939"/>
    <w:rsid w:val="00984EE3"/>
    <w:rsid w:val="009861C2"/>
    <w:rsid w:val="0098635D"/>
    <w:rsid w:val="00986DDE"/>
    <w:rsid w:val="0099540F"/>
    <w:rsid w:val="009958E0"/>
    <w:rsid w:val="00996901"/>
    <w:rsid w:val="00996F38"/>
    <w:rsid w:val="0099714C"/>
    <w:rsid w:val="009A0C22"/>
    <w:rsid w:val="009A14C6"/>
    <w:rsid w:val="009A16F6"/>
    <w:rsid w:val="009A5D8F"/>
    <w:rsid w:val="009A7544"/>
    <w:rsid w:val="009A779E"/>
    <w:rsid w:val="009B03CE"/>
    <w:rsid w:val="009B1658"/>
    <w:rsid w:val="009B458C"/>
    <w:rsid w:val="009B5199"/>
    <w:rsid w:val="009B52B7"/>
    <w:rsid w:val="009B55DB"/>
    <w:rsid w:val="009B6460"/>
    <w:rsid w:val="009C0B61"/>
    <w:rsid w:val="009C12A5"/>
    <w:rsid w:val="009C230B"/>
    <w:rsid w:val="009C4117"/>
    <w:rsid w:val="009C4883"/>
    <w:rsid w:val="009C4ACC"/>
    <w:rsid w:val="009C4B68"/>
    <w:rsid w:val="009C5DA0"/>
    <w:rsid w:val="009D02BC"/>
    <w:rsid w:val="009D0E9C"/>
    <w:rsid w:val="009D109E"/>
    <w:rsid w:val="009D504B"/>
    <w:rsid w:val="009D697F"/>
    <w:rsid w:val="009D6DD0"/>
    <w:rsid w:val="009E1F2F"/>
    <w:rsid w:val="009E2BCD"/>
    <w:rsid w:val="009E2CCC"/>
    <w:rsid w:val="009E328D"/>
    <w:rsid w:val="009E3386"/>
    <w:rsid w:val="009E5298"/>
    <w:rsid w:val="009E564D"/>
    <w:rsid w:val="009E57E2"/>
    <w:rsid w:val="009E5985"/>
    <w:rsid w:val="009E614C"/>
    <w:rsid w:val="009E74BF"/>
    <w:rsid w:val="009F0669"/>
    <w:rsid w:val="009F0C1D"/>
    <w:rsid w:val="009F122A"/>
    <w:rsid w:val="009F3B9C"/>
    <w:rsid w:val="009F4A92"/>
    <w:rsid w:val="009F551F"/>
    <w:rsid w:val="009F584C"/>
    <w:rsid w:val="009F62B7"/>
    <w:rsid w:val="009F6506"/>
    <w:rsid w:val="00A00373"/>
    <w:rsid w:val="00A003B0"/>
    <w:rsid w:val="00A00FB6"/>
    <w:rsid w:val="00A01B4F"/>
    <w:rsid w:val="00A03CE3"/>
    <w:rsid w:val="00A04718"/>
    <w:rsid w:val="00A057D0"/>
    <w:rsid w:val="00A07D88"/>
    <w:rsid w:val="00A07FD5"/>
    <w:rsid w:val="00A10222"/>
    <w:rsid w:val="00A124FE"/>
    <w:rsid w:val="00A13064"/>
    <w:rsid w:val="00A171E3"/>
    <w:rsid w:val="00A175D0"/>
    <w:rsid w:val="00A21E3C"/>
    <w:rsid w:val="00A22002"/>
    <w:rsid w:val="00A26418"/>
    <w:rsid w:val="00A26445"/>
    <w:rsid w:val="00A27344"/>
    <w:rsid w:val="00A30A9C"/>
    <w:rsid w:val="00A32471"/>
    <w:rsid w:val="00A33A08"/>
    <w:rsid w:val="00A34BCA"/>
    <w:rsid w:val="00A3517C"/>
    <w:rsid w:val="00A36DE6"/>
    <w:rsid w:val="00A36E3B"/>
    <w:rsid w:val="00A42162"/>
    <w:rsid w:val="00A4302C"/>
    <w:rsid w:val="00A43BDE"/>
    <w:rsid w:val="00A43BF3"/>
    <w:rsid w:val="00A45450"/>
    <w:rsid w:val="00A5620A"/>
    <w:rsid w:val="00A56CF3"/>
    <w:rsid w:val="00A57DC6"/>
    <w:rsid w:val="00A61AF5"/>
    <w:rsid w:val="00A61D3C"/>
    <w:rsid w:val="00A6325F"/>
    <w:rsid w:val="00A6403F"/>
    <w:rsid w:val="00A6470C"/>
    <w:rsid w:val="00A66336"/>
    <w:rsid w:val="00A67C6D"/>
    <w:rsid w:val="00A70FFD"/>
    <w:rsid w:val="00A7110A"/>
    <w:rsid w:val="00A73B5E"/>
    <w:rsid w:val="00A748F5"/>
    <w:rsid w:val="00A75D9B"/>
    <w:rsid w:val="00A8096C"/>
    <w:rsid w:val="00A80DAF"/>
    <w:rsid w:val="00A8131B"/>
    <w:rsid w:val="00A835D7"/>
    <w:rsid w:val="00A85534"/>
    <w:rsid w:val="00A863EA"/>
    <w:rsid w:val="00A86E0B"/>
    <w:rsid w:val="00A87C86"/>
    <w:rsid w:val="00A90A34"/>
    <w:rsid w:val="00A92499"/>
    <w:rsid w:val="00A92E26"/>
    <w:rsid w:val="00A931C8"/>
    <w:rsid w:val="00A93E7D"/>
    <w:rsid w:val="00A9531D"/>
    <w:rsid w:val="00A960EC"/>
    <w:rsid w:val="00A96B34"/>
    <w:rsid w:val="00A96BD7"/>
    <w:rsid w:val="00AA1962"/>
    <w:rsid w:val="00AA3974"/>
    <w:rsid w:val="00AA53D7"/>
    <w:rsid w:val="00AB05FA"/>
    <w:rsid w:val="00AB0E47"/>
    <w:rsid w:val="00AB1196"/>
    <w:rsid w:val="00AB14D0"/>
    <w:rsid w:val="00AB205D"/>
    <w:rsid w:val="00AB2218"/>
    <w:rsid w:val="00AB2ED4"/>
    <w:rsid w:val="00AB3369"/>
    <w:rsid w:val="00AB4E9C"/>
    <w:rsid w:val="00AB4ECB"/>
    <w:rsid w:val="00AB7041"/>
    <w:rsid w:val="00AB7110"/>
    <w:rsid w:val="00AC33D2"/>
    <w:rsid w:val="00AC507C"/>
    <w:rsid w:val="00AC527D"/>
    <w:rsid w:val="00AC6AB8"/>
    <w:rsid w:val="00AC7AC6"/>
    <w:rsid w:val="00AD193A"/>
    <w:rsid w:val="00AD2985"/>
    <w:rsid w:val="00AD51D6"/>
    <w:rsid w:val="00AD5660"/>
    <w:rsid w:val="00AD5CCA"/>
    <w:rsid w:val="00AD6000"/>
    <w:rsid w:val="00AD72FE"/>
    <w:rsid w:val="00AD7DCF"/>
    <w:rsid w:val="00AE19F0"/>
    <w:rsid w:val="00AE1CD2"/>
    <w:rsid w:val="00AE1FF2"/>
    <w:rsid w:val="00AE2056"/>
    <w:rsid w:val="00AE2BE6"/>
    <w:rsid w:val="00AE5C3A"/>
    <w:rsid w:val="00AE74AE"/>
    <w:rsid w:val="00AF00D8"/>
    <w:rsid w:val="00AF0106"/>
    <w:rsid w:val="00AF3100"/>
    <w:rsid w:val="00AF31EA"/>
    <w:rsid w:val="00AF3BE1"/>
    <w:rsid w:val="00AF4283"/>
    <w:rsid w:val="00AF60B6"/>
    <w:rsid w:val="00AF61C8"/>
    <w:rsid w:val="00AF753B"/>
    <w:rsid w:val="00AF7C01"/>
    <w:rsid w:val="00AF7C49"/>
    <w:rsid w:val="00B01AC5"/>
    <w:rsid w:val="00B02B75"/>
    <w:rsid w:val="00B03FBC"/>
    <w:rsid w:val="00B04C28"/>
    <w:rsid w:val="00B05407"/>
    <w:rsid w:val="00B059E8"/>
    <w:rsid w:val="00B06F86"/>
    <w:rsid w:val="00B07B3B"/>
    <w:rsid w:val="00B14CB7"/>
    <w:rsid w:val="00B167B8"/>
    <w:rsid w:val="00B17BA8"/>
    <w:rsid w:val="00B213B8"/>
    <w:rsid w:val="00B240D6"/>
    <w:rsid w:val="00B24383"/>
    <w:rsid w:val="00B2507A"/>
    <w:rsid w:val="00B262E4"/>
    <w:rsid w:val="00B26C18"/>
    <w:rsid w:val="00B30398"/>
    <w:rsid w:val="00B312EE"/>
    <w:rsid w:val="00B31E0C"/>
    <w:rsid w:val="00B31E7B"/>
    <w:rsid w:val="00B32E2C"/>
    <w:rsid w:val="00B335A8"/>
    <w:rsid w:val="00B33C71"/>
    <w:rsid w:val="00B354F7"/>
    <w:rsid w:val="00B36163"/>
    <w:rsid w:val="00B36D27"/>
    <w:rsid w:val="00B36DBF"/>
    <w:rsid w:val="00B42B13"/>
    <w:rsid w:val="00B439F3"/>
    <w:rsid w:val="00B43A1B"/>
    <w:rsid w:val="00B43D90"/>
    <w:rsid w:val="00B45D78"/>
    <w:rsid w:val="00B45F28"/>
    <w:rsid w:val="00B4676C"/>
    <w:rsid w:val="00B47C97"/>
    <w:rsid w:val="00B50DF7"/>
    <w:rsid w:val="00B5299F"/>
    <w:rsid w:val="00B563EA"/>
    <w:rsid w:val="00B56E2B"/>
    <w:rsid w:val="00B56FED"/>
    <w:rsid w:val="00B57DE2"/>
    <w:rsid w:val="00B60FC6"/>
    <w:rsid w:val="00B61DC0"/>
    <w:rsid w:val="00B64B81"/>
    <w:rsid w:val="00B64BE5"/>
    <w:rsid w:val="00B65351"/>
    <w:rsid w:val="00B662BB"/>
    <w:rsid w:val="00B66A55"/>
    <w:rsid w:val="00B7046E"/>
    <w:rsid w:val="00B70B11"/>
    <w:rsid w:val="00B70FD3"/>
    <w:rsid w:val="00B71163"/>
    <w:rsid w:val="00B71780"/>
    <w:rsid w:val="00B72106"/>
    <w:rsid w:val="00B7422C"/>
    <w:rsid w:val="00B74469"/>
    <w:rsid w:val="00B840DF"/>
    <w:rsid w:val="00B846F8"/>
    <w:rsid w:val="00B85236"/>
    <w:rsid w:val="00B853BB"/>
    <w:rsid w:val="00B855B2"/>
    <w:rsid w:val="00B85904"/>
    <w:rsid w:val="00B85C5F"/>
    <w:rsid w:val="00B86D58"/>
    <w:rsid w:val="00B8709F"/>
    <w:rsid w:val="00B8748E"/>
    <w:rsid w:val="00B87B12"/>
    <w:rsid w:val="00B87BBC"/>
    <w:rsid w:val="00B87EC5"/>
    <w:rsid w:val="00B92091"/>
    <w:rsid w:val="00B962F7"/>
    <w:rsid w:val="00BA15FC"/>
    <w:rsid w:val="00BA3955"/>
    <w:rsid w:val="00BA43FB"/>
    <w:rsid w:val="00BA49E2"/>
    <w:rsid w:val="00BA4F1A"/>
    <w:rsid w:val="00BA614F"/>
    <w:rsid w:val="00BB079D"/>
    <w:rsid w:val="00BB0FC8"/>
    <w:rsid w:val="00BB52BA"/>
    <w:rsid w:val="00BB706B"/>
    <w:rsid w:val="00BC1AF2"/>
    <w:rsid w:val="00BC2F48"/>
    <w:rsid w:val="00BC626A"/>
    <w:rsid w:val="00BC6EC3"/>
    <w:rsid w:val="00BC7CC2"/>
    <w:rsid w:val="00BD1101"/>
    <w:rsid w:val="00BD3B2A"/>
    <w:rsid w:val="00BD48AB"/>
    <w:rsid w:val="00BD48F2"/>
    <w:rsid w:val="00BD5D2F"/>
    <w:rsid w:val="00BD6B00"/>
    <w:rsid w:val="00BE1B9C"/>
    <w:rsid w:val="00BE251A"/>
    <w:rsid w:val="00BE2A06"/>
    <w:rsid w:val="00BE3B5A"/>
    <w:rsid w:val="00BE406D"/>
    <w:rsid w:val="00BE46E6"/>
    <w:rsid w:val="00BE60CE"/>
    <w:rsid w:val="00BE6CBB"/>
    <w:rsid w:val="00BF0FC6"/>
    <w:rsid w:val="00BF5388"/>
    <w:rsid w:val="00BF7226"/>
    <w:rsid w:val="00BF7485"/>
    <w:rsid w:val="00BF7D3B"/>
    <w:rsid w:val="00C001C2"/>
    <w:rsid w:val="00C0147E"/>
    <w:rsid w:val="00C03BCA"/>
    <w:rsid w:val="00C0507B"/>
    <w:rsid w:val="00C06E5B"/>
    <w:rsid w:val="00C072BF"/>
    <w:rsid w:val="00C11339"/>
    <w:rsid w:val="00C1191E"/>
    <w:rsid w:val="00C11D1E"/>
    <w:rsid w:val="00C129EE"/>
    <w:rsid w:val="00C16202"/>
    <w:rsid w:val="00C16220"/>
    <w:rsid w:val="00C16F3D"/>
    <w:rsid w:val="00C1733A"/>
    <w:rsid w:val="00C21709"/>
    <w:rsid w:val="00C222C7"/>
    <w:rsid w:val="00C223DD"/>
    <w:rsid w:val="00C22D1A"/>
    <w:rsid w:val="00C23A6C"/>
    <w:rsid w:val="00C24F5E"/>
    <w:rsid w:val="00C27088"/>
    <w:rsid w:val="00C27338"/>
    <w:rsid w:val="00C27F15"/>
    <w:rsid w:val="00C31CAF"/>
    <w:rsid w:val="00C360B8"/>
    <w:rsid w:val="00C40F7C"/>
    <w:rsid w:val="00C414AC"/>
    <w:rsid w:val="00C43203"/>
    <w:rsid w:val="00C46D24"/>
    <w:rsid w:val="00C548C3"/>
    <w:rsid w:val="00C56724"/>
    <w:rsid w:val="00C570DA"/>
    <w:rsid w:val="00C61D89"/>
    <w:rsid w:val="00C62104"/>
    <w:rsid w:val="00C629E3"/>
    <w:rsid w:val="00C62AF9"/>
    <w:rsid w:val="00C64412"/>
    <w:rsid w:val="00C65323"/>
    <w:rsid w:val="00C655E1"/>
    <w:rsid w:val="00C669FD"/>
    <w:rsid w:val="00C66EDE"/>
    <w:rsid w:val="00C67C9E"/>
    <w:rsid w:val="00C7061F"/>
    <w:rsid w:val="00C720FF"/>
    <w:rsid w:val="00C75046"/>
    <w:rsid w:val="00C80498"/>
    <w:rsid w:val="00C821ED"/>
    <w:rsid w:val="00C8227A"/>
    <w:rsid w:val="00C83120"/>
    <w:rsid w:val="00C83A02"/>
    <w:rsid w:val="00C84163"/>
    <w:rsid w:val="00C85792"/>
    <w:rsid w:val="00C866C1"/>
    <w:rsid w:val="00C917F5"/>
    <w:rsid w:val="00C937E9"/>
    <w:rsid w:val="00C96041"/>
    <w:rsid w:val="00C960B4"/>
    <w:rsid w:val="00C9610E"/>
    <w:rsid w:val="00C97585"/>
    <w:rsid w:val="00C97DAE"/>
    <w:rsid w:val="00CA027D"/>
    <w:rsid w:val="00CA1939"/>
    <w:rsid w:val="00CA1D39"/>
    <w:rsid w:val="00CA2E95"/>
    <w:rsid w:val="00CA386F"/>
    <w:rsid w:val="00CA5EE8"/>
    <w:rsid w:val="00CA6F19"/>
    <w:rsid w:val="00CA7612"/>
    <w:rsid w:val="00CB02C4"/>
    <w:rsid w:val="00CB188C"/>
    <w:rsid w:val="00CB407B"/>
    <w:rsid w:val="00CB59D6"/>
    <w:rsid w:val="00CB6626"/>
    <w:rsid w:val="00CB7653"/>
    <w:rsid w:val="00CC0CEF"/>
    <w:rsid w:val="00CC1320"/>
    <w:rsid w:val="00CC174D"/>
    <w:rsid w:val="00CC1782"/>
    <w:rsid w:val="00CC22CE"/>
    <w:rsid w:val="00CC22D0"/>
    <w:rsid w:val="00CC58EA"/>
    <w:rsid w:val="00CC7084"/>
    <w:rsid w:val="00CC70EE"/>
    <w:rsid w:val="00CC7B64"/>
    <w:rsid w:val="00CC7BCB"/>
    <w:rsid w:val="00CD036D"/>
    <w:rsid w:val="00CD09C2"/>
    <w:rsid w:val="00CD0DAF"/>
    <w:rsid w:val="00CD0E39"/>
    <w:rsid w:val="00CD152E"/>
    <w:rsid w:val="00CD2537"/>
    <w:rsid w:val="00CD2CD6"/>
    <w:rsid w:val="00CD3B25"/>
    <w:rsid w:val="00CD3C49"/>
    <w:rsid w:val="00CD43F5"/>
    <w:rsid w:val="00CD7B99"/>
    <w:rsid w:val="00CE0371"/>
    <w:rsid w:val="00CE1E66"/>
    <w:rsid w:val="00CE268E"/>
    <w:rsid w:val="00CF2867"/>
    <w:rsid w:val="00CF3787"/>
    <w:rsid w:val="00CF4E47"/>
    <w:rsid w:val="00CF4EC5"/>
    <w:rsid w:val="00CF504D"/>
    <w:rsid w:val="00CF64FF"/>
    <w:rsid w:val="00CF7A68"/>
    <w:rsid w:val="00D00295"/>
    <w:rsid w:val="00D00412"/>
    <w:rsid w:val="00D034E4"/>
    <w:rsid w:val="00D037FA"/>
    <w:rsid w:val="00D05018"/>
    <w:rsid w:val="00D0529E"/>
    <w:rsid w:val="00D0642F"/>
    <w:rsid w:val="00D0657C"/>
    <w:rsid w:val="00D06BBC"/>
    <w:rsid w:val="00D145DC"/>
    <w:rsid w:val="00D1490D"/>
    <w:rsid w:val="00D1685E"/>
    <w:rsid w:val="00D2094A"/>
    <w:rsid w:val="00D21C12"/>
    <w:rsid w:val="00D23662"/>
    <w:rsid w:val="00D244DF"/>
    <w:rsid w:val="00D2496B"/>
    <w:rsid w:val="00D27497"/>
    <w:rsid w:val="00D27629"/>
    <w:rsid w:val="00D27809"/>
    <w:rsid w:val="00D30B60"/>
    <w:rsid w:val="00D31200"/>
    <w:rsid w:val="00D31E7D"/>
    <w:rsid w:val="00D331F9"/>
    <w:rsid w:val="00D332E9"/>
    <w:rsid w:val="00D33FE1"/>
    <w:rsid w:val="00D34BD1"/>
    <w:rsid w:val="00D361FA"/>
    <w:rsid w:val="00D37256"/>
    <w:rsid w:val="00D373AE"/>
    <w:rsid w:val="00D4208B"/>
    <w:rsid w:val="00D449FF"/>
    <w:rsid w:val="00D45227"/>
    <w:rsid w:val="00D45D0D"/>
    <w:rsid w:val="00D4744F"/>
    <w:rsid w:val="00D50225"/>
    <w:rsid w:val="00D51CF7"/>
    <w:rsid w:val="00D52226"/>
    <w:rsid w:val="00D5299E"/>
    <w:rsid w:val="00D53425"/>
    <w:rsid w:val="00D542EA"/>
    <w:rsid w:val="00D574A6"/>
    <w:rsid w:val="00D613B1"/>
    <w:rsid w:val="00D64179"/>
    <w:rsid w:val="00D65E27"/>
    <w:rsid w:val="00D66238"/>
    <w:rsid w:val="00D66676"/>
    <w:rsid w:val="00D70836"/>
    <w:rsid w:val="00D724B2"/>
    <w:rsid w:val="00D73357"/>
    <w:rsid w:val="00D767EF"/>
    <w:rsid w:val="00D76AE6"/>
    <w:rsid w:val="00D76E29"/>
    <w:rsid w:val="00D81341"/>
    <w:rsid w:val="00D84479"/>
    <w:rsid w:val="00D84CC8"/>
    <w:rsid w:val="00D85FF1"/>
    <w:rsid w:val="00D87587"/>
    <w:rsid w:val="00D87B83"/>
    <w:rsid w:val="00D917F8"/>
    <w:rsid w:val="00D91B13"/>
    <w:rsid w:val="00D92085"/>
    <w:rsid w:val="00D92783"/>
    <w:rsid w:val="00D9296B"/>
    <w:rsid w:val="00D933D3"/>
    <w:rsid w:val="00D94243"/>
    <w:rsid w:val="00D96A83"/>
    <w:rsid w:val="00D97B72"/>
    <w:rsid w:val="00DA0073"/>
    <w:rsid w:val="00DA2FE7"/>
    <w:rsid w:val="00DA31BA"/>
    <w:rsid w:val="00DA600F"/>
    <w:rsid w:val="00DA7A8E"/>
    <w:rsid w:val="00DB1FA7"/>
    <w:rsid w:val="00DB2B4B"/>
    <w:rsid w:val="00DB2DF5"/>
    <w:rsid w:val="00DB5033"/>
    <w:rsid w:val="00DB544C"/>
    <w:rsid w:val="00DC001B"/>
    <w:rsid w:val="00DC014B"/>
    <w:rsid w:val="00DC1129"/>
    <w:rsid w:val="00DC2BD2"/>
    <w:rsid w:val="00DC473E"/>
    <w:rsid w:val="00DC68F1"/>
    <w:rsid w:val="00DD020C"/>
    <w:rsid w:val="00DD1378"/>
    <w:rsid w:val="00DD2833"/>
    <w:rsid w:val="00DD322E"/>
    <w:rsid w:val="00DE09C1"/>
    <w:rsid w:val="00DE1199"/>
    <w:rsid w:val="00DE2E62"/>
    <w:rsid w:val="00DE30C2"/>
    <w:rsid w:val="00DE4385"/>
    <w:rsid w:val="00DE49C4"/>
    <w:rsid w:val="00DE4B83"/>
    <w:rsid w:val="00DE52BB"/>
    <w:rsid w:val="00DE67DD"/>
    <w:rsid w:val="00DF0B2F"/>
    <w:rsid w:val="00DF0B6E"/>
    <w:rsid w:val="00DF26CE"/>
    <w:rsid w:val="00DF491F"/>
    <w:rsid w:val="00DF7C71"/>
    <w:rsid w:val="00E00249"/>
    <w:rsid w:val="00E0037B"/>
    <w:rsid w:val="00E0079F"/>
    <w:rsid w:val="00E00DF6"/>
    <w:rsid w:val="00E00F68"/>
    <w:rsid w:val="00E01D0E"/>
    <w:rsid w:val="00E01E0C"/>
    <w:rsid w:val="00E04F58"/>
    <w:rsid w:val="00E05403"/>
    <w:rsid w:val="00E05EB0"/>
    <w:rsid w:val="00E1150C"/>
    <w:rsid w:val="00E121E5"/>
    <w:rsid w:val="00E134B5"/>
    <w:rsid w:val="00E14584"/>
    <w:rsid w:val="00E145CC"/>
    <w:rsid w:val="00E16A5C"/>
    <w:rsid w:val="00E20A3B"/>
    <w:rsid w:val="00E20D40"/>
    <w:rsid w:val="00E21304"/>
    <w:rsid w:val="00E221DE"/>
    <w:rsid w:val="00E22454"/>
    <w:rsid w:val="00E23084"/>
    <w:rsid w:val="00E2470B"/>
    <w:rsid w:val="00E26DFE"/>
    <w:rsid w:val="00E2709B"/>
    <w:rsid w:val="00E27B31"/>
    <w:rsid w:val="00E310A9"/>
    <w:rsid w:val="00E33DA9"/>
    <w:rsid w:val="00E37359"/>
    <w:rsid w:val="00E40B77"/>
    <w:rsid w:val="00E41A98"/>
    <w:rsid w:val="00E44D82"/>
    <w:rsid w:val="00E4726E"/>
    <w:rsid w:val="00E47FE6"/>
    <w:rsid w:val="00E51D3D"/>
    <w:rsid w:val="00E51F52"/>
    <w:rsid w:val="00E528A6"/>
    <w:rsid w:val="00E536BE"/>
    <w:rsid w:val="00E548D8"/>
    <w:rsid w:val="00E56C28"/>
    <w:rsid w:val="00E60A25"/>
    <w:rsid w:val="00E63B79"/>
    <w:rsid w:val="00E65FF1"/>
    <w:rsid w:val="00E66917"/>
    <w:rsid w:val="00E675BE"/>
    <w:rsid w:val="00E67A5A"/>
    <w:rsid w:val="00E70361"/>
    <w:rsid w:val="00E7463C"/>
    <w:rsid w:val="00E74CF4"/>
    <w:rsid w:val="00E7591C"/>
    <w:rsid w:val="00E76F43"/>
    <w:rsid w:val="00E77C9D"/>
    <w:rsid w:val="00E807AC"/>
    <w:rsid w:val="00E81938"/>
    <w:rsid w:val="00E849A9"/>
    <w:rsid w:val="00E86E31"/>
    <w:rsid w:val="00E91537"/>
    <w:rsid w:val="00E9163A"/>
    <w:rsid w:val="00E9535B"/>
    <w:rsid w:val="00E95454"/>
    <w:rsid w:val="00E968FE"/>
    <w:rsid w:val="00EA252A"/>
    <w:rsid w:val="00EA62A0"/>
    <w:rsid w:val="00EB0696"/>
    <w:rsid w:val="00EB1042"/>
    <w:rsid w:val="00EB18F4"/>
    <w:rsid w:val="00EB28D7"/>
    <w:rsid w:val="00EB36AD"/>
    <w:rsid w:val="00EB40F5"/>
    <w:rsid w:val="00EB4DE9"/>
    <w:rsid w:val="00EB5E56"/>
    <w:rsid w:val="00EB750A"/>
    <w:rsid w:val="00EC61D8"/>
    <w:rsid w:val="00EC6DD8"/>
    <w:rsid w:val="00ED038D"/>
    <w:rsid w:val="00ED2C89"/>
    <w:rsid w:val="00ED2FAA"/>
    <w:rsid w:val="00ED3AFB"/>
    <w:rsid w:val="00ED3B38"/>
    <w:rsid w:val="00ED4222"/>
    <w:rsid w:val="00ED73FA"/>
    <w:rsid w:val="00EE0B8C"/>
    <w:rsid w:val="00EE10A1"/>
    <w:rsid w:val="00EE1D87"/>
    <w:rsid w:val="00EE242A"/>
    <w:rsid w:val="00EE4F3B"/>
    <w:rsid w:val="00EE6A83"/>
    <w:rsid w:val="00EE7740"/>
    <w:rsid w:val="00EF0716"/>
    <w:rsid w:val="00EF15B7"/>
    <w:rsid w:val="00EF1E54"/>
    <w:rsid w:val="00EF49D5"/>
    <w:rsid w:val="00EF718A"/>
    <w:rsid w:val="00F028DD"/>
    <w:rsid w:val="00F029FE"/>
    <w:rsid w:val="00F02EF5"/>
    <w:rsid w:val="00F04B19"/>
    <w:rsid w:val="00F056EC"/>
    <w:rsid w:val="00F10040"/>
    <w:rsid w:val="00F11E89"/>
    <w:rsid w:val="00F1265A"/>
    <w:rsid w:val="00F128A9"/>
    <w:rsid w:val="00F1294B"/>
    <w:rsid w:val="00F13F40"/>
    <w:rsid w:val="00F14F62"/>
    <w:rsid w:val="00F1586F"/>
    <w:rsid w:val="00F15A45"/>
    <w:rsid w:val="00F16865"/>
    <w:rsid w:val="00F172FF"/>
    <w:rsid w:val="00F176D2"/>
    <w:rsid w:val="00F205E3"/>
    <w:rsid w:val="00F20988"/>
    <w:rsid w:val="00F20AAB"/>
    <w:rsid w:val="00F21527"/>
    <w:rsid w:val="00F22F41"/>
    <w:rsid w:val="00F2313A"/>
    <w:rsid w:val="00F24AED"/>
    <w:rsid w:val="00F24D65"/>
    <w:rsid w:val="00F25783"/>
    <w:rsid w:val="00F27638"/>
    <w:rsid w:val="00F31AE2"/>
    <w:rsid w:val="00F35105"/>
    <w:rsid w:val="00F366F6"/>
    <w:rsid w:val="00F36869"/>
    <w:rsid w:val="00F403EC"/>
    <w:rsid w:val="00F40C0C"/>
    <w:rsid w:val="00F457B2"/>
    <w:rsid w:val="00F46E1A"/>
    <w:rsid w:val="00F46F21"/>
    <w:rsid w:val="00F51DD7"/>
    <w:rsid w:val="00F5273C"/>
    <w:rsid w:val="00F52FBB"/>
    <w:rsid w:val="00F53B8D"/>
    <w:rsid w:val="00F54419"/>
    <w:rsid w:val="00F5453E"/>
    <w:rsid w:val="00F56F9B"/>
    <w:rsid w:val="00F577AD"/>
    <w:rsid w:val="00F57BB1"/>
    <w:rsid w:val="00F60553"/>
    <w:rsid w:val="00F605BE"/>
    <w:rsid w:val="00F61A0C"/>
    <w:rsid w:val="00F6415D"/>
    <w:rsid w:val="00F661DF"/>
    <w:rsid w:val="00F673A6"/>
    <w:rsid w:val="00F71C0C"/>
    <w:rsid w:val="00F722C1"/>
    <w:rsid w:val="00F72515"/>
    <w:rsid w:val="00F73C45"/>
    <w:rsid w:val="00F7449B"/>
    <w:rsid w:val="00F7658F"/>
    <w:rsid w:val="00F76F45"/>
    <w:rsid w:val="00F7776F"/>
    <w:rsid w:val="00F803CA"/>
    <w:rsid w:val="00F80A27"/>
    <w:rsid w:val="00F811F0"/>
    <w:rsid w:val="00F82CA4"/>
    <w:rsid w:val="00F87F2F"/>
    <w:rsid w:val="00F915B2"/>
    <w:rsid w:val="00F93993"/>
    <w:rsid w:val="00F979C5"/>
    <w:rsid w:val="00F97FF8"/>
    <w:rsid w:val="00FA02D8"/>
    <w:rsid w:val="00FA0979"/>
    <w:rsid w:val="00FA1444"/>
    <w:rsid w:val="00FA1622"/>
    <w:rsid w:val="00FA40B1"/>
    <w:rsid w:val="00FA4D0B"/>
    <w:rsid w:val="00FA5287"/>
    <w:rsid w:val="00FA5D3F"/>
    <w:rsid w:val="00FA5E4E"/>
    <w:rsid w:val="00FA6EED"/>
    <w:rsid w:val="00FA720D"/>
    <w:rsid w:val="00FA7421"/>
    <w:rsid w:val="00FB0AC4"/>
    <w:rsid w:val="00FB157C"/>
    <w:rsid w:val="00FB1ABA"/>
    <w:rsid w:val="00FB1F9D"/>
    <w:rsid w:val="00FB2B7F"/>
    <w:rsid w:val="00FB2E50"/>
    <w:rsid w:val="00FB66FF"/>
    <w:rsid w:val="00FB69C4"/>
    <w:rsid w:val="00FB6E50"/>
    <w:rsid w:val="00FB7257"/>
    <w:rsid w:val="00FC0755"/>
    <w:rsid w:val="00FC41AF"/>
    <w:rsid w:val="00FC4B8A"/>
    <w:rsid w:val="00FC55BB"/>
    <w:rsid w:val="00FC5BD7"/>
    <w:rsid w:val="00FC6B03"/>
    <w:rsid w:val="00FC7221"/>
    <w:rsid w:val="00FD1D06"/>
    <w:rsid w:val="00FD2609"/>
    <w:rsid w:val="00FD32E8"/>
    <w:rsid w:val="00FD3C52"/>
    <w:rsid w:val="00FD3EC2"/>
    <w:rsid w:val="00FE1548"/>
    <w:rsid w:val="00FE2CC6"/>
    <w:rsid w:val="00FE4873"/>
    <w:rsid w:val="00FE4B37"/>
    <w:rsid w:val="00FE57A1"/>
    <w:rsid w:val="00FE67BB"/>
    <w:rsid w:val="00FE7FC5"/>
    <w:rsid w:val="00FF20C1"/>
    <w:rsid w:val="00FF4739"/>
    <w:rsid w:val="00FF55AF"/>
    <w:rsid w:val="00FF56E0"/>
    <w:rsid w:val="00FF5834"/>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A090"/>
  <w15:chartTrackingRefBased/>
  <w15:docId w15:val="{C55ECB35-00ED-6249-AFD1-2A5550B2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D331F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ter"/>
    <w:uiPriority w:val="9"/>
    <w:semiHidden/>
    <w:unhideWhenUsed/>
    <w:qFormat/>
    <w:rsid w:val="009D0E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F60553"/>
    <w:pPr>
      <w:keepNext/>
      <w:keepLines/>
      <w:spacing w:before="40"/>
      <w:outlineLvl w:val="2"/>
    </w:pPr>
    <w:rPr>
      <w:rFonts w:asciiTheme="majorHAnsi" w:eastAsiaTheme="majorEastAsia" w:hAnsiTheme="majorHAnsi" w:cstheme="majorBidi"/>
      <w:color w:val="1F3763" w:themeColor="accent1" w:themeShade="7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Paragraphe de liste PBLH,Bullets,Paragraphe  revu,References"/>
    <w:basedOn w:val="Normal"/>
    <w:link w:val="PargrafodaListaCarter"/>
    <w:uiPriority w:val="34"/>
    <w:qFormat/>
    <w:rsid w:val="001D26D9"/>
    <w:pPr>
      <w:ind w:left="720"/>
      <w:contextualSpacing/>
    </w:pPr>
  </w:style>
  <w:style w:type="character" w:styleId="Refdecomentrio">
    <w:name w:val="annotation reference"/>
    <w:basedOn w:val="Tipodeletrapredefinidodopargrafo"/>
    <w:uiPriority w:val="99"/>
    <w:semiHidden/>
    <w:unhideWhenUsed/>
    <w:rsid w:val="001D26D9"/>
    <w:rPr>
      <w:sz w:val="16"/>
      <w:szCs w:val="16"/>
    </w:rPr>
  </w:style>
  <w:style w:type="paragraph" w:styleId="Textodecomentrio">
    <w:name w:val="annotation text"/>
    <w:basedOn w:val="Normal"/>
    <w:link w:val="TextodecomentrioCarter"/>
    <w:uiPriority w:val="99"/>
    <w:unhideWhenUsed/>
    <w:rsid w:val="001D26D9"/>
    <w:rPr>
      <w:sz w:val="20"/>
      <w:szCs w:val="20"/>
    </w:rPr>
  </w:style>
  <w:style w:type="character" w:customStyle="1" w:styleId="TextodecomentrioCarter">
    <w:name w:val="Texto de comentário Caráter"/>
    <w:basedOn w:val="Tipodeletrapredefinidodopargrafo"/>
    <w:link w:val="Textodecomentrio"/>
    <w:uiPriority w:val="99"/>
    <w:rsid w:val="001D26D9"/>
    <w:rPr>
      <w:sz w:val="20"/>
      <w:szCs w:val="20"/>
    </w:rPr>
  </w:style>
  <w:style w:type="paragraph" w:styleId="Assuntodecomentrio">
    <w:name w:val="annotation subject"/>
    <w:basedOn w:val="Textodecomentrio"/>
    <w:next w:val="Textodecomentrio"/>
    <w:link w:val="AssuntodecomentrioCarter"/>
    <w:uiPriority w:val="99"/>
    <w:semiHidden/>
    <w:unhideWhenUsed/>
    <w:rsid w:val="001D26D9"/>
    <w:rPr>
      <w:b/>
      <w:bCs/>
    </w:rPr>
  </w:style>
  <w:style w:type="character" w:customStyle="1" w:styleId="AssuntodecomentrioCarter">
    <w:name w:val="Assunto de comentário Caráter"/>
    <w:basedOn w:val="TextodecomentrioCarter"/>
    <w:link w:val="Assuntodecomentrio"/>
    <w:uiPriority w:val="99"/>
    <w:semiHidden/>
    <w:rsid w:val="001D26D9"/>
    <w:rPr>
      <w:b/>
      <w:bCs/>
      <w:sz w:val="20"/>
      <w:szCs w:val="20"/>
    </w:rPr>
  </w:style>
  <w:style w:type="paragraph" w:styleId="Textodebalo">
    <w:name w:val="Balloon Text"/>
    <w:basedOn w:val="Normal"/>
    <w:link w:val="TextodebaloCarter"/>
    <w:uiPriority w:val="99"/>
    <w:semiHidden/>
    <w:unhideWhenUsed/>
    <w:rsid w:val="001D26D9"/>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D26D9"/>
    <w:rPr>
      <w:rFonts w:ascii="Times New Roman" w:hAnsi="Times New Roman" w:cs="Times New Roman"/>
      <w:sz w:val="18"/>
      <w:szCs w:val="18"/>
    </w:rPr>
  </w:style>
  <w:style w:type="paragraph" w:styleId="Cabealho">
    <w:name w:val="header"/>
    <w:basedOn w:val="Normal"/>
    <w:link w:val="CabealhoCarter"/>
    <w:uiPriority w:val="99"/>
    <w:unhideWhenUsed/>
    <w:rsid w:val="004A7EB2"/>
    <w:pPr>
      <w:tabs>
        <w:tab w:val="center" w:pos="4680"/>
        <w:tab w:val="right" w:pos="9360"/>
      </w:tabs>
    </w:pPr>
  </w:style>
  <w:style w:type="character" w:customStyle="1" w:styleId="CabealhoCarter">
    <w:name w:val="Cabeçalho Caráter"/>
    <w:basedOn w:val="Tipodeletrapredefinidodopargrafo"/>
    <w:link w:val="Cabealho"/>
    <w:uiPriority w:val="99"/>
    <w:rsid w:val="004A7EB2"/>
  </w:style>
  <w:style w:type="paragraph" w:styleId="Rodap">
    <w:name w:val="footer"/>
    <w:basedOn w:val="Normal"/>
    <w:link w:val="RodapCarter"/>
    <w:uiPriority w:val="99"/>
    <w:unhideWhenUsed/>
    <w:rsid w:val="004A7EB2"/>
    <w:pPr>
      <w:tabs>
        <w:tab w:val="center" w:pos="4680"/>
        <w:tab w:val="right" w:pos="9360"/>
      </w:tabs>
    </w:pPr>
  </w:style>
  <w:style w:type="character" w:customStyle="1" w:styleId="RodapCarter">
    <w:name w:val="Rodapé Caráter"/>
    <w:basedOn w:val="Tipodeletrapredefinidodopargrafo"/>
    <w:link w:val="Rodap"/>
    <w:uiPriority w:val="99"/>
    <w:rsid w:val="004A7EB2"/>
  </w:style>
  <w:style w:type="paragraph" w:styleId="NormalWeb">
    <w:name w:val="Normal (Web)"/>
    <w:basedOn w:val="Normal"/>
    <w:uiPriority w:val="99"/>
    <w:unhideWhenUsed/>
    <w:rsid w:val="00BC7CC2"/>
    <w:pPr>
      <w:spacing w:before="100" w:beforeAutospacing="1" w:after="100" w:afterAutospacing="1"/>
    </w:pPr>
    <w:rPr>
      <w:rFonts w:ascii="Times New Roman" w:eastAsia="Times New Roman" w:hAnsi="Times New Roman" w:cs="Times New Roman"/>
    </w:rPr>
  </w:style>
  <w:style w:type="paragraph" w:styleId="Textodenotaderodap">
    <w:name w:val="footnote text"/>
    <w:aliases w:val="Texto de nota de rodapé Carácter Carácter,Texto de nota de rodapé Carácter Carácter Carácter,Texto de nota de rodapé Carácter Carácter Carácter Carácter,ft,Footnote Text Char Char Char Char Char Char Char Char Char Char,ft2,fn"/>
    <w:basedOn w:val="Normal"/>
    <w:link w:val="TextodenotaderodapCarter"/>
    <w:uiPriority w:val="99"/>
    <w:unhideWhenUsed/>
    <w:qFormat/>
    <w:rsid w:val="00FC7221"/>
    <w:rPr>
      <w:rFonts w:eastAsiaTheme="minorEastAsia"/>
      <w:sz w:val="20"/>
      <w:szCs w:val="20"/>
      <w:lang w:val="pt-PT" w:eastAsia="pt-PT"/>
    </w:rPr>
  </w:style>
  <w:style w:type="character" w:customStyle="1" w:styleId="TextodenotaderodapCarter">
    <w:name w:val="Texto de nota de rodapé Caráter"/>
    <w:aliases w:val="Texto de nota de rodapé Carácter Carácter Caráter,Texto de nota de rodapé Carácter Carácter Carácter Caráter,Texto de nota de rodapé Carácter Carácter Carácter Carácter Caráter,ft Caráter,ft2 Caráter,fn Caráter"/>
    <w:basedOn w:val="Tipodeletrapredefinidodopargrafo"/>
    <w:link w:val="Textodenotaderodap"/>
    <w:uiPriority w:val="99"/>
    <w:qFormat/>
    <w:rsid w:val="00FC7221"/>
    <w:rPr>
      <w:rFonts w:eastAsiaTheme="minorEastAsia"/>
      <w:sz w:val="20"/>
      <w:szCs w:val="20"/>
      <w:lang w:val="pt-PT" w:eastAsia="pt-PT"/>
    </w:rPr>
  </w:style>
  <w:style w:type="character" w:styleId="Refdenotaderodap">
    <w:name w:val="footnote reference"/>
    <w:aliases w:val="ftref,Char Char,Footnote Reference Char Char Char,Carattere Char Carattere Carattere Char Carattere Char Carattere Char Char Char1 Char,Carattere Carattere Char Char Char Carattere Char,16 Poin,ftref Char,BVI fnr Char,4_G"/>
    <w:basedOn w:val="Tipodeletrapredefinidodopargrafo"/>
    <w:uiPriority w:val="99"/>
    <w:unhideWhenUsed/>
    <w:qFormat/>
    <w:rsid w:val="00FC7221"/>
    <w:rPr>
      <w:vertAlign w:val="superscript"/>
    </w:rPr>
  </w:style>
  <w:style w:type="character" w:customStyle="1" w:styleId="PargrafodaListaCarter">
    <w:name w:val="Parágrafo da Lista Caráter"/>
    <w:aliases w:val="Paragraphe de liste PBLH Caráter,Bullets Caráter,Paragraphe  revu Caráter,References Caráter"/>
    <w:basedOn w:val="Tipodeletrapredefinidodopargrafo"/>
    <w:link w:val="PargrafodaLista"/>
    <w:uiPriority w:val="34"/>
    <w:rsid w:val="00FC7221"/>
  </w:style>
  <w:style w:type="character" w:styleId="Nmerodepgina">
    <w:name w:val="page number"/>
    <w:basedOn w:val="Tipodeletrapredefinidodopargrafo"/>
    <w:uiPriority w:val="99"/>
    <w:semiHidden/>
    <w:unhideWhenUsed/>
    <w:rsid w:val="0025474E"/>
  </w:style>
  <w:style w:type="character" w:customStyle="1" w:styleId="ref">
    <w:name w:val="ref"/>
    <w:basedOn w:val="Tipodeletrapredefinidodopargrafo"/>
    <w:rsid w:val="00CA027D"/>
  </w:style>
  <w:style w:type="character" w:customStyle="1" w:styleId="Ttulo1Carter">
    <w:name w:val="Título 1 Caráter"/>
    <w:basedOn w:val="Tipodeletrapredefinidodopargrafo"/>
    <w:link w:val="Ttulo1"/>
    <w:uiPriority w:val="9"/>
    <w:rsid w:val="00D331F9"/>
    <w:rPr>
      <w:rFonts w:ascii="Times New Roman" w:eastAsia="Times New Roman" w:hAnsi="Times New Roman" w:cs="Times New Roman"/>
      <w:b/>
      <w:bCs/>
      <w:kern w:val="36"/>
      <w:sz w:val="48"/>
      <w:szCs w:val="48"/>
    </w:rPr>
  </w:style>
  <w:style w:type="character" w:styleId="Hiperligao">
    <w:name w:val="Hyperlink"/>
    <w:basedOn w:val="Tipodeletrapredefinidodopargrafo"/>
    <w:uiPriority w:val="99"/>
    <w:unhideWhenUsed/>
    <w:rsid w:val="00CD3C49"/>
    <w:rPr>
      <w:color w:val="0563C1" w:themeColor="hyperlink"/>
      <w:u w:val="single"/>
    </w:rPr>
  </w:style>
  <w:style w:type="character" w:styleId="MenoNoResolvida">
    <w:name w:val="Unresolved Mention"/>
    <w:basedOn w:val="Tipodeletrapredefinidodopargrafo"/>
    <w:uiPriority w:val="99"/>
    <w:semiHidden/>
    <w:unhideWhenUsed/>
    <w:rsid w:val="00CD3C49"/>
    <w:rPr>
      <w:color w:val="605E5C"/>
      <w:shd w:val="clear" w:color="auto" w:fill="E1DFDD"/>
    </w:rPr>
  </w:style>
  <w:style w:type="character" w:styleId="Hiperligaovisitada">
    <w:name w:val="FollowedHyperlink"/>
    <w:basedOn w:val="Tipodeletrapredefinidodopargrafo"/>
    <w:uiPriority w:val="99"/>
    <w:semiHidden/>
    <w:unhideWhenUsed/>
    <w:rsid w:val="00CD3C49"/>
    <w:rPr>
      <w:color w:val="954F72" w:themeColor="followedHyperlink"/>
      <w:u w:val="single"/>
    </w:rPr>
  </w:style>
  <w:style w:type="paragraph" w:customStyle="1" w:styleId="Default">
    <w:name w:val="Default"/>
    <w:qFormat/>
    <w:rsid w:val="00781560"/>
    <w:pPr>
      <w:autoSpaceDE w:val="0"/>
      <w:autoSpaceDN w:val="0"/>
      <w:adjustRightInd w:val="0"/>
    </w:pPr>
    <w:rPr>
      <w:rFonts w:ascii="Times New Roman" w:hAnsi="Times New Roman" w:cs="Times New Roman"/>
      <w:color w:val="000000"/>
      <w:lang w:val="pt-PT"/>
    </w:rPr>
  </w:style>
  <w:style w:type="table" w:styleId="TabelacomGrelha">
    <w:name w:val="Table Grid"/>
    <w:basedOn w:val="Tabelanormal"/>
    <w:uiPriority w:val="39"/>
    <w:rsid w:val="00FB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31E97"/>
    <w:pPr>
      <w:spacing w:after="200"/>
    </w:pPr>
    <w:rPr>
      <w:i/>
      <w:iCs/>
      <w:color w:val="44546A" w:themeColor="text2"/>
      <w:sz w:val="18"/>
      <w:szCs w:val="18"/>
    </w:rPr>
  </w:style>
  <w:style w:type="table" w:customStyle="1" w:styleId="TableNormal">
    <w:name w:val="Table Normal"/>
    <w:uiPriority w:val="2"/>
    <w:semiHidden/>
    <w:unhideWhenUsed/>
    <w:qFormat/>
    <w:rsid w:val="00CC22D0"/>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22D0"/>
    <w:pPr>
      <w:widowControl w:val="0"/>
      <w:autoSpaceDE w:val="0"/>
      <w:autoSpaceDN w:val="0"/>
    </w:pPr>
    <w:rPr>
      <w:rFonts w:ascii="Times New Roman" w:eastAsia="Times New Roman" w:hAnsi="Times New Roman" w:cs="Times New Roman"/>
      <w:sz w:val="22"/>
      <w:szCs w:val="22"/>
      <w:lang w:val="pt-PT" w:eastAsia="pt-PT" w:bidi="pt-PT"/>
    </w:rPr>
  </w:style>
  <w:style w:type="paragraph" w:styleId="Corpodetexto">
    <w:name w:val="Body Text"/>
    <w:basedOn w:val="Normal"/>
    <w:link w:val="CorpodetextoCarter"/>
    <w:uiPriority w:val="1"/>
    <w:qFormat/>
    <w:rsid w:val="00AD5660"/>
    <w:pPr>
      <w:widowControl w:val="0"/>
      <w:autoSpaceDE w:val="0"/>
      <w:autoSpaceDN w:val="0"/>
      <w:ind w:left="1120" w:hanging="360"/>
      <w:jc w:val="both"/>
    </w:pPr>
    <w:rPr>
      <w:rFonts w:ascii="Times New Roman" w:eastAsia="Times New Roman" w:hAnsi="Times New Roman" w:cs="Times New Roman"/>
      <w:lang w:val="pt-PT" w:eastAsia="pt-PT" w:bidi="pt-PT"/>
    </w:rPr>
  </w:style>
  <w:style w:type="character" w:customStyle="1" w:styleId="CorpodetextoCarter">
    <w:name w:val="Corpo de texto Caráter"/>
    <w:basedOn w:val="Tipodeletrapredefinidodopargrafo"/>
    <w:link w:val="Corpodetexto"/>
    <w:uiPriority w:val="1"/>
    <w:rsid w:val="00AD5660"/>
    <w:rPr>
      <w:rFonts w:ascii="Times New Roman" w:eastAsia="Times New Roman" w:hAnsi="Times New Roman" w:cs="Times New Roman"/>
      <w:lang w:val="pt-PT" w:eastAsia="pt-PT" w:bidi="pt-PT"/>
    </w:rPr>
  </w:style>
  <w:style w:type="paragraph" w:styleId="Cabealhodondice">
    <w:name w:val="TOC Heading"/>
    <w:basedOn w:val="Ttulo1"/>
    <w:next w:val="Normal"/>
    <w:uiPriority w:val="39"/>
    <w:unhideWhenUsed/>
    <w:qFormat/>
    <w:rsid w:val="000F240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pt-PT" w:eastAsia="pt-PT"/>
    </w:rPr>
  </w:style>
  <w:style w:type="paragraph" w:styleId="ndice1">
    <w:name w:val="toc 1"/>
    <w:basedOn w:val="Normal"/>
    <w:next w:val="Normal"/>
    <w:autoRedefine/>
    <w:uiPriority w:val="39"/>
    <w:unhideWhenUsed/>
    <w:rsid w:val="000F2405"/>
    <w:pPr>
      <w:spacing w:after="100"/>
    </w:pPr>
  </w:style>
  <w:style w:type="paragraph" w:styleId="ndice2">
    <w:name w:val="toc 2"/>
    <w:basedOn w:val="Normal"/>
    <w:next w:val="Normal"/>
    <w:autoRedefine/>
    <w:uiPriority w:val="39"/>
    <w:unhideWhenUsed/>
    <w:rsid w:val="00EE6A83"/>
    <w:pPr>
      <w:tabs>
        <w:tab w:val="right" w:leader="dot" w:pos="9010"/>
      </w:tabs>
      <w:spacing w:after="100"/>
      <w:ind w:left="240"/>
    </w:pPr>
    <w:rPr>
      <w:rFonts w:ascii="Garamond" w:hAnsi="Garamond" w:cs="Times New Roman"/>
      <w:iCs/>
      <w:noProof/>
      <w:lang w:val="pt-PT"/>
    </w:rPr>
  </w:style>
  <w:style w:type="character" w:customStyle="1" w:styleId="Ttulo2Carter">
    <w:name w:val="Título 2 Caráter"/>
    <w:basedOn w:val="Tipodeletrapredefinidodopargrafo"/>
    <w:link w:val="Ttulo2"/>
    <w:uiPriority w:val="9"/>
    <w:semiHidden/>
    <w:rsid w:val="009D0E9C"/>
    <w:rPr>
      <w:rFonts w:asciiTheme="majorHAnsi" w:eastAsiaTheme="majorEastAsia" w:hAnsiTheme="majorHAnsi" w:cstheme="majorBidi"/>
      <w:color w:val="2F5496" w:themeColor="accent1" w:themeShade="BF"/>
      <w:sz w:val="26"/>
      <w:szCs w:val="26"/>
    </w:rPr>
  </w:style>
  <w:style w:type="paragraph" w:customStyle="1" w:styleId="SingleTxtG">
    <w:name w:val="_ Single Txt_G"/>
    <w:basedOn w:val="Normal"/>
    <w:link w:val="SingleTxtGChar"/>
    <w:uiPriority w:val="99"/>
    <w:rsid w:val="00BE46E6"/>
    <w:pPr>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cs="Arial"/>
      <w:sz w:val="20"/>
      <w:szCs w:val="20"/>
      <w:lang w:val="en-GB" w:eastAsia="ja-JP"/>
    </w:rPr>
  </w:style>
  <w:style w:type="character" w:customStyle="1" w:styleId="SingleTxtGChar">
    <w:name w:val="_ Single Txt_G Char"/>
    <w:link w:val="SingleTxtG"/>
    <w:uiPriority w:val="99"/>
    <w:locked/>
    <w:rsid w:val="00BE46E6"/>
    <w:rPr>
      <w:rFonts w:ascii="Times New Roman" w:eastAsia="Calibri" w:hAnsi="Times New Roman" w:cs="Arial"/>
      <w:sz w:val="20"/>
      <w:szCs w:val="20"/>
      <w:lang w:val="en-GB" w:eastAsia="ja-JP"/>
    </w:rPr>
  </w:style>
  <w:style w:type="paragraph" w:styleId="Reviso">
    <w:name w:val="Revision"/>
    <w:hidden/>
    <w:uiPriority w:val="99"/>
    <w:semiHidden/>
    <w:rsid w:val="00BE46E6"/>
    <w:rPr>
      <w:sz w:val="22"/>
      <w:szCs w:val="22"/>
      <w:lang w:val="pt-PT"/>
    </w:rPr>
  </w:style>
  <w:style w:type="paragraph" w:styleId="Lista3">
    <w:name w:val="List 3"/>
    <w:basedOn w:val="Normal"/>
    <w:rsid w:val="00F46F21"/>
    <w:pPr>
      <w:numPr>
        <w:ilvl w:val="1"/>
        <w:numId w:val="28"/>
      </w:numPr>
      <w:tabs>
        <w:tab w:val="clear" w:pos="1440"/>
      </w:tabs>
      <w:spacing w:after="60"/>
      <w:ind w:left="993" w:hanging="219"/>
      <w:jc w:val="both"/>
    </w:pPr>
    <w:rPr>
      <w:rFonts w:ascii="Arial" w:eastAsia="Times New Roman" w:hAnsi="Arial" w:cs="Times New Roman"/>
      <w:sz w:val="20"/>
      <w:szCs w:val="20"/>
      <w:lang w:val="fr-FR"/>
    </w:rPr>
  </w:style>
  <w:style w:type="paragraph" w:styleId="Lista2">
    <w:name w:val="List 2"/>
    <w:basedOn w:val="Normal"/>
    <w:rsid w:val="00F46F21"/>
    <w:pPr>
      <w:numPr>
        <w:numId w:val="28"/>
      </w:numPr>
      <w:tabs>
        <w:tab w:val="clear" w:pos="2340"/>
      </w:tabs>
      <w:spacing w:after="100"/>
      <w:ind w:left="567" w:hanging="218"/>
    </w:pPr>
    <w:rPr>
      <w:rFonts w:ascii="Arial" w:eastAsia="Times New Roman" w:hAnsi="Arial" w:cs="Times New Roman"/>
      <w:bCs/>
      <w:iCs/>
      <w:sz w:val="20"/>
      <w:szCs w:val="22"/>
      <w:lang w:val="fr-FR"/>
    </w:rPr>
  </w:style>
  <w:style w:type="paragraph" w:customStyle="1" w:styleId="Paragraphnumbering">
    <w:name w:val="Paragraph numbering"/>
    <w:basedOn w:val="Normal"/>
    <w:rsid w:val="00F46F21"/>
    <w:pPr>
      <w:numPr>
        <w:numId w:val="29"/>
      </w:numPr>
      <w:tabs>
        <w:tab w:val="left" w:pos="567"/>
      </w:tabs>
      <w:suppressAutoHyphens/>
      <w:spacing w:before="80" w:after="120"/>
    </w:pPr>
    <w:rPr>
      <w:rFonts w:ascii="Arial" w:eastAsia="MS Mincho" w:hAnsi="Arial" w:cs="Arial"/>
      <w:bCs/>
      <w:w w:val="93"/>
      <w:kern w:val="2"/>
      <w:sz w:val="20"/>
      <w:szCs w:val="20"/>
      <w:lang w:val="fr-FR"/>
    </w:rPr>
  </w:style>
  <w:style w:type="character" w:customStyle="1" w:styleId="il">
    <w:name w:val="il"/>
    <w:basedOn w:val="Tipodeletrapredefinidodopargrafo"/>
    <w:rsid w:val="003F29F2"/>
  </w:style>
  <w:style w:type="table" w:customStyle="1" w:styleId="SombreadoClaro1">
    <w:name w:val="Sombreado Claro1"/>
    <w:basedOn w:val="Tabelanormal"/>
    <w:uiPriority w:val="60"/>
    <w:rsid w:val="00B43A1B"/>
    <w:rPr>
      <w:rFonts w:ascii="Times New Roman" w:eastAsia="Times New Roman" w:hAnsi="Times New Roman" w:cs="Times New Roman"/>
      <w:color w:val="000000" w:themeColor="text1" w:themeShade="BF"/>
      <w:sz w:val="20"/>
      <w:szCs w:val="20"/>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dice3">
    <w:name w:val="toc 3"/>
    <w:basedOn w:val="Normal"/>
    <w:next w:val="Normal"/>
    <w:autoRedefine/>
    <w:uiPriority w:val="39"/>
    <w:unhideWhenUsed/>
    <w:rsid w:val="006E3817"/>
    <w:pPr>
      <w:spacing w:after="100"/>
      <w:ind w:left="480"/>
    </w:pPr>
  </w:style>
  <w:style w:type="character" w:customStyle="1" w:styleId="Ttulo3Carter">
    <w:name w:val="Título 3 Caráter"/>
    <w:basedOn w:val="Tipodeletrapredefinidodopargrafo"/>
    <w:link w:val="Ttulo3"/>
    <w:uiPriority w:val="9"/>
    <w:semiHidden/>
    <w:rsid w:val="00F60553"/>
    <w:rPr>
      <w:rFonts w:asciiTheme="majorHAnsi" w:eastAsiaTheme="majorEastAsia" w:hAnsiTheme="majorHAnsi" w:cstheme="majorBidi"/>
      <w:color w:val="1F3763" w:themeColor="accent1" w:themeShade="7F"/>
    </w:rPr>
  </w:style>
  <w:style w:type="paragraph" w:styleId="ndicedeilustraes">
    <w:name w:val="table of figures"/>
    <w:basedOn w:val="Normal"/>
    <w:next w:val="Normal"/>
    <w:uiPriority w:val="99"/>
    <w:unhideWhenUsed/>
    <w:rsid w:val="008A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46">
      <w:bodyDiv w:val="1"/>
      <w:marLeft w:val="0"/>
      <w:marRight w:val="0"/>
      <w:marTop w:val="0"/>
      <w:marBottom w:val="0"/>
      <w:divBdr>
        <w:top w:val="none" w:sz="0" w:space="0" w:color="auto"/>
        <w:left w:val="none" w:sz="0" w:space="0" w:color="auto"/>
        <w:bottom w:val="none" w:sz="0" w:space="0" w:color="auto"/>
        <w:right w:val="none" w:sz="0" w:space="0" w:color="auto"/>
      </w:divBdr>
    </w:div>
    <w:div w:id="79256167">
      <w:bodyDiv w:val="1"/>
      <w:marLeft w:val="0"/>
      <w:marRight w:val="0"/>
      <w:marTop w:val="0"/>
      <w:marBottom w:val="0"/>
      <w:divBdr>
        <w:top w:val="none" w:sz="0" w:space="0" w:color="auto"/>
        <w:left w:val="none" w:sz="0" w:space="0" w:color="auto"/>
        <w:bottom w:val="none" w:sz="0" w:space="0" w:color="auto"/>
        <w:right w:val="none" w:sz="0" w:space="0" w:color="auto"/>
      </w:divBdr>
      <w:divsChild>
        <w:div w:id="2051176616">
          <w:marLeft w:val="0"/>
          <w:marRight w:val="0"/>
          <w:marTop w:val="0"/>
          <w:marBottom w:val="0"/>
          <w:divBdr>
            <w:top w:val="none" w:sz="0" w:space="0" w:color="auto"/>
            <w:left w:val="none" w:sz="0" w:space="0" w:color="auto"/>
            <w:bottom w:val="none" w:sz="0" w:space="0" w:color="auto"/>
            <w:right w:val="none" w:sz="0" w:space="0" w:color="auto"/>
          </w:divBdr>
          <w:divsChild>
            <w:div w:id="1317757740">
              <w:marLeft w:val="0"/>
              <w:marRight w:val="0"/>
              <w:marTop w:val="0"/>
              <w:marBottom w:val="0"/>
              <w:divBdr>
                <w:top w:val="none" w:sz="0" w:space="0" w:color="auto"/>
                <w:left w:val="none" w:sz="0" w:space="0" w:color="auto"/>
                <w:bottom w:val="none" w:sz="0" w:space="0" w:color="auto"/>
                <w:right w:val="none" w:sz="0" w:space="0" w:color="auto"/>
              </w:divBdr>
              <w:divsChild>
                <w:div w:id="650907057">
                  <w:marLeft w:val="0"/>
                  <w:marRight w:val="0"/>
                  <w:marTop w:val="0"/>
                  <w:marBottom w:val="0"/>
                  <w:divBdr>
                    <w:top w:val="none" w:sz="0" w:space="0" w:color="auto"/>
                    <w:left w:val="none" w:sz="0" w:space="0" w:color="auto"/>
                    <w:bottom w:val="none" w:sz="0" w:space="0" w:color="auto"/>
                    <w:right w:val="none" w:sz="0" w:space="0" w:color="auto"/>
                  </w:divBdr>
                </w:div>
              </w:divsChild>
            </w:div>
            <w:div w:id="55670702">
              <w:marLeft w:val="0"/>
              <w:marRight w:val="0"/>
              <w:marTop w:val="0"/>
              <w:marBottom w:val="0"/>
              <w:divBdr>
                <w:top w:val="none" w:sz="0" w:space="0" w:color="auto"/>
                <w:left w:val="none" w:sz="0" w:space="0" w:color="auto"/>
                <w:bottom w:val="none" w:sz="0" w:space="0" w:color="auto"/>
                <w:right w:val="none" w:sz="0" w:space="0" w:color="auto"/>
              </w:divBdr>
              <w:divsChild>
                <w:div w:id="9232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3277">
          <w:marLeft w:val="0"/>
          <w:marRight w:val="0"/>
          <w:marTop w:val="0"/>
          <w:marBottom w:val="0"/>
          <w:divBdr>
            <w:top w:val="none" w:sz="0" w:space="0" w:color="auto"/>
            <w:left w:val="none" w:sz="0" w:space="0" w:color="auto"/>
            <w:bottom w:val="none" w:sz="0" w:space="0" w:color="auto"/>
            <w:right w:val="none" w:sz="0" w:space="0" w:color="auto"/>
          </w:divBdr>
          <w:divsChild>
            <w:div w:id="1134835715">
              <w:marLeft w:val="0"/>
              <w:marRight w:val="0"/>
              <w:marTop w:val="0"/>
              <w:marBottom w:val="0"/>
              <w:divBdr>
                <w:top w:val="none" w:sz="0" w:space="0" w:color="auto"/>
                <w:left w:val="none" w:sz="0" w:space="0" w:color="auto"/>
                <w:bottom w:val="none" w:sz="0" w:space="0" w:color="auto"/>
                <w:right w:val="none" w:sz="0" w:space="0" w:color="auto"/>
              </w:divBdr>
              <w:divsChild>
                <w:div w:id="20877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458">
      <w:bodyDiv w:val="1"/>
      <w:marLeft w:val="0"/>
      <w:marRight w:val="0"/>
      <w:marTop w:val="0"/>
      <w:marBottom w:val="0"/>
      <w:divBdr>
        <w:top w:val="none" w:sz="0" w:space="0" w:color="auto"/>
        <w:left w:val="none" w:sz="0" w:space="0" w:color="auto"/>
        <w:bottom w:val="none" w:sz="0" w:space="0" w:color="auto"/>
        <w:right w:val="none" w:sz="0" w:space="0" w:color="auto"/>
      </w:divBdr>
    </w:div>
    <w:div w:id="159928405">
      <w:bodyDiv w:val="1"/>
      <w:marLeft w:val="0"/>
      <w:marRight w:val="0"/>
      <w:marTop w:val="0"/>
      <w:marBottom w:val="0"/>
      <w:divBdr>
        <w:top w:val="none" w:sz="0" w:space="0" w:color="auto"/>
        <w:left w:val="none" w:sz="0" w:space="0" w:color="auto"/>
        <w:bottom w:val="none" w:sz="0" w:space="0" w:color="auto"/>
        <w:right w:val="none" w:sz="0" w:space="0" w:color="auto"/>
      </w:divBdr>
      <w:divsChild>
        <w:div w:id="143351454">
          <w:marLeft w:val="0"/>
          <w:marRight w:val="0"/>
          <w:marTop w:val="0"/>
          <w:marBottom w:val="0"/>
          <w:divBdr>
            <w:top w:val="none" w:sz="0" w:space="0" w:color="auto"/>
            <w:left w:val="none" w:sz="0" w:space="0" w:color="auto"/>
            <w:bottom w:val="none" w:sz="0" w:space="0" w:color="auto"/>
            <w:right w:val="none" w:sz="0" w:space="0" w:color="auto"/>
          </w:divBdr>
          <w:divsChild>
            <w:div w:id="322437540">
              <w:marLeft w:val="0"/>
              <w:marRight w:val="0"/>
              <w:marTop w:val="0"/>
              <w:marBottom w:val="0"/>
              <w:divBdr>
                <w:top w:val="none" w:sz="0" w:space="0" w:color="auto"/>
                <w:left w:val="none" w:sz="0" w:space="0" w:color="auto"/>
                <w:bottom w:val="none" w:sz="0" w:space="0" w:color="auto"/>
                <w:right w:val="none" w:sz="0" w:space="0" w:color="auto"/>
              </w:divBdr>
              <w:divsChild>
                <w:div w:id="1725252483">
                  <w:marLeft w:val="0"/>
                  <w:marRight w:val="0"/>
                  <w:marTop w:val="0"/>
                  <w:marBottom w:val="0"/>
                  <w:divBdr>
                    <w:top w:val="none" w:sz="0" w:space="0" w:color="auto"/>
                    <w:left w:val="none" w:sz="0" w:space="0" w:color="auto"/>
                    <w:bottom w:val="none" w:sz="0" w:space="0" w:color="auto"/>
                    <w:right w:val="none" w:sz="0" w:space="0" w:color="auto"/>
                  </w:divBdr>
                  <w:divsChild>
                    <w:div w:id="21274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018">
      <w:bodyDiv w:val="1"/>
      <w:marLeft w:val="0"/>
      <w:marRight w:val="0"/>
      <w:marTop w:val="0"/>
      <w:marBottom w:val="0"/>
      <w:divBdr>
        <w:top w:val="none" w:sz="0" w:space="0" w:color="auto"/>
        <w:left w:val="none" w:sz="0" w:space="0" w:color="auto"/>
        <w:bottom w:val="none" w:sz="0" w:space="0" w:color="auto"/>
        <w:right w:val="none" w:sz="0" w:space="0" w:color="auto"/>
      </w:divBdr>
    </w:div>
    <w:div w:id="209808655">
      <w:bodyDiv w:val="1"/>
      <w:marLeft w:val="0"/>
      <w:marRight w:val="0"/>
      <w:marTop w:val="0"/>
      <w:marBottom w:val="0"/>
      <w:divBdr>
        <w:top w:val="none" w:sz="0" w:space="0" w:color="auto"/>
        <w:left w:val="none" w:sz="0" w:space="0" w:color="auto"/>
        <w:bottom w:val="none" w:sz="0" w:space="0" w:color="auto"/>
        <w:right w:val="none" w:sz="0" w:space="0" w:color="auto"/>
      </w:divBdr>
      <w:divsChild>
        <w:div w:id="1552301904">
          <w:marLeft w:val="0"/>
          <w:marRight w:val="0"/>
          <w:marTop w:val="0"/>
          <w:marBottom w:val="0"/>
          <w:divBdr>
            <w:top w:val="none" w:sz="0" w:space="0" w:color="auto"/>
            <w:left w:val="none" w:sz="0" w:space="0" w:color="auto"/>
            <w:bottom w:val="none" w:sz="0" w:space="0" w:color="auto"/>
            <w:right w:val="none" w:sz="0" w:space="0" w:color="auto"/>
          </w:divBdr>
          <w:divsChild>
            <w:div w:id="2108959386">
              <w:marLeft w:val="0"/>
              <w:marRight w:val="0"/>
              <w:marTop w:val="0"/>
              <w:marBottom w:val="0"/>
              <w:divBdr>
                <w:top w:val="none" w:sz="0" w:space="0" w:color="auto"/>
                <w:left w:val="none" w:sz="0" w:space="0" w:color="auto"/>
                <w:bottom w:val="none" w:sz="0" w:space="0" w:color="auto"/>
                <w:right w:val="none" w:sz="0" w:space="0" w:color="auto"/>
              </w:divBdr>
              <w:divsChild>
                <w:div w:id="2021732729">
                  <w:marLeft w:val="0"/>
                  <w:marRight w:val="0"/>
                  <w:marTop w:val="0"/>
                  <w:marBottom w:val="0"/>
                  <w:divBdr>
                    <w:top w:val="none" w:sz="0" w:space="0" w:color="auto"/>
                    <w:left w:val="none" w:sz="0" w:space="0" w:color="auto"/>
                    <w:bottom w:val="none" w:sz="0" w:space="0" w:color="auto"/>
                    <w:right w:val="none" w:sz="0" w:space="0" w:color="auto"/>
                  </w:divBdr>
                  <w:divsChild>
                    <w:div w:id="10373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1868">
      <w:bodyDiv w:val="1"/>
      <w:marLeft w:val="0"/>
      <w:marRight w:val="0"/>
      <w:marTop w:val="0"/>
      <w:marBottom w:val="0"/>
      <w:divBdr>
        <w:top w:val="none" w:sz="0" w:space="0" w:color="auto"/>
        <w:left w:val="none" w:sz="0" w:space="0" w:color="auto"/>
        <w:bottom w:val="none" w:sz="0" w:space="0" w:color="auto"/>
        <w:right w:val="none" w:sz="0" w:space="0" w:color="auto"/>
      </w:divBdr>
    </w:div>
    <w:div w:id="227349722">
      <w:bodyDiv w:val="1"/>
      <w:marLeft w:val="0"/>
      <w:marRight w:val="0"/>
      <w:marTop w:val="0"/>
      <w:marBottom w:val="0"/>
      <w:divBdr>
        <w:top w:val="none" w:sz="0" w:space="0" w:color="auto"/>
        <w:left w:val="none" w:sz="0" w:space="0" w:color="auto"/>
        <w:bottom w:val="none" w:sz="0" w:space="0" w:color="auto"/>
        <w:right w:val="none" w:sz="0" w:space="0" w:color="auto"/>
      </w:divBdr>
    </w:div>
    <w:div w:id="229970060">
      <w:bodyDiv w:val="1"/>
      <w:marLeft w:val="0"/>
      <w:marRight w:val="0"/>
      <w:marTop w:val="0"/>
      <w:marBottom w:val="0"/>
      <w:divBdr>
        <w:top w:val="none" w:sz="0" w:space="0" w:color="auto"/>
        <w:left w:val="none" w:sz="0" w:space="0" w:color="auto"/>
        <w:bottom w:val="none" w:sz="0" w:space="0" w:color="auto"/>
        <w:right w:val="none" w:sz="0" w:space="0" w:color="auto"/>
      </w:divBdr>
    </w:div>
    <w:div w:id="237525458">
      <w:bodyDiv w:val="1"/>
      <w:marLeft w:val="0"/>
      <w:marRight w:val="0"/>
      <w:marTop w:val="0"/>
      <w:marBottom w:val="0"/>
      <w:divBdr>
        <w:top w:val="none" w:sz="0" w:space="0" w:color="auto"/>
        <w:left w:val="none" w:sz="0" w:space="0" w:color="auto"/>
        <w:bottom w:val="none" w:sz="0" w:space="0" w:color="auto"/>
        <w:right w:val="none" w:sz="0" w:space="0" w:color="auto"/>
      </w:divBdr>
    </w:div>
    <w:div w:id="333535900">
      <w:bodyDiv w:val="1"/>
      <w:marLeft w:val="0"/>
      <w:marRight w:val="0"/>
      <w:marTop w:val="0"/>
      <w:marBottom w:val="0"/>
      <w:divBdr>
        <w:top w:val="none" w:sz="0" w:space="0" w:color="auto"/>
        <w:left w:val="none" w:sz="0" w:space="0" w:color="auto"/>
        <w:bottom w:val="none" w:sz="0" w:space="0" w:color="auto"/>
        <w:right w:val="none" w:sz="0" w:space="0" w:color="auto"/>
      </w:divBdr>
    </w:div>
    <w:div w:id="338581485">
      <w:bodyDiv w:val="1"/>
      <w:marLeft w:val="0"/>
      <w:marRight w:val="0"/>
      <w:marTop w:val="0"/>
      <w:marBottom w:val="0"/>
      <w:divBdr>
        <w:top w:val="none" w:sz="0" w:space="0" w:color="auto"/>
        <w:left w:val="none" w:sz="0" w:space="0" w:color="auto"/>
        <w:bottom w:val="none" w:sz="0" w:space="0" w:color="auto"/>
        <w:right w:val="none" w:sz="0" w:space="0" w:color="auto"/>
      </w:divBdr>
    </w:div>
    <w:div w:id="344981710">
      <w:bodyDiv w:val="1"/>
      <w:marLeft w:val="0"/>
      <w:marRight w:val="0"/>
      <w:marTop w:val="0"/>
      <w:marBottom w:val="0"/>
      <w:divBdr>
        <w:top w:val="none" w:sz="0" w:space="0" w:color="auto"/>
        <w:left w:val="none" w:sz="0" w:space="0" w:color="auto"/>
        <w:bottom w:val="none" w:sz="0" w:space="0" w:color="auto"/>
        <w:right w:val="none" w:sz="0" w:space="0" w:color="auto"/>
      </w:divBdr>
    </w:div>
    <w:div w:id="414665948">
      <w:bodyDiv w:val="1"/>
      <w:marLeft w:val="0"/>
      <w:marRight w:val="0"/>
      <w:marTop w:val="0"/>
      <w:marBottom w:val="0"/>
      <w:divBdr>
        <w:top w:val="none" w:sz="0" w:space="0" w:color="auto"/>
        <w:left w:val="none" w:sz="0" w:space="0" w:color="auto"/>
        <w:bottom w:val="none" w:sz="0" w:space="0" w:color="auto"/>
        <w:right w:val="none" w:sz="0" w:space="0" w:color="auto"/>
      </w:divBdr>
    </w:div>
    <w:div w:id="425659373">
      <w:bodyDiv w:val="1"/>
      <w:marLeft w:val="0"/>
      <w:marRight w:val="0"/>
      <w:marTop w:val="0"/>
      <w:marBottom w:val="0"/>
      <w:divBdr>
        <w:top w:val="none" w:sz="0" w:space="0" w:color="auto"/>
        <w:left w:val="none" w:sz="0" w:space="0" w:color="auto"/>
        <w:bottom w:val="none" w:sz="0" w:space="0" w:color="auto"/>
        <w:right w:val="none" w:sz="0" w:space="0" w:color="auto"/>
      </w:divBdr>
      <w:divsChild>
        <w:div w:id="2117940608">
          <w:marLeft w:val="0"/>
          <w:marRight w:val="0"/>
          <w:marTop w:val="0"/>
          <w:marBottom w:val="0"/>
          <w:divBdr>
            <w:top w:val="none" w:sz="0" w:space="0" w:color="auto"/>
            <w:left w:val="none" w:sz="0" w:space="0" w:color="auto"/>
            <w:bottom w:val="none" w:sz="0" w:space="0" w:color="auto"/>
            <w:right w:val="none" w:sz="0" w:space="0" w:color="auto"/>
          </w:divBdr>
          <w:divsChild>
            <w:div w:id="1699623503">
              <w:marLeft w:val="0"/>
              <w:marRight w:val="0"/>
              <w:marTop w:val="0"/>
              <w:marBottom w:val="0"/>
              <w:divBdr>
                <w:top w:val="none" w:sz="0" w:space="0" w:color="auto"/>
                <w:left w:val="none" w:sz="0" w:space="0" w:color="auto"/>
                <w:bottom w:val="none" w:sz="0" w:space="0" w:color="auto"/>
                <w:right w:val="none" w:sz="0" w:space="0" w:color="auto"/>
              </w:divBdr>
              <w:divsChild>
                <w:div w:id="115950319">
                  <w:marLeft w:val="0"/>
                  <w:marRight w:val="0"/>
                  <w:marTop w:val="0"/>
                  <w:marBottom w:val="0"/>
                  <w:divBdr>
                    <w:top w:val="none" w:sz="0" w:space="0" w:color="auto"/>
                    <w:left w:val="none" w:sz="0" w:space="0" w:color="auto"/>
                    <w:bottom w:val="none" w:sz="0" w:space="0" w:color="auto"/>
                    <w:right w:val="none" w:sz="0" w:space="0" w:color="auto"/>
                  </w:divBdr>
                </w:div>
              </w:divsChild>
            </w:div>
            <w:div w:id="1443262048">
              <w:marLeft w:val="0"/>
              <w:marRight w:val="0"/>
              <w:marTop w:val="0"/>
              <w:marBottom w:val="0"/>
              <w:divBdr>
                <w:top w:val="none" w:sz="0" w:space="0" w:color="auto"/>
                <w:left w:val="none" w:sz="0" w:space="0" w:color="auto"/>
                <w:bottom w:val="none" w:sz="0" w:space="0" w:color="auto"/>
                <w:right w:val="none" w:sz="0" w:space="0" w:color="auto"/>
              </w:divBdr>
              <w:divsChild>
                <w:div w:id="6333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89902">
      <w:bodyDiv w:val="1"/>
      <w:marLeft w:val="0"/>
      <w:marRight w:val="0"/>
      <w:marTop w:val="0"/>
      <w:marBottom w:val="0"/>
      <w:divBdr>
        <w:top w:val="none" w:sz="0" w:space="0" w:color="auto"/>
        <w:left w:val="none" w:sz="0" w:space="0" w:color="auto"/>
        <w:bottom w:val="none" w:sz="0" w:space="0" w:color="auto"/>
        <w:right w:val="none" w:sz="0" w:space="0" w:color="auto"/>
      </w:divBdr>
    </w:div>
    <w:div w:id="472067952">
      <w:bodyDiv w:val="1"/>
      <w:marLeft w:val="0"/>
      <w:marRight w:val="0"/>
      <w:marTop w:val="0"/>
      <w:marBottom w:val="0"/>
      <w:divBdr>
        <w:top w:val="none" w:sz="0" w:space="0" w:color="auto"/>
        <w:left w:val="none" w:sz="0" w:space="0" w:color="auto"/>
        <w:bottom w:val="none" w:sz="0" w:space="0" w:color="auto"/>
        <w:right w:val="none" w:sz="0" w:space="0" w:color="auto"/>
      </w:divBdr>
    </w:div>
    <w:div w:id="500126046">
      <w:bodyDiv w:val="1"/>
      <w:marLeft w:val="0"/>
      <w:marRight w:val="0"/>
      <w:marTop w:val="0"/>
      <w:marBottom w:val="0"/>
      <w:divBdr>
        <w:top w:val="none" w:sz="0" w:space="0" w:color="auto"/>
        <w:left w:val="none" w:sz="0" w:space="0" w:color="auto"/>
        <w:bottom w:val="none" w:sz="0" w:space="0" w:color="auto"/>
        <w:right w:val="none" w:sz="0" w:space="0" w:color="auto"/>
      </w:divBdr>
      <w:divsChild>
        <w:div w:id="102309103">
          <w:marLeft w:val="0"/>
          <w:marRight w:val="0"/>
          <w:marTop w:val="0"/>
          <w:marBottom w:val="0"/>
          <w:divBdr>
            <w:top w:val="none" w:sz="0" w:space="0" w:color="auto"/>
            <w:left w:val="none" w:sz="0" w:space="0" w:color="auto"/>
            <w:bottom w:val="none" w:sz="0" w:space="0" w:color="auto"/>
            <w:right w:val="none" w:sz="0" w:space="0" w:color="auto"/>
          </w:divBdr>
          <w:divsChild>
            <w:div w:id="1384452127">
              <w:marLeft w:val="0"/>
              <w:marRight w:val="0"/>
              <w:marTop w:val="0"/>
              <w:marBottom w:val="0"/>
              <w:divBdr>
                <w:top w:val="none" w:sz="0" w:space="0" w:color="auto"/>
                <w:left w:val="none" w:sz="0" w:space="0" w:color="auto"/>
                <w:bottom w:val="none" w:sz="0" w:space="0" w:color="auto"/>
                <w:right w:val="none" w:sz="0" w:space="0" w:color="auto"/>
              </w:divBdr>
              <w:divsChild>
                <w:div w:id="1652246081">
                  <w:marLeft w:val="0"/>
                  <w:marRight w:val="0"/>
                  <w:marTop w:val="0"/>
                  <w:marBottom w:val="0"/>
                  <w:divBdr>
                    <w:top w:val="none" w:sz="0" w:space="0" w:color="auto"/>
                    <w:left w:val="none" w:sz="0" w:space="0" w:color="auto"/>
                    <w:bottom w:val="none" w:sz="0" w:space="0" w:color="auto"/>
                    <w:right w:val="none" w:sz="0" w:space="0" w:color="auto"/>
                  </w:divBdr>
                  <w:divsChild>
                    <w:div w:id="607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1873">
      <w:bodyDiv w:val="1"/>
      <w:marLeft w:val="0"/>
      <w:marRight w:val="0"/>
      <w:marTop w:val="0"/>
      <w:marBottom w:val="0"/>
      <w:divBdr>
        <w:top w:val="none" w:sz="0" w:space="0" w:color="auto"/>
        <w:left w:val="none" w:sz="0" w:space="0" w:color="auto"/>
        <w:bottom w:val="none" w:sz="0" w:space="0" w:color="auto"/>
        <w:right w:val="none" w:sz="0" w:space="0" w:color="auto"/>
      </w:divBdr>
      <w:divsChild>
        <w:div w:id="915750587">
          <w:marLeft w:val="0"/>
          <w:marRight w:val="0"/>
          <w:marTop w:val="0"/>
          <w:marBottom w:val="0"/>
          <w:divBdr>
            <w:top w:val="none" w:sz="0" w:space="0" w:color="auto"/>
            <w:left w:val="none" w:sz="0" w:space="0" w:color="auto"/>
            <w:bottom w:val="none" w:sz="0" w:space="0" w:color="auto"/>
            <w:right w:val="none" w:sz="0" w:space="0" w:color="auto"/>
          </w:divBdr>
          <w:divsChild>
            <w:div w:id="1263954869">
              <w:marLeft w:val="0"/>
              <w:marRight w:val="0"/>
              <w:marTop w:val="0"/>
              <w:marBottom w:val="0"/>
              <w:divBdr>
                <w:top w:val="none" w:sz="0" w:space="0" w:color="auto"/>
                <w:left w:val="none" w:sz="0" w:space="0" w:color="auto"/>
                <w:bottom w:val="none" w:sz="0" w:space="0" w:color="auto"/>
                <w:right w:val="none" w:sz="0" w:space="0" w:color="auto"/>
              </w:divBdr>
              <w:divsChild>
                <w:div w:id="816846605">
                  <w:marLeft w:val="0"/>
                  <w:marRight w:val="0"/>
                  <w:marTop w:val="0"/>
                  <w:marBottom w:val="0"/>
                  <w:divBdr>
                    <w:top w:val="none" w:sz="0" w:space="0" w:color="auto"/>
                    <w:left w:val="none" w:sz="0" w:space="0" w:color="auto"/>
                    <w:bottom w:val="none" w:sz="0" w:space="0" w:color="auto"/>
                    <w:right w:val="none" w:sz="0" w:space="0" w:color="auto"/>
                  </w:divBdr>
                  <w:divsChild>
                    <w:div w:id="16075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10846">
      <w:bodyDiv w:val="1"/>
      <w:marLeft w:val="0"/>
      <w:marRight w:val="0"/>
      <w:marTop w:val="0"/>
      <w:marBottom w:val="0"/>
      <w:divBdr>
        <w:top w:val="none" w:sz="0" w:space="0" w:color="auto"/>
        <w:left w:val="none" w:sz="0" w:space="0" w:color="auto"/>
        <w:bottom w:val="none" w:sz="0" w:space="0" w:color="auto"/>
        <w:right w:val="none" w:sz="0" w:space="0" w:color="auto"/>
      </w:divBdr>
    </w:div>
    <w:div w:id="664482409">
      <w:bodyDiv w:val="1"/>
      <w:marLeft w:val="0"/>
      <w:marRight w:val="0"/>
      <w:marTop w:val="0"/>
      <w:marBottom w:val="0"/>
      <w:divBdr>
        <w:top w:val="none" w:sz="0" w:space="0" w:color="auto"/>
        <w:left w:val="none" w:sz="0" w:space="0" w:color="auto"/>
        <w:bottom w:val="none" w:sz="0" w:space="0" w:color="auto"/>
        <w:right w:val="none" w:sz="0" w:space="0" w:color="auto"/>
      </w:divBdr>
    </w:div>
    <w:div w:id="687801450">
      <w:bodyDiv w:val="1"/>
      <w:marLeft w:val="0"/>
      <w:marRight w:val="0"/>
      <w:marTop w:val="0"/>
      <w:marBottom w:val="0"/>
      <w:divBdr>
        <w:top w:val="none" w:sz="0" w:space="0" w:color="auto"/>
        <w:left w:val="none" w:sz="0" w:space="0" w:color="auto"/>
        <w:bottom w:val="none" w:sz="0" w:space="0" w:color="auto"/>
        <w:right w:val="none" w:sz="0" w:space="0" w:color="auto"/>
      </w:divBdr>
    </w:div>
    <w:div w:id="712193071">
      <w:bodyDiv w:val="1"/>
      <w:marLeft w:val="0"/>
      <w:marRight w:val="0"/>
      <w:marTop w:val="0"/>
      <w:marBottom w:val="0"/>
      <w:divBdr>
        <w:top w:val="none" w:sz="0" w:space="0" w:color="auto"/>
        <w:left w:val="none" w:sz="0" w:space="0" w:color="auto"/>
        <w:bottom w:val="none" w:sz="0" w:space="0" w:color="auto"/>
        <w:right w:val="none" w:sz="0" w:space="0" w:color="auto"/>
      </w:divBdr>
    </w:div>
    <w:div w:id="732966393">
      <w:bodyDiv w:val="1"/>
      <w:marLeft w:val="0"/>
      <w:marRight w:val="0"/>
      <w:marTop w:val="0"/>
      <w:marBottom w:val="0"/>
      <w:divBdr>
        <w:top w:val="none" w:sz="0" w:space="0" w:color="auto"/>
        <w:left w:val="none" w:sz="0" w:space="0" w:color="auto"/>
        <w:bottom w:val="none" w:sz="0" w:space="0" w:color="auto"/>
        <w:right w:val="none" w:sz="0" w:space="0" w:color="auto"/>
      </w:divBdr>
    </w:div>
    <w:div w:id="783427956">
      <w:bodyDiv w:val="1"/>
      <w:marLeft w:val="0"/>
      <w:marRight w:val="0"/>
      <w:marTop w:val="0"/>
      <w:marBottom w:val="0"/>
      <w:divBdr>
        <w:top w:val="none" w:sz="0" w:space="0" w:color="auto"/>
        <w:left w:val="none" w:sz="0" w:space="0" w:color="auto"/>
        <w:bottom w:val="none" w:sz="0" w:space="0" w:color="auto"/>
        <w:right w:val="none" w:sz="0" w:space="0" w:color="auto"/>
      </w:divBdr>
    </w:div>
    <w:div w:id="866521574">
      <w:bodyDiv w:val="1"/>
      <w:marLeft w:val="0"/>
      <w:marRight w:val="0"/>
      <w:marTop w:val="0"/>
      <w:marBottom w:val="0"/>
      <w:divBdr>
        <w:top w:val="none" w:sz="0" w:space="0" w:color="auto"/>
        <w:left w:val="none" w:sz="0" w:space="0" w:color="auto"/>
        <w:bottom w:val="none" w:sz="0" w:space="0" w:color="auto"/>
        <w:right w:val="none" w:sz="0" w:space="0" w:color="auto"/>
      </w:divBdr>
    </w:div>
    <w:div w:id="928391249">
      <w:bodyDiv w:val="1"/>
      <w:marLeft w:val="0"/>
      <w:marRight w:val="0"/>
      <w:marTop w:val="0"/>
      <w:marBottom w:val="0"/>
      <w:divBdr>
        <w:top w:val="none" w:sz="0" w:space="0" w:color="auto"/>
        <w:left w:val="none" w:sz="0" w:space="0" w:color="auto"/>
        <w:bottom w:val="none" w:sz="0" w:space="0" w:color="auto"/>
        <w:right w:val="none" w:sz="0" w:space="0" w:color="auto"/>
      </w:divBdr>
      <w:divsChild>
        <w:div w:id="1662271519">
          <w:marLeft w:val="0"/>
          <w:marRight w:val="0"/>
          <w:marTop w:val="0"/>
          <w:marBottom w:val="0"/>
          <w:divBdr>
            <w:top w:val="none" w:sz="0" w:space="0" w:color="auto"/>
            <w:left w:val="none" w:sz="0" w:space="0" w:color="auto"/>
            <w:bottom w:val="none" w:sz="0" w:space="0" w:color="auto"/>
            <w:right w:val="none" w:sz="0" w:space="0" w:color="auto"/>
          </w:divBdr>
          <w:divsChild>
            <w:div w:id="786433190">
              <w:marLeft w:val="0"/>
              <w:marRight w:val="0"/>
              <w:marTop w:val="0"/>
              <w:marBottom w:val="0"/>
              <w:divBdr>
                <w:top w:val="none" w:sz="0" w:space="0" w:color="auto"/>
                <w:left w:val="none" w:sz="0" w:space="0" w:color="auto"/>
                <w:bottom w:val="none" w:sz="0" w:space="0" w:color="auto"/>
                <w:right w:val="none" w:sz="0" w:space="0" w:color="auto"/>
              </w:divBdr>
              <w:divsChild>
                <w:div w:id="10571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9607">
          <w:marLeft w:val="0"/>
          <w:marRight w:val="0"/>
          <w:marTop w:val="0"/>
          <w:marBottom w:val="0"/>
          <w:divBdr>
            <w:top w:val="none" w:sz="0" w:space="0" w:color="auto"/>
            <w:left w:val="none" w:sz="0" w:space="0" w:color="auto"/>
            <w:bottom w:val="none" w:sz="0" w:space="0" w:color="auto"/>
            <w:right w:val="none" w:sz="0" w:space="0" w:color="auto"/>
          </w:divBdr>
          <w:divsChild>
            <w:div w:id="1158765062">
              <w:marLeft w:val="0"/>
              <w:marRight w:val="0"/>
              <w:marTop w:val="0"/>
              <w:marBottom w:val="0"/>
              <w:divBdr>
                <w:top w:val="none" w:sz="0" w:space="0" w:color="auto"/>
                <w:left w:val="none" w:sz="0" w:space="0" w:color="auto"/>
                <w:bottom w:val="none" w:sz="0" w:space="0" w:color="auto"/>
                <w:right w:val="none" w:sz="0" w:space="0" w:color="auto"/>
              </w:divBdr>
              <w:divsChild>
                <w:div w:id="285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810">
      <w:bodyDiv w:val="1"/>
      <w:marLeft w:val="0"/>
      <w:marRight w:val="0"/>
      <w:marTop w:val="0"/>
      <w:marBottom w:val="0"/>
      <w:divBdr>
        <w:top w:val="none" w:sz="0" w:space="0" w:color="auto"/>
        <w:left w:val="none" w:sz="0" w:space="0" w:color="auto"/>
        <w:bottom w:val="none" w:sz="0" w:space="0" w:color="auto"/>
        <w:right w:val="none" w:sz="0" w:space="0" w:color="auto"/>
      </w:divBdr>
    </w:div>
    <w:div w:id="949749573">
      <w:bodyDiv w:val="1"/>
      <w:marLeft w:val="0"/>
      <w:marRight w:val="0"/>
      <w:marTop w:val="0"/>
      <w:marBottom w:val="0"/>
      <w:divBdr>
        <w:top w:val="none" w:sz="0" w:space="0" w:color="auto"/>
        <w:left w:val="none" w:sz="0" w:space="0" w:color="auto"/>
        <w:bottom w:val="none" w:sz="0" w:space="0" w:color="auto"/>
        <w:right w:val="none" w:sz="0" w:space="0" w:color="auto"/>
      </w:divBdr>
    </w:div>
    <w:div w:id="990014593">
      <w:bodyDiv w:val="1"/>
      <w:marLeft w:val="0"/>
      <w:marRight w:val="0"/>
      <w:marTop w:val="0"/>
      <w:marBottom w:val="0"/>
      <w:divBdr>
        <w:top w:val="none" w:sz="0" w:space="0" w:color="auto"/>
        <w:left w:val="none" w:sz="0" w:space="0" w:color="auto"/>
        <w:bottom w:val="none" w:sz="0" w:space="0" w:color="auto"/>
        <w:right w:val="none" w:sz="0" w:space="0" w:color="auto"/>
      </w:divBdr>
      <w:divsChild>
        <w:div w:id="1636988988">
          <w:marLeft w:val="0"/>
          <w:marRight w:val="0"/>
          <w:marTop w:val="0"/>
          <w:marBottom w:val="0"/>
          <w:divBdr>
            <w:top w:val="none" w:sz="0" w:space="0" w:color="auto"/>
            <w:left w:val="none" w:sz="0" w:space="0" w:color="auto"/>
            <w:bottom w:val="none" w:sz="0" w:space="0" w:color="auto"/>
            <w:right w:val="none" w:sz="0" w:space="0" w:color="auto"/>
          </w:divBdr>
          <w:divsChild>
            <w:div w:id="333916495">
              <w:marLeft w:val="0"/>
              <w:marRight w:val="0"/>
              <w:marTop w:val="0"/>
              <w:marBottom w:val="0"/>
              <w:divBdr>
                <w:top w:val="none" w:sz="0" w:space="0" w:color="auto"/>
                <w:left w:val="none" w:sz="0" w:space="0" w:color="auto"/>
                <w:bottom w:val="none" w:sz="0" w:space="0" w:color="auto"/>
                <w:right w:val="none" w:sz="0" w:space="0" w:color="auto"/>
              </w:divBdr>
              <w:divsChild>
                <w:div w:id="696657293">
                  <w:marLeft w:val="0"/>
                  <w:marRight w:val="0"/>
                  <w:marTop w:val="0"/>
                  <w:marBottom w:val="0"/>
                  <w:divBdr>
                    <w:top w:val="none" w:sz="0" w:space="0" w:color="auto"/>
                    <w:left w:val="none" w:sz="0" w:space="0" w:color="auto"/>
                    <w:bottom w:val="none" w:sz="0" w:space="0" w:color="auto"/>
                    <w:right w:val="none" w:sz="0" w:space="0" w:color="auto"/>
                  </w:divBdr>
                  <w:divsChild>
                    <w:div w:id="18795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7570">
      <w:bodyDiv w:val="1"/>
      <w:marLeft w:val="0"/>
      <w:marRight w:val="0"/>
      <w:marTop w:val="0"/>
      <w:marBottom w:val="0"/>
      <w:divBdr>
        <w:top w:val="none" w:sz="0" w:space="0" w:color="auto"/>
        <w:left w:val="none" w:sz="0" w:space="0" w:color="auto"/>
        <w:bottom w:val="none" w:sz="0" w:space="0" w:color="auto"/>
        <w:right w:val="none" w:sz="0" w:space="0" w:color="auto"/>
      </w:divBdr>
      <w:divsChild>
        <w:div w:id="1675648628">
          <w:marLeft w:val="0"/>
          <w:marRight w:val="0"/>
          <w:marTop w:val="0"/>
          <w:marBottom w:val="0"/>
          <w:divBdr>
            <w:top w:val="none" w:sz="0" w:space="0" w:color="auto"/>
            <w:left w:val="none" w:sz="0" w:space="0" w:color="auto"/>
            <w:bottom w:val="none" w:sz="0" w:space="0" w:color="auto"/>
            <w:right w:val="none" w:sz="0" w:space="0" w:color="auto"/>
          </w:divBdr>
          <w:divsChild>
            <w:div w:id="725647181">
              <w:marLeft w:val="0"/>
              <w:marRight w:val="0"/>
              <w:marTop w:val="0"/>
              <w:marBottom w:val="0"/>
              <w:divBdr>
                <w:top w:val="none" w:sz="0" w:space="0" w:color="auto"/>
                <w:left w:val="none" w:sz="0" w:space="0" w:color="auto"/>
                <w:bottom w:val="none" w:sz="0" w:space="0" w:color="auto"/>
                <w:right w:val="none" w:sz="0" w:space="0" w:color="auto"/>
              </w:divBdr>
              <w:divsChild>
                <w:div w:id="1251625713">
                  <w:marLeft w:val="0"/>
                  <w:marRight w:val="0"/>
                  <w:marTop w:val="0"/>
                  <w:marBottom w:val="0"/>
                  <w:divBdr>
                    <w:top w:val="none" w:sz="0" w:space="0" w:color="auto"/>
                    <w:left w:val="none" w:sz="0" w:space="0" w:color="auto"/>
                    <w:bottom w:val="none" w:sz="0" w:space="0" w:color="auto"/>
                    <w:right w:val="none" w:sz="0" w:space="0" w:color="auto"/>
                  </w:divBdr>
                  <w:divsChild>
                    <w:div w:id="5358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2032">
      <w:bodyDiv w:val="1"/>
      <w:marLeft w:val="0"/>
      <w:marRight w:val="0"/>
      <w:marTop w:val="0"/>
      <w:marBottom w:val="0"/>
      <w:divBdr>
        <w:top w:val="none" w:sz="0" w:space="0" w:color="auto"/>
        <w:left w:val="none" w:sz="0" w:space="0" w:color="auto"/>
        <w:bottom w:val="none" w:sz="0" w:space="0" w:color="auto"/>
        <w:right w:val="none" w:sz="0" w:space="0" w:color="auto"/>
      </w:divBdr>
    </w:div>
    <w:div w:id="1195850312">
      <w:bodyDiv w:val="1"/>
      <w:marLeft w:val="0"/>
      <w:marRight w:val="0"/>
      <w:marTop w:val="0"/>
      <w:marBottom w:val="0"/>
      <w:divBdr>
        <w:top w:val="none" w:sz="0" w:space="0" w:color="auto"/>
        <w:left w:val="none" w:sz="0" w:space="0" w:color="auto"/>
        <w:bottom w:val="none" w:sz="0" w:space="0" w:color="auto"/>
        <w:right w:val="none" w:sz="0" w:space="0" w:color="auto"/>
      </w:divBdr>
    </w:div>
    <w:div w:id="1314945132">
      <w:bodyDiv w:val="1"/>
      <w:marLeft w:val="0"/>
      <w:marRight w:val="0"/>
      <w:marTop w:val="0"/>
      <w:marBottom w:val="0"/>
      <w:divBdr>
        <w:top w:val="none" w:sz="0" w:space="0" w:color="auto"/>
        <w:left w:val="none" w:sz="0" w:space="0" w:color="auto"/>
        <w:bottom w:val="none" w:sz="0" w:space="0" w:color="auto"/>
        <w:right w:val="none" w:sz="0" w:space="0" w:color="auto"/>
      </w:divBdr>
    </w:div>
    <w:div w:id="1316181530">
      <w:bodyDiv w:val="1"/>
      <w:marLeft w:val="0"/>
      <w:marRight w:val="0"/>
      <w:marTop w:val="0"/>
      <w:marBottom w:val="0"/>
      <w:divBdr>
        <w:top w:val="none" w:sz="0" w:space="0" w:color="auto"/>
        <w:left w:val="none" w:sz="0" w:space="0" w:color="auto"/>
        <w:bottom w:val="none" w:sz="0" w:space="0" w:color="auto"/>
        <w:right w:val="none" w:sz="0" w:space="0" w:color="auto"/>
      </w:divBdr>
    </w:div>
    <w:div w:id="1400590800">
      <w:bodyDiv w:val="1"/>
      <w:marLeft w:val="0"/>
      <w:marRight w:val="0"/>
      <w:marTop w:val="0"/>
      <w:marBottom w:val="0"/>
      <w:divBdr>
        <w:top w:val="none" w:sz="0" w:space="0" w:color="auto"/>
        <w:left w:val="none" w:sz="0" w:space="0" w:color="auto"/>
        <w:bottom w:val="none" w:sz="0" w:space="0" w:color="auto"/>
        <w:right w:val="none" w:sz="0" w:space="0" w:color="auto"/>
      </w:divBdr>
    </w:div>
    <w:div w:id="1471482364">
      <w:bodyDiv w:val="1"/>
      <w:marLeft w:val="0"/>
      <w:marRight w:val="0"/>
      <w:marTop w:val="0"/>
      <w:marBottom w:val="0"/>
      <w:divBdr>
        <w:top w:val="none" w:sz="0" w:space="0" w:color="auto"/>
        <w:left w:val="none" w:sz="0" w:space="0" w:color="auto"/>
        <w:bottom w:val="none" w:sz="0" w:space="0" w:color="auto"/>
        <w:right w:val="none" w:sz="0" w:space="0" w:color="auto"/>
      </w:divBdr>
    </w:div>
    <w:div w:id="1494176148">
      <w:bodyDiv w:val="1"/>
      <w:marLeft w:val="0"/>
      <w:marRight w:val="0"/>
      <w:marTop w:val="0"/>
      <w:marBottom w:val="0"/>
      <w:divBdr>
        <w:top w:val="none" w:sz="0" w:space="0" w:color="auto"/>
        <w:left w:val="none" w:sz="0" w:space="0" w:color="auto"/>
        <w:bottom w:val="none" w:sz="0" w:space="0" w:color="auto"/>
        <w:right w:val="none" w:sz="0" w:space="0" w:color="auto"/>
      </w:divBdr>
    </w:div>
    <w:div w:id="1495485041">
      <w:bodyDiv w:val="1"/>
      <w:marLeft w:val="0"/>
      <w:marRight w:val="0"/>
      <w:marTop w:val="0"/>
      <w:marBottom w:val="0"/>
      <w:divBdr>
        <w:top w:val="none" w:sz="0" w:space="0" w:color="auto"/>
        <w:left w:val="none" w:sz="0" w:space="0" w:color="auto"/>
        <w:bottom w:val="none" w:sz="0" w:space="0" w:color="auto"/>
        <w:right w:val="none" w:sz="0" w:space="0" w:color="auto"/>
      </w:divBdr>
    </w:div>
    <w:div w:id="1603999341">
      <w:bodyDiv w:val="1"/>
      <w:marLeft w:val="0"/>
      <w:marRight w:val="0"/>
      <w:marTop w:val="0"/>
      <w:marBottom w:val="0"/>
      <w:divBdr>
        <w:top w:val="none" w:sz="0" w:space="0" w:color="auto"/>
        <w:left w:val="none" w:sz="0" w:space="0" w:color="auto"/>
        <w:bottom w:val="none" w:sz="0" w:space="0" w:color="auto"/>
        <w:right w:val="none" w:sz="0" w:space="0" w:color="auto"/>
      </w:divBdr>
    </w:div>
    <w:div w:id="1616642340">
      <w:bodyDiv w:val="1"/>
      <w:marLeft w:val="0"/>
      <w:marRight w:val="0"/>
      <w:marTop w:val="0"/>
      <w:marBottom w:val="0"/>
      <w:divBdr>
        <w:top w:val="none" w:sz="0" w:space="0" w:color="auto"/>
        <w:left w:val="none" w:sz="0" w:space="0" w:color="auto"/>
        <w:bottom w:val="none" w:sz="0" w:space="0" w:color="auto"/>
        <w:right w:val="none" w:sz="0" w:space="0" w:color="auto"/>
      </w:divBdr>
    </w:div>
    <w:div w:id="1633293638">
      <w:bodyDiv w:val="1"/>
      <w:marLeft w:val="0"/>
      <w:marRight w:val="0"/>
      <w:marTop w:val="0"/>
      <w:marBottom w:val="0"/>
      <w:divBdr>
        <w:top w:val="none" w:sz="0" w:space="0" w:color="auto"/>
        <w:left w:val="none" w:sz="0" w:space="0" w:color="auto"/>
        <w:bottom w:val="none" w:sz="0" w:space="0" w:color="auto"/>
        <w:right w:val="none" w:sz="0" w:space="0" w:color="auto"/>
      </w:divBdr>
    </w:div>
    <w:div w:id="1679383604">
      <w:bodyDiv w:val="1"/>
      <w:marLeft w:val="0"/>
      <w:marRight w:val="0"/>
      <w:marTop w:val="0"/>
      <w:marBottom w:val="0"/>
      <w:divBdr>
        <w:top w:val="none" w:sz="0" w:space="0" w:color="auto"/>
        <w:left w:val="none" w:sz="0" w:space="0" w:color="auto"/>
        <w:bottom w:val="none" w:sz="0" w:space="0" w:color="auto"/>
        <w:right w:val="none" w:sz="0" w:space="0" w:color="auto"/>
      </w:divBdr>
    </w:div>
    <w:div w:id="1686249038">
      <w:bodyDiv w:val="1"/>
      <w:marLeft w:val="0"/>
      <w:marRight w:val="0"/>
      <w:marTop w:val="0"/>
      <w:marBottom w:val="0"/>
      <w:divBdr>
        <w:top w:val="none" w:sz="0" w:space="0" w:color="auto"/>
        <w:left w:val="none" w:sz="0" w:space="0" w:color="auto"/>
        <w:bottom w:val="none" w:sz="0" w:space="0" w:color="auto"/>
        <w:right w:val="none" w:sz="0" w:space="0" w:color="auto"/>
      </w:divBdr>
    </w:div>
    <w:div w:id="1712264080">
      <w:bodyDiv w:val="1"/>
      <w:marLeft w:val="0"/>
      <w:marRight w:val="0"/>
      <w:marTop w:val="0"/>
      <w:marBottom w:val="0"/>
      <w:divBdr>
        <w:top w:val="none" w:sz="0" w:space="0" w:color="auto"/>
        <w:left w:val="none" w:sz="0" w:space="0" w:color="auto"/>
        <w:bottom w:val="none" w:sz="0" w:space="0" w:color="auto"/>
        <w:right w:val="none" w:sz="0" w:space="0" w:color="auto"/>
      </w:divBdr>
      <w:divsChild>
        <w:div w:id="1424455067">
          <w:marLeft w:val="0"/>
          <w:marRight w:val="0"/>
          <w:marTop w:val="0"/>
          <w:marBottom w:val="0"/>
          <w:divBdr>
            <w:top w:val="none" w:sz="0" w:space="0" w:color="auto"/>
            <w:left w:val="none" w:sz="0" w:space="0" w:color="auto"/>
            <w:bottom w:val="none" w:sz="0" w:space="0" w:color="auto"/>
            <w:right w:val="none" w:sz="0" w:space="0" w:color="auto"/>
          </w:divBdr>
          <w:divsChild>
            <w:div w:id="1690571089">
              <w:marLeft w:val="0"/>
              <w:marRight w:val="0"/>
              <w:marTop w:val="0"/>
              <w:marBottom w:val="0"/>
              <w:divBdr>
                <w:top w:val="none" w:sz="0" w:space="0" w:color="auto"/>
                <w:left w:val="none" w:sz="0" w:space="0" w:color="auto"/>
                <w:bottom w:val="none" w:sz="0" w:space="0" w:color="auto"/>
                <w:right w:val="none" w:sz="0" w:space="0" w:color="auto"/>
              </w:divBdr>
              <w:divsChild>
                <w:div w:id="319846227">
                  <w:marLeft w:val="0"/>
                  <w:marRight w:val="0"/>
                  <w:marTop w:val="0"/>
                  <w:marBottom w:val="0"/>
                  <w:divBdr>
                    <w:top w:val="none" w:sz="0" w:space="0" w:color="auto"/>
                    <w:left w:val="none" w:sz="0" w:space="0" w:color="auto"/>
                    <w:bottom w:val="none" w:sz="0" w:space="0" w:color="auto"/>
                    <w:right w:val="none" w:sz="0" w:space="0" w:color="auto"/>
                  </w:divBdr>
                </w:div>
              </w:divsChild>
            </w:div>
            <w:div w:id="458308598">
              <w:marLeft w:val="0"/>
              <w:marRight w:val="0"/>
              <w:marTop w:val="0"/>
              <w:marBottom w:val="0"/>
              <w:divBdr>
                <w:top w:val="none" w:sz="0" w:space="0" w:color="auto"/>
                <w:left w:val="none" w:sz="0" w:space="0" w:color="auto"/>
                <w:bottom w:val="none" w:sz="0" w:space="0" w:color="auto"/>
                <w:right w:val="none" w:sz="0" w:space="0" w:color="auto"/>
              </w:divBdr>
              <w:divsChild>
                <w:div w:id="1824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4702">
          <w:marLeft w:val="0"/>
          <w:marRight w:val="0"/>
          <w:marTop w:val="0"/>
          <w:marBottom w:val="0"/>
          <w:divBdr>
            <w:top w:val="none" w:sz="0" w:space="0" w:color="auto"/>
            <w:left w:val="none" w:sz="0" w:space="0" w:color="auto"/>
            <w:bottom w:val="none" w:sz="0" w:space="0" w:color="auto"/>
            <w:right w:val="none" w:sz="0" w:space="0" w:color="auto"/>
          </w:divBdr>
          <w:divsChild>
            <w:div w:id="20710330">
              <w:marLeft w:val="0"/>
              <w:marRight w:val="0"/>
              <w:marTop w:val="0"/>
              <w:marBottom w:val="0"/>
              <w:divBdr>
                <w:top w:val="none" w:sz="0" w:space="0" w:color="auto"/>
                <w:left w:val="none" w:sz="0" w:space="0" w:color="auto"/>
                <w:bottom w:val="none" w:sz="0" w:space="0" w:color="auto"/>
                <w:right w:val="none" w:sz="0" w:space="0" w:color="auto"/>
              </w:divBdr>
              <w:divsChild>
                <w:div w:id="19523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6309">
      <w:bodyDiv w:val="1"/>
      <w:marLeft w:val="0"/>
      <w:marRight w:val="0"/>
      <w:marTop w:val="0"/>
      <w:marBottom w:val="0"/>
      <w:divBdr>
        <w:top w:val="none" w:sz="0" w:space="0" w:color="auto"/>
        <w:left w:val="none" w:sz="0" w:space="0" w:color="auto"/>
        <w:bottom w:val="none" w:sz="0" w:space="0" w:color="auto"/>
        <w:right w:val="none" w:sz="0" w:space="0" w:color="auto"/>
      </w:divBdr>
    </w:div>
    <w:div w:id="1780292666">
      <w:bodyDiv w:val="1"/>
      <w:marLeft w:val="0"/>
      <w:marRight w:val="0"/>
      <w:marTop w:val="0"/>
      <w:marBottom w:val="0"/>
      <w:divBdr>
        <w:top w:val="none" w:sz="0" w:space="0" w:color="auto"/>
        <w:left w:val="none" w:sz="0" w:space="0" w:color="auto"/>
        <w:bottom w:val="none" w:sz="0" w:space="0" w:color="auto"/>
        <w:right w:val="none" w:sz="0" w:space="0" w:color="auto"/>
      </w:divBdr>
    </w:div>
    <w:div w:id="1804426719">
      <w:bodyDiv w:val="1"/>
      <w:marLeft w:val="0"/>
      <w:marRight w:val="0"/>
      <w:marTop w:val="0"/>
      <w:marBottom w:val="0"/>
      <w:divBdr>
        <w:top w:val="none" w:sz="0" w:space="0" w:color="auto"/>
        <w:left w:val="none" w:sz="0" w:space="0" w:color="auto"/>
        <w:bottom w:val="none" w:sz="0" w:space="0" w:color="auto"/>
        <w:right w:val="none" w:sz="0" w:space="0" w:color="auto"/>
      </w:divBdr>
    </w:div>
    <w:div w:id="1816485556">
      <w:bodyDiv w:val="1"/>
      <w:marLeft w:val="0"/>
      <w:marRight w:val="0"/>
      <w:marTop w:val="0"/>
      <w:marBottom w:val="0"/>
      <w:divBdr>
        <w:top w:val="none" w:sz="0" w:space="0" w:color="auto"/>
        <w:left w:val="none" w:sz="0" w:space="0" w:color="auto"/>
        <w:bottom w:val="none" w:sz="0" w:space="0" w:color="auto"/>
        <w:right w:val="none" w:sz="0" w:space="0" w:color="auto"/>
      </w:divBdr>
    </w:div>
    <w:div w:id="1820026635">
      <w:bodyDiv w:val="1"/>
      <w:marLeft w:val="0"/>
      <w:marRight w:val="0"/>
      <w:marTop w:val="0"/>
      <w:marBottom w:val="0"/>
      <w:divBdr>
        <w:top w:val="none" w:sz="0" w:space="0" w:color="auto"/>
        <w:left w:val="none" w:sz="0" w:space="0" w:color="auto"/>
        <w:bottom w:val="none" w:sz="0" w:space="0" w:color="auto"/>
        <w:right w:val="none" w:sz="0" w:space="0" w:color="auto"/>
      </w:divBdr>
      <w:divsChild>
        <w:div w:id="836506004">
          <w:marLeft w:val="0"/>
          <w:marRight w:val="0"/>
          <w:marTop w:val="0"/>
          <w:marBottom w:val="0"/>
          <w:divBdr>
            <w:top w:val="none" w:sz="0" w:space="0" w:color="auto"/>
            <w:left w:val="none" w:sz="0" w:space="0" w:color="auto"/>
            <w:bottom w:val="none" w:sz="0" w:space="0" w:color="auto"/>
            <w:right w:val="none" w:sz="0" w:space="0" w:color="auto"/>
          </w:divBdr>
          <w:divsChild>
            <w:div w:id="1064639321">
              <w:marLeft w:val="0"/>
              <w:marRight w:val="0"/>
              <w:marTop w:val="0"/>
              <w:marBottom w:val="0"/>
              <w:divBdr>
                <w:top w:val="none" w:sz="0" w:space="0" w:color="auto"/>
                <w:left w:val="none" w:sz="0" w:space="0" w:color="auto"/>
                <w:bottom w:val="none" w:sz="0" w:space="0" w:color="auto"/>
                <w:right w:val="none" w:sz="0" w:space="0" w:color="auto"/>
              </w:divBdr>
              <w:divsChild>
                <w:div w:id="8266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5947">
      <w:bodyDiv w:val="1"/>
      <w:marLeft w:val="0"/>
      <w:marRight w:val="0"/>
      <w:marTop w:val="0"/>
      <w:marBottom w:val="0"/>
      <w:divBdr>
        <w:top w:val="none" w:sz="0" w:space="0" w:color="auto"/>
        <w:left w:val="none" w:sz="0" w:space="0" w:color="auto"/>
        <w:bottom w:val="none" w:sz="0" w:space="0" w:color="auto"/>
        <w:right w:val="none" w:sz="0" w:space="0" w:color="auto"/>
      </w:divBdr>
    </w:div>
    <w:div w:id="1945918364">
      <w:bodyDiv w:val="1"/>
      <w:marLeft w:val="0"/>
      <w:marRight w:val="0"/>
      <w:marTop w:val="0"/>
      <w:marBottom w:val="0"/>
      <w:divBdr>
        <w:top w:val="none" w:sz="0" w:space="0" w:color="auto"/>
        <w:left w:val="none" w:sz="0" w:space="0" w:color="auto"/>
        <w:bottom w:val="none" w:sz="0" w:space="0" w:color="auto"/>
        <w:right w:val="none" w:sz="0" w:space="0" w:color="auto"/>
      </w:divBdr>
      <w:divsChild>
        <w:div w:id="365377923">
          <w:marLeft w:val="0"/>
          <w:marRight w:val="0"/>
          <w:marTop w:val="0"/>
          <w:marBottom w:val="0"/>
          <w:divBdr>
            <w:top w:val="none" w:sz="0" w:space="0" w:color="auto"/>
            <w:left w:val="none" w:sz="0" w:space="0" w:color="auto"/>
            <w:bottom w:val="none" w:sz="0" w:space="0" w:color="auto"/>
            <w:right w:val="none" w:sz="0" w:space="0" w:color="auto"/>
          </w:divBdr>
          <w:divsChild>
            <w:div w:id="1580947666">
              <w:marLeft w:val="0"/>
              <w:marRight w:val="0"/>
              <w:marTop w:val="0"/>
              <w:marBottom w:val="0"/>
              <w:divBdr>
                <w:top w:val="none" w:sz="0" w:space="0" w:color="auto"/>
                <w:left w:val="none" w:sz="0" w:space="0" w:color="auto"/>
                <w:bottom w:val="none" w:sz="0" w:space="0" w:color="auto"/>
                <w:right w:val="none" w:sz="0" w:space="0" w:color="auto"/>
              </w:divBdr>
              <w:divsChild>
                <w:div w:id="1364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4465">
      <w:bodyDiv w:val="1"/>
      <w:marLeft w:val="0"/>
      <w:marRight w:val="0"/>
      <w:marTop w:val="0"/>
      <w:marBottom w:val="0"/>
      <w:divBdr>
        <w:top w:val="none" w:sz="0" w:space="0" w:color="auto"/>
        <w:left w:val="none" w:sz="0" w:space="0" w:color="auto"/>
        <w:bottom w:val="none" w:sz="0" w:space="0" w:color="auto"/>
        <w:right w:val="none" w:sz="0" w:space="0" w:color="auto"/>
      </w:divBdr>
    </w:div>
    <w:div w:id="2127389753">
      <w:bodyDiv w:val="1"/>
      <w:marLeft w:val="0"/>
      <w:marRight w:val="0"/>
      <w:marTop w:val="0"/>
      <w:marBottom w:val="0"/>
      <w:divBdr>
        <w:top w:val="none" w:sz="0" w:space="0" w:color="auto"/>
        <w:left w:val="none" w:sz="0" w:space="0" w:color="auto"/>
        <w:bottom w:val="none" w:sz="0" w:space="0" w:color="auto"/>
        <w:right w:val="none" w:sz="0" w:space="0" w:color="auto"/>
      </w:divBdr>
    </w:div>
    <w:div w:id="2136947922">
      <w:bodyDiv w:val="1"/>
      <w:marLeft w:val="0"/>
      <w:marRight w:val="0"/>
      <w:marTop w:val="0"/>
      <w:marBottom w:val="0"/>
      <w:divBdr>
        <w:top w:val="none" w:sz="0" w:space="0" w:color="auto"/>
        <w:left w:val="none" w:sz="0" w:space="0" w:color="auto"/>
        <w:bottom w:val="none" w:sz="0" w:space="0" w:color="auto"/>
        <w:right w:val="none" w:sz="0" w:space="0" w:color="auto"/>
      </w:divBdr>
      <w:divsChild>
        <w:div w:id="596327425">
          <w:marLeft w:val="0"/>
          <w:marRight w:val="0"/>
          <w:marTop w:val="0"/>
          <w:marBottom w:val="0"/>
          <w:divBdr>
            <w:top w:val="none" w:sz="0" w:space="0" w:color="auto"/>
            <w:left w:val="none" w:sz="0" w:space="0" w:color="auto"/>
            <w:bottom w:val="none" w:sz="0" w:space="0" w:color="auto"/>
            <w:right w:val="none" w:sz="0" w:space="0" w:color="auto"/>
          </w:divBdr>
          <w:divsChild>
            <w:div w:id="1021325536">
              <w:marLeft w:val="0"/>
              <w:marRight w:val="0"/>
              <w:marTop w:val="0"/>
              <w:marBottom w:val="0"/>
              <w:divBdr>
                <w:top w:val="none" w:sz="0" w:space="0" w:color="auto"/>
                <w:left w:val="none" w:sz="0" w:space="0" w:color="auto"/>
                <w:bottom w:val="none" w:sz="0" w:space="0" w:color="auto"/>
                <w:right w:val="none" w:sz="0" w:space="0" w:color="auto"/>
              </w:divBdr>
              <w:divsChild>
                <w:div w:id="18463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jpeg"/><Relationship Id="rId26" Type="http://schemas.openxmlformats.org/officeDocument/2006/relationships/chart" Target="charts/chart8.xml"/><Relationship Id="rId39" Type="http://schemas.openxmlformats.org/officeDocument/2006/relationships/chart" Target="charts/chart19.xml"/><Relationship Id="rId21" Type="http://schemas.openxmlformats.org/officeDocument/2006/relationships/chart" Target="charts/chart3.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chart" Target="charts/chart35.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2.xml"/><Relationship Id="rId29" Type="http://schemas.openxmlformats.org/officeDocument/2006/relationships/image" Target="media/image9.emf"/><Relationship Id="rId41" Type="http://schemas.openxmlformats.org/officeDocument/2006/relationships/chart" Target="charts/chart21.xml"/><Relationship Id="rId54" Type="http://schemas.openxmlformats.org/officeDocument/2006/relationships/chart" Target="charts/chart3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6.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chart" Target="charts/chart33.xml"/><Relationship Id="rId58"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6.xml"/><Relationship Id="rId49" Type="http://schemas.openxmlformats.org/officeDocument/2006/relationships/chart" Target="charts/chart29.xml"/><Relationship Id="rId57" Type="http://schemas.openxmlformats.org/officeDocument/2006/relationships/chart" Target="charts/chart37.xml"/><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31" Type="http://schemas.openxmlformats.org/officeDocument/2006/relationships/chart" Target="charts/chart11.xml"/><Relationship Id="rId44" Type="http://schemas.openxmlformats.org/officeDocument/2006/relationships/chart" Target="charts/chart24.xml"/><Relationship Id="rId52" Type="http://schemas.openxmlformats.org/officeDocument/2006/relationships/chart" Target="charts/chart32.xm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 Id="rId27" Type="http://schemas.openxmlformats.org/officeDocument/2006/relationships/image" Target="media/image8.jpeg"/><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chart" Target="charts/chart28.xml"/><Relationship Id="rId56" Type="http://schemas.openxmlformats.org/officeDocument/2006/relationships/chart" Target="charts/chart36.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hart" Target="charts/chart3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chart" Target="charts/chart7.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chart" Target="charts/chart26.xm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ig.cepal.org/es/autonomias/autonomia-fisica" TargetMode="External"/><Relationship Id="rId2" Type="http://schemas.openxmlformats.org/officeDocument/2006/relationships/hyperlink" Target="https://tbinternet.ohchr.org/_layouts/15/treatybodyexternal/Download.aspx?symbolno=INT/CEDAW/GEC/3733&amp;Lang=en" TargetMode="External"/><Relationship Id="rId1" Type="http://schemas.openxmlformats.org/officeDocument/2006/relationships/hyperlink" Target="https://www.ohchr.org/EN/HRBodies/CEDAW/Pages/Recommendations.aspx" TargetMode="External"/><Relationship Id="rId5" Type="http://schemas.openxmlformats.org/officeDocument/2006/relationships/hyperlink" Target="https://unstats.un.org/sdgs/metadata/files/Metadata-03-04-02.pdf" TargetMode="External"/><Relationship Id="rId4" Type="http://schemas.openxmlformats.org/officeDocument/2006/relationships/hyperlink" Target="https://kiosk.incv.cv/V/2018/6/20/1.1.40.2538/p102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Clara%20Barros\Documents\PNIG%202019-2023\Dados%20para%20PNIG.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Users\Clara%20Barros\Documents\PNIG%202019-2021\Dados%20para%20PNIG.xlsx" TargetMode="External"/></Relationships>
</file>

<file path=word/charts/_rels/chart36.xml.rels><?xml version="1.0" encoding="UTF-8" standalone="yes"?>
<Relationships xmlns="http://schemas.openxmlformats.org/package/2006/relationships"><Relationship Id="rId3" Type="http://schemas.openxmlformats.org/officeDocument/2006/relationships/oleObject" Target="file:///C:\Users\Clara%20Barros\Documents\PP%20participa&#231;&#227;o%20pol&#237;tica\Gr&#225;ficos%20apresenta&#231;&#227;o.xlsx"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Clara%20Barros\Documents\PP%20participa&#231;&#227;o%20pol&#237;tica\Gr&#225;ficos%20apresenta&#231;&#227;o.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Clara%20Barros\Documents\PP%20participa&#231;&#227;o%20pol&#237;tica\Gr&#225;ficos%20apresenta&#231;&#227;o.xlsx" TargetMode="External"/><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lara%20Barros\Documents\PNIG%202019-2021\Dados%20para%20PNIG.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lara%20Barros\Documents\PNIG%202019-2021\Dados%20para%20PNIG.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632788675981975E-2"/>
          <c:y val="0.15380093617330093"/>
          <c:w val="0.98836734290910766"/>
          <c:h val="0.76856602602094104"/>
        </c:manualLayout>
      </c:layout>
      <c:pie3DChart>
        <c:varyColors val="1"/>
        <c:ser>
          <c:idx val="0"/>
          <c:order val="0"/>
          <c:tx>
            <c:strRef>
              <c:f>POBREZA!$B$70</c:f>
              <c:strCache>
                <c:ptCount val="1"/>
                <c:pt idx="0">
                  <c:v>Pobre </c:v>
                </c:pt>
              </c:strCache>
            </c:strRef>
          </c:tx>
          <c:dPt>
            <c:idx val="0"/>
            <c:bubble3D val="0"/>
            <c:spPr>
              <a:solidFill>
                <a:schemeClr val="accent4">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81-4594-81F8-661D7756D936}"/>
              </c:ext>
            </c:extLst>
          </c:dPt>
          <c:dPt>
            <c:idx val="1"/>
            <c:bubble3D val="0"/>
            <c:spPr>
              <a:solidFill>
                <a:schemeClr val="accent4">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81-4594-81F8-661D7756D9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POBREZA!$A$71:$A$72</c:f>
              <c:strCache>
                <c:ptCount val="2"/>
                <c:pt idx="0">
                  <c:v>Homens </c:v>
                </c:pt>
                <c:pt idx="1">
                  <c:v>Mulheres</c:v>
                </c:pt>
              </c:strCache>
            </c:strRef>
          </c:cat>
          <c:val>
            <c:numRef>
              <c:f>POBREZA!$B$71:$B$72</c:f>
              <c:numCache>
                <c:formatCode>General</c:formatCode>
                <c:ptCount val="2"/>
                <c:pt idx="0">
                  <c:v>47.1</c:v>
                </c:pt>
                <c:pt idx="1">
                  <c:v>52.9</c:v>
                </c:pt>
              </c:numCache>
            </c:numRef>
          </c:val>
          <c:extLst>
            <c:ext xmlns:c16="http://schemas.microsoft.com/office/drawing/2014/chart" uri="{C3380CC4-5D6E-409C-BE32-E72D297353CC}">
              <c16:uniqueId val="{00000004-D281-4594-81F8-661D7756D93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7.0947060471196047E-2"/>
          <c:w val="0.26229812396781116"/>
          <c:h val="0.295767910667971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3.0555555555555555E-2"/>
          <c:y val="1.4215431220877121E-2"/>
          <c:w val="0.93888888888888888"/>
          <c:h val="0.86225328662111078"/>
        </c:manualLayout>
      </c:layout>
      <c:barChart>
        <c:barDir val="col"/>
        <c:grouping val="clustered"/>
        <c:varyColors val="0"/>
        <c:ser>
          <c:idx val="0"/>
          <c:order val="0"/>
          <c:tx>
            <c:strRef>
              <c:f>VBG!$A$78</c:f>
              <c:strCache>
                <c:ptCount val="1"/>
                <c:pt idx="0">
                  <c:v>Violência física (VF)</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VBG!$B$77:$C$77</c:f>
              <c:numCache>
                <c:formatCode>General</c:formatCode>
                <c:ptCount val="2"/>
                <c:pt idx="0">
                  <c:v>2018</c:v>
                </c:pt>
                <c:pt idx="1">
                  <c:v>2005</c:v>
                </c:pt>
              </c:numCache>
            </c:numRef>
          </c:cat>
          <c:val>
            <c:numRef>
              <c:f>VBG!$B$78:$C$78</c:f>
              <c:numCache>
                <c:formatCode>General</c:formatCode>
                <c:ptCount val="2"/>
                <c:pt idx="0">
                  <c:v>10.9</c:v>
                </c:pt>
                <c:pt idx="1">
                  <c:v>21.5</c:v>
                </c:pt>
              </c:numCache>
            </c:numRef>
          </c:val>
          <c:extLst>
            <c:ext xmlns:c16="http://schemas.microsoft.com/office/drawing/2014/chart" uri="{C3380CC4-5D6E-409C-BE32-E72D297353CC}">
              <c16:uniqueId val="{00000000-B97F-406F-BC15-26D29B28EF44}"/>
            </c:ext>
          </c:extLst>
        </c:ser>
        <c:ser>
          <c:idx val="1"/>
          <c:order val="1"/>
          <c:tx>
            <c:strRef>
              <c:f>VBG!$A$79</c:f>
              <c:strCache>
                <c:ptCount val="1"/>
                <c:pt idx="0">
                  <c:v>VF  últimos 12 meses</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VBG!$B$77:$C$77</c:f>
              <c:numCache>
                <c:formatCode>General</c:formatCode>
                <c:ptCount val="2"/>
                <c:pt idx="0">
                  <c:v>2018</c:v>
                </c:pt>
                <c:pt idx="1">
                  <c:v>2005</c:v>
                </c:pt>
              </c:numCache>
            </c:numRef>
          </c:cat>
          <c:val>
            <c:numRef>
              <c:f>VBG!$B$79:$C$79</c:f>
              <c:numCache>
                <c:formatCode>General</c:formatCode>
                <c:ptCount val="2"/>
                <c:pt idx="0">
                  <c:v>10.9</c:v>
                </c:pt>
                <c:pt idx="1">
                  <c:v>20.3</c:v>
                </c:pt>
              </c:numCache>
            </c:numRef>
          </c:val>
          <c:extLst>
            <c:ext xmlns:c16="http://schemas.microsoft.com/office/drawing/2014/chart" uri="{C3380CC4-5D6E-409C-BE32-E72D297353CC}">
              <c16:uniqueId val="{00000001-B97F-406F-BC15-26D29B28EF44}"/>
            </c:ext>
          </c:extLst>
        </c:ser>
        <c:dLbls>
          <c:showLegendKey val="0"/>
          <c:showVal val="0"/>
          <c:showCatName val="0"/>
          <c:showSerName val="0"/>
          <c:showPercent val="0"/>
          <c:showBubbleSize val="0"/>
        </c:dLbls>
        <c:gapWidth val="219"/>
        <c:overlap val="-27"/>
        <c:axId val="303160336"/>
        <c:axId val="303154760"/>
      </c:barChart>
      <c:catAx>
        <c:axId val="30316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303154760"/>
        <c:crosses val="autoZero"/>
        <c:auto val="1"/>
        <c:lblAlgn val="ctr"/>
        <c:lblOffset val="100"/>
        <c:noMultiLvlLbl val="0"/>
      </c:catAx>
      <c:valAx>
        <c:axId val="303154760"/>
        <c:scaling>
          <c:orientation val="minMax"/>
        </c:scaling>
        <c:delete val="1"/>
        <c:axPos val="l"/>
        <c:numFmt formatCode="General" sourceLinked="1"/>
        <c:majorTickMark val="none"/>
        <c:minorTickMark val="none"/>
        <c:tickLblPos val="nextTo"/>
        <c:crossAx val="303160336"/>
        <c:crosses val="autoZero"/>
        <c:crossBetween val="between"/>
      </c:valAx>
      <c:spPr>
        <a:noFill/>
        <a:ln w="25400">
          <a:noFill/>
        </a:ln>
        <a:effectLst/>
      </c:spPr>
    </c:plotArea>
    <c:legend>
      <c:legendPos val="b"/>
      <c:layout>
        <c:manualLayout>
          <c:xMode val="edge"/>
          <c:yMode val="edge"/>
          <c:x val="3.2037839020122486E-2"/>
          <c:y val="9.443500179217687E-2"/>
          <c:w val="0.39838985512889247"/>
          <c:h val="0.1862366598448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0555555555555555E-2"/>
          <c:y val="4.9313528850708853E-2"/>
          <c:w val="0.93888888888888888"/>
          <c:h val="0.8159331058627679"/>
        </c:manualLayout>
      </c:layout>
      <c:barChart>
        <c:barDir val="col"/>
        <c:grouping val="clustered"/>
        <c:varyColors val="0"/>
        <c:ser>
          <c:idx val="0"/>
          <c:order val="0"/>
          <c:tx>
            <c:strRef>
              <c:f>VBG!$B$87:$B$88</c:f>
              <c:strCache>
                <c:ptCount val="2"/>
                <c:pt idx="0">
                  <c:v>2018</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VBG!$A$89:$A$92</c:f>
              <c:strCache>
                <c:ptCount val="4"/>
                <c:pt idx="0">
                  <c:v>Violência física ou sexual ou emocional</c:v>
                </c:pt>
                <c:pt idx="1">
                  <c:v>Violência física</c:v>
                </c:pt>
                <c:pt idx="2">
                  <c:v>Violência sexual</c:v>
                </c:pt>
                <c:pt idx="3">
                  <c:v>Violência emocional</c:v>
                </c:pt>
              </c:strCache>
            </c:strRef>
          </c:cat>
          <c:val>
            <c:numRef>
              <c:f>VBG!$B$89:$B$92</c:f>
              <c:numCache>
                <c:formatCode>General</c:formatCode>
                <c:ptCount val="4"/>
                <c:pt idx="0">
                  <c:v>20.399999999999999</c:v>
                </c:pt>
                <c:pt idx="1">
                  <c:v>15.2</c:v>
                </c:pt>
                <c:pt idx="2">
                  <c:v>4</c:v>
                </c:pt>
                <c:pt idx="3">
                  <c:v>15.4</c:v>
                </c:pt>
              </c:numCache>
            </c:numRef>
          </c:val>
          <c:extLst>
            <c:ext xmlns:c16="http://schemas.microsoft.com/office/drawing/2014/chart" uri="{C3380CC4-5D6E-409C-BE32-E72D297353CC}">
              <c16:uniqueId val="{00000000-E578-4494-84CE-046080B75F2B}"/>
            </c:ext>
          </c:extLst>
        </c:ser>
        <c:ser>
          <c:idx val="1"/>
          <c:order val="1"/>
          <c:tx>
            <c:strRef>
              <c:f>VBG!$C$87:$C$88</c:f>
              <c:strCache>
                <c:ptCount val="2"/>
                <c:pt idx="0">
                  <c:v>2005</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VBG!$A$89:$A$92</c:f>
              <c:strCache>
                <c:ptCount val="4"/>
                <c:pt idx="0">
                  <c:v>Violência física ou sexual ou emocional</c:v>
                </c:pt>
                <c:pt idx="1">
                  <c:v>Violência física</c:v>
                </c:pt>
                <c:pt idx="2">
                  <c:v>Violência sexual</c:v>
                </c:pt>
                <c:pt idx="3">
                  <c:v>Violência emocional</c:v>
                </c:pt>
              </c:strCache>
            </c:strRef>
          </c:cat>
          <c:val>
            <c:numRef>
              <c:f>VBG!$C$89:$C$92</c:f>
              <c:numCache>
                <c:formatCode>General</c:formatCode>
                <c:ptCount val="4"/>
                <c:pt idx="0">
                  <c:v>19.600000000000001</c:v>
                </c:pt>
                <c:pt idx="1">
                  <c:v>15.7</c:v>
                </c:pt>
                <c:pt idx="2">
                  <c:v>3.6</c:v>
                </c:pt>
                <c:pt idx="3">
                  <c:v>14.1</c:v>
                </c:pt>
              </c:numCache>
            </c:numRef>
          </c:val>
          <c:extLst>
            <c:ext xmlns:c16="http://schemas.microsoft.com/office/drawing/2014/chart" uri="{C3380CC4-5D6E-409C-BE32-E72D297353CC}">
              <c16:uniqueId val="{00000001-E578-4494-84CE-046080B75F2B}"/>
            </c:ext>
          </c:extLst>
        </c:ser>
        <c:dLbls>
          <c:showLegendKey val="0"/>
          <c:showVal val="0"/>
          <c:showCatName val="0"/>
          <c:showSerName val="0"/>
          <c:showPercent val="0"/>
          <c:showBubbleSize val="0"/>
        </c:dLbls>
        <c:gapWidth val="219"/>
        <c:overlap val="-27"/>
        <c:axId val="504007656"/>
        <c:axId val="504009296"/>
      </c:barChart>
      <c:catAx>
        <c:axId val="504007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4009296"/>
        <c:crosses val="autoZero"/>
        <c:auto val="1"/>
        <c:lblAlgn val="ctr"/>
        <c:lblOffset val="100"/>
        <c:noMultiLvlLbl val="0"/>
      </c:catAx>
      <c:valAx>
        <c:axId val="504009296"/>
        <c:scaling>
          <c:orientation val="minMax"/>
        </c:scaling>
        <c:delete val="1"/>
        <c:axPos val="l"/>
        <c:numFmt formatCode="General" sourceLinked="1"/>
        <c:majorTickMark val="none"/>
        <c:minorTickMark val="none"/>
        <c:tickLblPos val="nextTo"/>
        <c:crossAx val="504007656"/>
        <c:crosses val="autoZero"/>
        <c:crossBetween val="between"/>
      </c:valAx>
      <c:spPr>
        <a:noFill/>
        <a:ln>
          <a:noFill/>
        </a:ln>
        <a:effectLst/>
      </c:spPr>
    </c:plotArea>
    <c:legend>
      <c:legendPos val="b"/>
      <c:layout>
        <c:manualLayout>
          <c:xMode val="edge"/>
          <c:yMode val="edge"/>
          <c:x val="0.52011577354376348"/>
          <c:y val="4.0354505689165911E-2"/>
          <c:w val="0.27639895013123361"/>
          <c:h val="7.5651965798932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1.1789991473143963E-2"/>
          <c:y val="0"/>
          <c:w val="0.98428001136914134"/>
          <c:h val="0.76800558158078347"/>
        </c:manualLayout>
      </c:layout>
      <c:barChart>
        <c:barDir val="col"/>
        <c:grouping val="clustered"/>
        <c:varyColors val="0"/>
        <c:ser>
          <c:idx val="0"/>
          <c:order val="0"/>
          <c:tx>
            <c:strRef>
              <c:f>VBG!$A$97</c:f>
              <c:strCache>
                <c:ptCount val="1"/>
                <c:pt idx="0">
                  <c:v>Violência física</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VBG!$B$96:$E$96</c:f>
              <c:strCache>
                <c:ptCount val="4"/>
                <c:pt idx="0">
                  <c:v>Cortes, hematomas ou dores</c:v>
                </c:pt>
                <c:pt idx="1">
                  <c:v>Hematomas nos olhos, entorses ou queimaduras</c:v>
                </c:pt>
                <c:pt idx="2">
                  <c:v>Ferimentos profundos, osso fraturado, dentes quebrados, outros ferimentos graves</c:v>
                </c:pt>
                <c:pt idx="3">
                  <c:v>Qualquer dessas lesões</c:v>
                </c:pt>
              </c:strCache>
            </c:strRef>
          </c:cat>
          <c:val>
            <c:numRef>
              <c:f>VBG!$B$97:$E$97</c:f>
              <c:numCache>
                <c:formatCode>General</c:formatCode>
                <c:ptCount val="4"/>
                <c:pt idx="0">
                  <c:v>24.6</c:v>
                </c:pt>
                <c:pt idx="1">
                  <c:v>17</c:v>
                </c:pt>
                <c:pt idx="2">
                  <c:v>8.9</c:v>
                </c:pt>
                <c:pt idx="3">
                  <c:v>29.6</c:v>
                </c:pt>
              </c:numCache>
            </c:numRef>
          </c:val>
          <c:extLst>
            <c:ext xmlns:c16="http://schemas.microsoft.com/office/drawing/2014/chart" uri="{C3380CC4-5D6E-409C-BE32-E72D297353CC}">
              <c16:uniqueId val="{00000000-3385-40A7-9DAD-F46D8304F52F}"/>
            </c:ext>
          </c:extLst>
        </c:ser>
        <c:ser>
          <c:idx val="1"/>
          <c:order val="1"/>
          <c:tx>
            <c:strRef>
              <c:f>VBG!$A$98</c:f>
              <c:strCache>
                <c:ptCount val="1"/>
                <c:pt idx="0">
                  <c:v>Violência sexual</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VBG!$B$96:$E$96</c:f>
              <c:strCache>
                <c:ptCount val="4"/>
                <c:pt idx="0">
                  <c:v>Cortes, hematomas ou dores</c:v>
                </c:pt>
                <c:pt idx="1">
                  <c:v>Hematomas nos olhos, entorses ou queimaduras</c:v>
                </c:pt>
                <c:pt idx="2">
                  <c:v>Ferimentos profundos, osso fraturado, dentes quebrados, outros ferimentos graves</c:v>
                </c:pt>
                <c:pt idx="3">
                  <c:v>Qualquer dessas lesões</c:v>
                </c:pt>
              </c:strCache>
            </c:strRef>
          </c:cat>
          <c:val>
            <c:numRef>
              <c:f>VBG!$B$98:$E$98</c:f>
              <c:numCache>
                <c:formatCode>General</c:formatCode>
                <c:ptCount val="4"/>
                <c:pt idx="0">
                  <c:v>33.299999999999997</c:v>
                </c:pt>
                <c:pt idx="1">
                  <c:v>30.3</c:v>
                </c:pt>
                <c:pt idx="2">
                  <c:v>11.6</c:v>
                </c:pt>
                <c:pt idx="3">
                  <c:v>43.9</c:v>
                </c:pt>
              </c:numCache>
            </c:numRef>
          </c:val>
          <c:extLst>
            <c:ext xmlns:c16="http://schemas.microsoft.com/office/drawing/2014/chart" uri="{C3380CC4-5D6E-409C-BE32-E72D297353CC}">
              <c16:uniqueId val="{00000001-3385-40A7-9DAD-F46D8304F52F}"/>
            </c:ext>
          </c:extLst>
        </c:ser>
        <c:dLbls>
          <c:showLegendKey val="0"/>
          <c:showVal val="0"/>
          <c:showCatName val="0"/>
          <c:showSerName val="0"/>
          <c:showPercent val="0"/>
          <c:showBubbleSize val="0"/>
        </c:dLbls>
        <c:gapWidth val="219"/>
        <c:overlap val="-27"/>
        <c:axId val="561337056"/>
        <c:axId val="561329184"/>
      </c:barChart>
      <c:catAx>
        <c:axId val="56133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61329184"/>
        <c:crosses val="autoZero"/>
        <c:auto val="1"/>
        <c:lblAlgn val="ctr"/>
        <c:lblOffset val="100"/>
        <c:noMultiLvlLbl val="0"/>
      </c:catAx>
      <c:valAx>
        <c:axId val="561329184"/>
        <c:scaling>
          <c:orientation val="minMax"/>
        </c:scaling>
        <c:delete val="1"/>
        <c:axPos val="l"/>
        <c:numFmt formatCode="General" sourceLinked="1"/>
        <c:majorTickMark val="none"/>
        <c:minorTickMark val="none"/>
        <c:tickLblPos val="nextTo"/>
        <c:crossAx val="561337056"/>
        <c:crosses val="autoZero"/>
        <c:crossBetween val="between"/>
      </c:valAx>
      <c:spPr>
        <a:noFill/>
        <a:ln>
          <a:noFill/>
        </a:ln>
        <a:effectLst/>
      </c:spPr>
    </c:plotArea>
    <c:legend>
      <c:legendPos val="b"/>
      <c:layout>
        <c:manualLayout>
          <c:xMode val="edge"/>
          <c:yMode val="edge"/>
          <c:x val="0.4249746298175569"/>
          <c:y val="5.20237425678933E-2"/>
          <c:w val="0.37028466455804038"/>
          <c:h val="0.11001325727141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lumMod val="65000"/>
                    <a:lumOff val="35000"/>
                  </a:schemeClr>
                </a:solidFill>
                <a:latin typeface="Garamond" panose="02020404030301010803" pitchFamily="18" charset="0"/>
                <a:ea typeface="+mn-ea"/>
                <a:cs typeface="+mn-cs"/>
              </a:defRPr>
            </a:pPr>
            <a:r>
              <a:rPr lang="en-US" b="1">
                <a:latin typeface="Garamond" panose="02020404030301010803" pitchFamily="18" charset="0"/>
              </a:rPr>
              <a:t>Violência física ou sexual ou emocional</a:t>
            </a:r>
          </a:p>
        </c:rich>
      </c:tx>
      <c:layout>
        <c:manualLayout>
          <c:xMode val="edge"/>
          <c:yMode val="edge"/>
          <c:x val="0.17784573419980992"/>
          <c:y val="0"/>
        </c:manualLayout>
      </c:layout>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Garamond" panose="02020404030301010803" pitchFamily="18" charset="0"/>
              <a:ea typeface="+mn-ea"/>
              <a:cs typeface="+mn-cs"/>
            </a:defRPr>
          </a:pPr>
          <a:endParaRPr lang="pt-PT"/>
        </a:p>
      </c:txPr>
    </c:title>
    <c:autoTitleDeleted val="0"/>
    <c:plotArea>
      <c:layout>
        <c:manualLayout>
          <c:layoutTarget val="inner"/>
          <c:xMode val="edge"/>
          <c:yMode val="edge"/>
          <c:x val="0.35997581386723126"/>
          <c:y val="0.13637577309756696"/>
          <c:w val="0.63021064344385791"/>
          <c:h val="0.82902215077786556"/>
        </c:manualLayout>
      </c:layout>
      <c:barChart>
        <c:barDir val="bar"/>
        <c:grouping val="clustered"/>
        <c:varyColors val="0"/>
        <c:ser>
          <c:idx val="0"/>
          <c:order val="0"/>
          <c:tx>
            <c:strRef>
              <c:f>VBG!$A$133</c:f>
              <c:strCache>
                <c:ptCount val="1"/>
                <c:pt idx="0">
                  <c:v>Violência física ou sexual ou emocional</c:v>
                </c:pt>
              </c:strCache>
            </c:strRef>
          </c:tx>
          <c:spPr>
            <a:solidFill>
              <a:schemeClr val="accent1"/>
            </a:solidFill>
            <a:ln>
              <a:noFill/>
            </a:ln>
            <a:effectLst/>
          </c:spPr>
          <c:invertIfNegative val="0"/>
          <c:dPt>
            <c:idx val="4"/>
            <c:invertIfNegative val="0"/>
            <c:bubble3D val="0"/>
            <c:spPr>
              <a:solidFill>
                <a:srgbClr val="00B0F0"/>
              </a:solidFill>
              <a:ln>
                <a:noFill/>
              </a:ln>
              <a:effectLst/>
            </c:spPr>
            <c:extLst>
              <c:ext xmlns:c16="http://schemas.microsoft.com/office/drawing/2014/chart" uri="{C3380CC4-5D6E-409C-BE32-E72D297353CC}">
                <c16:uniqueId val="{00000001-4CB5-4F65-9D71-9E727E24C3B1}"/>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VBG!$B$132:$F$132</c:f>
              <c:strCache>
                <c:ptCount val="5"/>
                <c:pt idx="0">
                  <c:v>Não bebe álcool</c:v>
                </c:pt>
                <c:pt idx="1">
                  <c:v>Bebe, mas nunca bêbado</c:v>
                </c:pt>
                <c:pt idx="2">
                  <c:v>As vezes bêbado</c:v>
                </c:pt>
                <c:pt idx="3">
                  <c:v>Frequentemente bêbado</c:v>
                </c:pt>
                <c:pt idx="4">
                  <c:v>Todos</c:v>
                </c:pt>
              </c:strCache>
            </c:strRef>
          </c:cat>
          <c:val>
            <c:numRef>
              <c:f>VBG!$B$133:$F$133</c:f>
              <c:numCache>
                <c:formatCode>General</c:formatCode>
                <c:ptCount val="5"/>
                <c:pt idx="0">
                  <c:v>14.5</c:v>
                </c:pt>
                <c:pt idx="1">
                  <c:v>10.6</c:v>
                </c:pt>
                <c:pt idx="2">
                  <c:v>26.6</c:v>
                </c:pt>
                <c:pt idx="3">
                  <c:v>65</c:v>
                </c:pt>
                <c:pt idx="4">
                  <c:v>20.399999999999999</c:v>
                </c:pt>
              </c:numCache>
            </c:numRef>
          </c:val>
          <c:extLst>
            <c:ext xmlns:c16="http://schemas.microsoft.com/office/drawing/2014/chart" uri="{C3380CC4-5D6E-409C-BE32-E72D297353CC}">
              <c16:uniqueId val="{00000002-4CB5-4F65-9D71-9E727E24C3B1}"/>
            </c:ext>
          </c:extLst>
        </c:ser>
        <c:dLbls>
          <c:showLegendKey val="0"/>
          <c:showVal val="0"/>
          <c:showCatName val="0"/>
          <c:showSerName val="0"/>
          <c:showPercent val="0"/>
          <c:showBubbleSize val="0"/>
        </c:dLbls>
        <c:gapWidth val="182"/>
        <c:axId val="561997104"/>
        <c:axId val="561994480"/>
      </c:barChart>
      <c:catAx>
        <c:axId val="561997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61994480"/>
        <c:crosses val="autoZero"/>
        <c:auto val="1"/>
        <c:lblAlgn val="ctr"/>
        <c:lblOffset val="100"/>
        <c:noMultiLvlLbl val="0"/>
      </c:catAx>
      <c:valAx>
        <c:axId val="561994480"/>
        <c:scaling>
          <c:orientation val="minMax"/>
        </c:scaling>
        <c:delete val="1"/>
        <c:axPos val="b"/>
        <c:numFmt formatCode="General" sourceLinked="1"/>
        <c:majorTickMark val="none"/>
        <c:minorTickMark val="none"/>
        <c:tickLblPos val="nextTo"/>
        <c:crossAx val="561997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pt-P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30796360471096201"/>
          <c:y val="0"/>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Garamond" panose="02020404030301010803" pitchFamily="18" charset="0"/>
              <a:ea typeface="+mn-ea"/>
              <a:cs typeface="+mn-cs"/>
            </a:defRPr>
          </a:pPr>
          <a:endParaRPr lang="pt-PT"/>
        </a:p>
      </c:txPr>
    </c:title>
    <c:autoTitleDeleted val="0"/>
    <c:plotArea>
      <c:layout>
        <c:manualLayout>
          <c:layoutTarget val="inner"/>
          <c:xMode val="edge"/>
          <c:yMode val="edge"/>
          <c:x val="0.3380786675859066"/>
          <c:y val="0.18230938867496696"/>
          <c:w val="0.66192141975790986"/>
          <c:h val="0.78257208630308395"/>
        </c:manualLayout>
      </c:layout>
      <c:barChart>
        <c:barDir val="bar"/>
        <c:grouping val="clustered"/>
        <c:varyColors val="0"/>
        <c:ser>
          <c:idx val="0"/>
          <c:order val="0"/>
          <c:tx>
            <c:strRef>
              <c:f>VBG!$A$138</c:f>
              <c:strCache>
                <c:ptCount val="1"/>
                <c:pt idx="0">
                  <c:v>Violência física</c:v>
                </c:pt>
              </c:strCache>
            </c:strRef>
          </c:tx>
          <c:spPr>
            <a:solidFill>
              <a:schemeClr val="accent2"/>
            </a:solidFill>
            <a:ln>
              <a:noFill/>
            </a:ln>
            <a:effectLst/>
          </c:spPr>
          <c:invertIfNegative val="0"/>
          <c:dPt>
            <c:idx val="4"/>
            <c:invertIfNegative val="0"/>
            <c:bubble3D val="0"/>
            <c:spPr>
              <a:solidFill>
                <a:schemeClr val="accent2">
                  <a:lumMod val="50000"/>
                </a:schemeClr>
              </a:solidFill>
              <a:ln>
                <a:noFill/>
              </a:ln>
              <a:effectLst/>
            </c:spPr>
            <c:extLst>
              <c:ext xmlns:c16="http://schemas.microsoft.com/office/drawing/2014/chart" uri="{C3380CC4-5D6E-409C-BE32-E72D297353CC}">
                <c16:uniqueId val="{00000001-C783-4A76-9267-27B41F94BDFF}"/>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VBG!$B$137:$F$137</c:f>
              <c:strCache>
                <c:ptCount val="5"/>
                <c:pt idx="0">
                  <c:v>Não bebe álcool</c:v>
                </c:pt>
                <c:pt idx="1">
                  <c:v>Bebe, mas nunca bêbado</c:v>
                </c:pt>
                <c:pt idx="2">
                  <c:v>As vezes bêbado</c:v>
                </c:pt>
                <c:pt idx="3">
                  <c:v>Frequentemente bêbado</c:v>
                </c:pt>
                <c:pt idx="4">
                  <c:v>Todos</c:v>
                </c:pt>
              </c:strCache>
            </c:strRef>
          </c:cat>
          <c:val>
            <c:numRef>
              <c:f>VBG!$B$138:$F$138</c:f>
              <c:numCache>
                <c:formatCode>General</c:formatCode>
                <c:ptCount val="5"/>
                <c:pt idx="0">
                  <c:v>8.6</c:v>
                </c:pt>
                <c:pt idx="1">
                  <c:v>7.4</c:v>
                </c:pt>
                <c:pt idx="2">
                  <c:v>21.1</c:v>
                </c:pt>
                <c:pt idx="3">
                  <c:v>59.2</c:v>
                </c:pt>
                <c:pt idx="4">
                  <c:v>15.2</c:v>
                </c:pt>
              </c:numCache>
            </c:numRef>
          </c:val>
          <c:extLst>
            <c:ext xmlns:c16="http://schemas.microsoft.com/office/drawing/2014/chart" uri="{C3380CC4-5D6E-409C-BE32-E72D297353CC}">
              <c16:uniqueId val="{00000002-C783-4A76-9267-27B41F94BDFF}"/>
            </c:ext>
          </c:extLst>
        </c:ser>
        <c:dLbls>
          <c:showLegendKey val="0"/>
          <c:showVal val="0"/>
          <c:showCatName val="0"/>
          <c:showSerName val="0"/>
          <c:showPercent val="0"/>
          <c:showBubbleSize val="0"/>
        </c:dLbls>
        <c:gapWidth val="182"/>
        <c:axId val="512114952"/>
        <c:axId val="512115280"/>
      </c:barChart>
      <c:catAx>
        <c:axId val="512114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12115280"/>
        <c:crosses val="autoZero"/>
        <c:auto val="1"/>
        <c:lblAlgn val="ctr"/>
        <c:lblOffset val="100"/>
        <c:noMultiLvlLbl val="0"/>
      </c:catAx>
      <c:valAx>
        <c:axId val="512115280"/>
        <c:scaling>
          <c:orientation val="minMax"/>
        </c:scaling>
        <c:delete val="1"/>
        <c:axPos val="b"/>
        <c:numFmt formatCode="General" sourceLinked="1"/>
        <c:majorTickMark val="none"/>
        <c:minorTickMark val="none"/>
        <c:tickLblPos val="nextTo"/>
        <c:crossAx val="512114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pPr>
      <a:endParaRPr lang="pt-P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6"/>
    </mc:Choice>
    <mc:Fallback>
      <c:style val="6"/>
    </mc:Fallback>
  </mc:AlternateContent>
  <c:chart>
    <c:title>
      <c:layout>
        <c:manualLayout>
          <c:xMode val="edge"/>
          <c:yMode val="edge"/>
          <c:x val="0.31394675102099678"/>
          <c:y val="1.4025245441795231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Garamond" panose="02020404030301010803" pitchFamily="18" charset="0"/>
              <a:ea typeface="+mn-ea"/>
              <a:cs typeface="+mn-cs"/>
            </a:defRPr>
          </a:pPr>
          <a:endParaRPr lang="pt-PT"/>
        </a:p>
      </c:txPr>
    </c:title>
    <c:autoTitleDeleted val="0"/>
    <c:plotArea>
      <c:layout>
        <c:manualLayout>
          <c:layoutTarget val="inner"/>
          <c:xMode val="edge"/>
          <c:yMode val="edge"/>
          <c:x val="0.35233401060838282"/>
          <c:y val="0.14262865731805219"/>
          <c:w val="0.60070660925543495"/>
          <c:h val="0.82932071668915575"/>
        </c:manualLayout>
      </c:layout>
      <c:barChart>
        <c:barDir val="bar"/>
        <c:grouping val="clustered"/>
        <c:varyColors val="0"/>
        <c:ser>
          <c:idx val="0"/>
          <c:order val="0"/>
          <c:tx>
            <c:strRef>
              <c:f>VBG!$A$144</c:f>
              <c:strCache>
                <c:ptCount val="1"/>
                <c:pt idx="0">
                  <c:v>Violência sexual</c:v>
                </c:pt>
              </c:strCache>
            </c:strRef>
          </c:tx>
          <c:spPr>
            <a:solidFill>
              <a:schemeClr val="accent4"/>
            </a:solidFill>
            <a:ln>
              <a:noFill/>
            </a:ln>
            <a:effectLst/>
          </c:spPr>
          <c:invertIfNegative val="0"/>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1-FCF1-41CC-8AA5-90589983F6C9}"/>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VBG!$B$143:$F$143</c:f>
              <c:strCache>
                <c:ptCount val="5"/>
                <c:pt idx="0">
                  <c:v>Não bebe álcool</c:v>
                </c:pt>
                <c:pt idx="1">
                  <c:v>Bebe, mas nunca bêbado</c:v>
                </c:pt>
                <c:pt idx="2">
                  <c:v>As vezes bêbado</c:v>
                </c:pt>
                <c:pt idx="3">
                  <c:v>Frequentemente bêbado</c:v>
                </c:pt>
                <c:pt idx="4">
                  <c:v>Todos</c:v>
                </c:pt>
              </c:strCache>
            </c:strRef>
          </c:cat>
          <c:val>
            <c:numRef>
              <c:f>VBG!$B$144:$F$144</c:f>
              <c:numCache>
                <c:formatCode>General</c:formatCode>
                <c:ptCount val="5"/>
                <c:pt idx="0">
                  <c:v>2.2000000000000002</c:v>
                </c:pt>
                <c:pt idx="1">
                  <c:v>0.3</c:v>
                </c:pt>
                <c:pt idx="2">
                  <c:v>6.3</c:v>
                </c:pt>
                <c:pt idx="3">
                  <c:v>17.100000000000001</c:v>
                </c:pt>
                <c:pt idx="4">
                  <c:v>4</c:v>
                </c:pt>
              </c:numCache>
            </c:numRef>
          </c:val>
          <c:extLst>
            <c:ext xmlns:c16="http://schemas.microsoft.com/office/drawing/2014/chart" uri="{C3380CC4-5D6E-409C-BE32-E72D297353CC}">
              <c16:uniqueId val="{00000002-FCF1-41CC-8AA5-90589983F6C9}"/>
            </c:ext>
          </c:extLst>
        </c:ser>
        <c:dLbls>
          <c:showLegendKey val="0"/>
          <c:showVal val="0"/>
          <c:showCatName val="0"/>
          <c:showSerName val="0"/>
          <c:showPercent val="0"/>
          <c:showBubbleSize val="0"/>
        </c:dLbls>
        <c:gapWidth val="182"/>
        <c:axId val="501135032"/>
        <c:axId val="501128144"/>
      </c:barChart>
      <c:catAx>
        <c:axId val="501135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1128144"/>
        <c:crosses val="autoZero"/>
        <c:auto val="1"/>
        <c:lblAlgn val="ctr"/>
        <c:lblOffset val="100"/>
        <c:noMultiLvlLbl val="0"/>
      </c:catAx>
      <c:valAx>
        <c:axId val="501128144"/>
        <c:scaling>
          <c:orientation val="minMax"/>
        </c:scaling>
        <c:delete val="1"/>
        <c:axPos val="b"/>
        <c:numFmt formatCode="General" sourceLinked="1"/>
        <c:majorTickMark val="none"/>
        <c:minorTickMark val="none"/>
        <c:tickLblPos val="nextTo"/>
        <c:crossAx val="501135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525629077353213"/>
          <c:y val="2.5586353944562899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Garamond" panose="02020404030301010803" pitchFamily="18" charset="0"/>
              <a:ea typeface="+mn-ea"/>
              <a:cs typeface="+mn-cs"/>
            </a:defRPr>
          </a:pPr>
          <a:endParaRPr lang="pt-PT"/>
        </a:p>
      </c:txPr>
    </c:title>
    <c:autoTitleDeleted val="0"/>
    <c:plotArea>
      <c:layout>
        <c:manualLayout>
          <c:layoutTarget val="inner"/>
          <c:xMode val="edge"/>
          <c:yMode val="edge"/>
          <c:x val="0.34962501192476758"/>
          <c:y val="0.17057569296375266"/>
          <c:w val="0.65037498807523242"/>
          <c:h val="0.79530916844349675"/>
        </c:manualLayout>
      </c:layout>
      <c:barChart>
        <c:barDir val="bar"/>
        <c:grouping val="clustered"/>
        <c:varyColors val="0"/>
        <c:ser>
          <c:idx val="0"/>
          <c:order val="0"/>
          <c:tx>
            <c:strRef>
              <c:f>VBG!$A$148</c:f>
              <c:strCache>
                <c:ptCount val="1"/>
                <c:pt idx="0">
                  <c:v>Violência emocional</c:v>
                </c:pt>
              </c:strCache>
            </c:strRef>
          </c:tx>
          <c:spPr>
            <a:solidFill>
              <a:schemeClr val="accent6">
                <a:lumMod val="60000"/>
                <a:lumOff val="40000"/>
              </a:schemeClr>
            </a:solidFill>
            <a:ln>
              <a:noFill/>
            </a:ln>
            <a:effectLst/>
          </c:spPr>
          <c:invertIfNegative val="0"/>
          <c:dPt>
            <c:idx val="4"/>
            <c:invertIfNegative val="0"/>
            <c:bubble3D val="0"/>
            <c:spPr>
              <a:solidFill>
                <a:schemeClr val="accent6"/>
              </a:solidFill>
              <a:ln>
                <a:noFill/>
              </a:ln>
              <a:effectLst/>
            </c:spPr>
            <c:extLst>
              <c:ext xmlns:c16="http://schemas.microsoft.com/office/drawing/2014/chart" uri="{C3380CC4-5D6E-409C-BE32-E72D297353CC}">
                <c16:uniqueId val="{00000001-6E67-4D4E-A172-2ED0C9AA419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VBG!$B$147:$F$147</c:f>
              <c:strCache>
                <c:ptCount val="5"/>
                <c:pt idx="0">
                  <c:v>Não bebe álcool</c:v>
                </c:pt>
                <c:pt idx="1">
                  <c:v>Bebe, mas nunca bêbado</c:v>
                </c:pt>
                <c:pt idx="2">
                  <c:v>As vezes bêbado</c:v>
                </c:pt>
                <c:pt idx="3">
                  <c:v>Frequentemente bêbado</c:v>
                </c:pt>
                <c:pt idx="4">
                  <c:v>Todos</c:v>
                </c:pt>
              </c:strCache>
            </c:strRef>
          </c:cat>
          <c:val>
            <c:numRef>
              <c:f>VBG!$B$148:$F$148</c:f>
              <c:numCache>
                <c:formatCode>General</c:formatCode>
                <c:ptCount val="5"/>
                <c:pt idx="0">
                  <c:v>10.5</c:v>
                </c:pt>
                <c:pt idx="1">
                  <c:v>5.8</c:v>
                </c:pt>
                <c:pt idx="2">
                  <c:v>20.6</c:v>
                </c:pt>
                <c:pt idx="3">
                  <c:v>58.3</c:v>
                </c:pt>
                <c:pt idx="4">
                  <c:v>14.4</c:v>
                </c:pt>
              </c:numCache>
            </c:numRef>
          </c:val>
          <c:extLst>
            <c:ext xmlns:c16="http://schemas.microsoft.com/office/drawing/2014/chart" uri="{C3380CC4-5D6E-409C-BE32-E72D297353CC}">
              <c16:uniqueId val="{00000002-6E67-4D4E-A172-2ED0C9AA4192}"/>
            </c:ext>
          </c:extLst>
        </c:ser>
        <c:dLbls>
          <c:showLegendKey val="0"/>
          <c:showVal val="0"/>
          <c:showCatName val="0"/>
          <c:showSerName val="0"/>
          <c:showPercent val="0"/>
          <c:showBubbleSize val="0"/>
        </c:dLbls>
        <c:gapWidth val="182"/>
        <c:axId val="728531872"/>
        <c:axId val="728532200"/>
      </c:barChart>
      <c:catAx>
        <c:axId val="728531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728532200"/>
        <c:crosses val="autoZero"/>
        <c:auto val="1"/>
        <c:lblAlgn val="ctr"/>
        <c:lblOffset val="100"/>
        <c:noMultiLvlLbl val="0"/>
      </c:catAx>
      <c:valAx>
        <c:axId val="728532200"/>
        <c:scaling>
          <c:orientation val="minMax"/>
        </c:scaling>
        <c:delete val="1"/>
        <c:axPos val="b"/>
        <c:numFmt formatCode="General" sourceLinked="1"/>
        <c:majorTickMark val="none"/>
        <c:minorTickMark val="none"/>
        <c:tickLblPos val="nextTo"/>
        <c:crossAx val="728531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3.0555555555555555E-2"/>
          <c:y val="5.0925925925925923E-2"/>
          <c:w val="0.93888888888888888"/>
          <c:h val="0.81396617089530476"/>
        </c:manualLayout>
      </c:layout>
      <c:barChart>
        <c:barDir val="col"/>
        <c:grouping val="clustered"/>
        <c:varyColors val="0"/>
        <c:ser>
          <c:idx val="0"/>
          <c:order val="0"/>
          <c:tx>
            <c:strRef>
              <c:f>VBG!$A$312</c:f>
              <c:strCache>
                <c:ptCount val="1"/>
                <c:pt idx="0">
                  <c:v>Casada ou união </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VBG!$B$311:$E$311</c:f>
              <c:strCache>
                <c:ptCount val="4"/>
                <c:pt idx="0">
                  <c:v>Física ou sexual ou emocional</c:v>
                </c:pt>
                <c:pt idx="1">
                  <c:v>Violência emocional</c:v>
                </c:pt>
                <c:pt idx="2">
                  <c:v>Violência física</c:v>
                </c:pt>
                <c:pt idx="3">
                  <c:v>Violência sexual</c:v>
                </c:pt>
              </c:strCache>
            </c:strRef>
          </c:cat>
          <c:val>
            <c:numRef>
              <c:f>VBG!$B$312:$E$312</c:f>
              <c:numCache>
                <c:formatCode>General</c:formatCode>
                <c:ptCount val="4"/>
                <c:pt idx="0">
                  <c:v>15.7</c:v>
                </c:pt>
                <c:pt idx="1">
                  <c:v>11.7</c:v>
                </c:pt>
                <c:pt idx="2">
                  <c:v>11.2</c:v>
                </c:pt>
                <c:pt idx="3">
                  <c:v>2.2000000000000002</c:v>
                </c:pt>
              </c:numCache>
            </c:numRef>
          </c:val>
          <c:extLst>
            <c:ext xmlns:c16="http://schemas.microsoft.com/office/drawing/2014/chart" uri="{C3380CC4-5D6E-409C-BE32-E72D297353CC}">
              <c16:uniqueId val="{00000000-BB11-49A0-9C42-BC71070670DC}"/>
            </c:ext>
          </c:extLst>
        </c:ser>
        <c:ser>
          <c:idx val="1"/>
          <c:order val="1"/>
          <c:tx>
            <c:strRef>
              <c:f>VBG!$A$313</c:f>
              <c:strCache>
                <c:ptCount val="1"/>
                <c:pt idx="0">
                  <c:v>Rutura de união</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VBG!$B$311:$E$311</c:f>
              <c:strCache>
                <c:ptCount val="4"/>
                <c:pt idx="0">
                  <c:v>Física ou sexual ou emocional</c:v>
                </c:pt>
                <c:pt idx="1">
                  <c:v>Violência emocional</c:v>
                </c:pt>
                <c:pt idx="2">
                  <c:v>Violência física</c:v>
                </c:pt>
                <c:pt idx="3">
                  <c:v>Violência sexual</c:v>
                </c:pt>
              </c:strCache>
            </c:strRef>
          </c:cat>
          <c:val>
            <c:numRef>
              <c:f>VBG!$B$313:$E$313</c:f>
              <c:numCache>
                <c:formatCode>General</c:formatCode>
                <c:ptCount val="4"/>
                <c:pt idx="0">
                  <c:v>35.9</c:v>
                </c:pt>
                <c:pt idx="1">
                  <c:v>28</c:v>
                </c:pt>
                <c:pt idx="2">
                  <c:v>28.5</c:v>
                </c:pt>
                <c:pt idx="3">
                  <c:v>9.8000000000000007</c:v>
                </c:pt>
              </c:numCache>
            </c:numRef>
          </c:val>
          <c:extLst>
            <c:ext xmlns:c16="http://schemas.microsoft.com/office/drawing/2014/chart" uri="{C3380CC4-5D6E-409C-BE32-E72D297353CC}">
              <c16:uniqueId val="{00000001-BB11-49A0-9C42-BC71070670DC}"/>
            </c:ext>
          </c:extLst>
        </c:ser>
        <c:dLbls>
          <c:showLegendKey val="0"/>
          <c:showVal val="0"/>
          <c:showCatName val="0"/>
          <c:showSerName val="0"/>
          <c:showPercent val="0"/>
          <c:showBubbleSize val="0"/>
        </c:dLbls>
        <c:gapWidth val="219"/>
        <c:overlap val="-27"/>
        <c:axId val="537898304"/>
        <c:axId val="537895680"/>
      </c:barChart>
      <c:catAx>
        <c:axId val="5378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37895680"/>
        <c:crosses val="autoZero"/>
        <c:auto val="1"/>
        <c:lblAlgn val="ctr"/>
        <c:lblOffset val="100"/>
        <c:noMultiLvlLbl val="0"/>
      </c:catAx>
      <c:valAx>
        <c:axId val="537895680"/>
        <c:scaling>
          <c:orientation val="minMax"/>
        </c:scaling>
        <c:delete val="1"/>
        <c:axPos val="l"/>
        <c:numFmt formatCode="General" sourceLinked="1"/>
        <c:majorTickMark val="none"/>
        <c:minorTickMark val="none"/>
        <c:tickLblPos val="nextTo"/>
        <c:crossAx val="537898304"/>
        <c:crosses val="autoZero"/>
        <c:crossBetween val="between"/>
      </c:valAx>
      <c:spPr>
        <a:noFill/>
        <a:ln>
          <a:noFill/>
        </a:ln>
        <a:effectLst/>
      </c:spPr>
    </c:plotArea>
    <c:legend>
      <c:legendPos val="b"/>
      <c:layout>
        <c:manualLayout>
          <c:xMode val="edge"/>
          <c:yMode val="edge"/>
          <c:x val="0.46569400699912511"/>
          <c:y val="1.9096675415573052E-2"/>
          <c:w val="0.49916732283464565"/>
          <c:h val="8.27551764362788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3.3333333333333333E-2"/>
          <c:y val="0.13425925925925927"/>
          <c:w val="0.93888888888888888"/>
          <c:h val="0.67659542038752241"/>
        </c:manualLayout>
      </c:layout>
      <c:barChart>
        <c:barDir val="col"/>
        <c:grouping val="clustered"/>
        <c:varyColors val="0"/>
        <c:ser>
          <c:idx val="0"/>
          <c:order val="0"/>
          <c:tx>
            <c:strRef>
              <c:f>VBG!$A$320</c:f>
              <c:strCache>
                <c:ptCount val="1"/>
                <c:pt idx="0">
                  <c:v>Tem frequentemente medo </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VBG!$B$319:$E$319</c:f>
              <c:strCache>
                <c:ptCount val="4"/>
                <c:pt idx="0">
                  <c:v>Física ou sexual ou emocional</c:v>
                </c:pt>
                <c:pt idx="1">
                  <c:v>Violência emocional</c:v>
                </c:pt>
                <c:pt idx="2">
                  <c:v>Violência física</c:v>
                </c:pt>
                <c:pt idx="3">
                  <c:v>Violência sexual</c:v>
                </c:pt>
              </c:strCache>
            </c:strRef>
          </c:cat>
          <c:val>
            <c:numRef>
              <c:f>VBG!$B$320:$E$320</c:f>
              <c:numCache>
                <c:formatCode>General</c:formatCode>
                <c:ptCount val="4"/>
                <c:pt idx="0">
                  <c:v>74.900000000000006</c:v>
                </c:pt>
                <c:pt idx="1">
                  <c:v>74.400000000000006</c:v>
                </c:pt>
                <c:pt idx="2">
                  <c:v>35.299999999999997</c:v>
                </c:pt>
                <c:pt idx="3">
                  <c:v>70.3</c:v>
                </c:pt>
              </c:numCache>
            </c:numRef>
          </c:val>
          <c:extLst>
            <c:ext xmlns:c16="http://schemas.microsoft.com/office/drawing/2014/chart" uri="{C3380CC4-5D6E-409C-BE32-E72D297353CC}">
              <c16:uniqueId val="{00000000-5264-45AB-9AA6-A426D1877898}"/>
            </c:ext>
          </c:extLst>
        </c:ser>
        <c:ser>
          <c:idx val="1"/>
          <c:order val="1"/>
          <c:tx>
            <c:strRef>
              <c:f>VBG!$A$321</c:f>
              <c:strCache>
                <c:ptCount val="1"/>
                <c:pt idx="0">
                  <c:v>As vezes tem medo </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VBG!$B$319:$E$319</c:f>
              <c:strCache>
                <c:ptCount val="4"/>
                <c:pt idx="0">
                  <c:v>Física ou sexual ou emocional</c:v>
                </c:pt>
                <c:pt idx="1">
                  <c:v>Violência emocional</c:v>
                </c:pt>
                <c:pt idx="2">
                  <c:v>Violência física</c:v>
                </c:pt>
                <c:pt idx="3">
                  <c:v>Violência sexual</c:v>
                </c:pt>
              </c:strCache>
            </c:strRef>
          </c:cat>
          <c:val>
            <c:numRef>
              <c:f>VBG!$B$321:$E$321</c:f>
              <c:numCache>
                <c:formatCode>General</c:formatCode>
                <c:ptCount val="4"/>
                <c:pt idx="0">
                  <c:v>49.7</c:v>
                </c:pt>
                <c:pt idx="1">
                  <c:v>40</c:v>
                </c:pt>
                <c:pt idx="2">
                  <c:v>14.2</c:v>
                </c:pt>
                <c:pt idx="3">
                  <c:v>44.1</c:v>
                </c:pt>
              </c:numCache>
            </c:numRef>
          </c:val>
          <c:extLst>
            <c:ext xmlns:c16="http://schemas.microsoft.com/office/drawing/2014/chart" uri="{C3380CC4-5D6E-409C-BE32-E72D297353CC}">
              <c16:uniqueId val="{00000001-5264-45AB-9AA6-A426D1877898}"/>
            </c:ext>
          </c:extLst>
        </c:ser>
        <c:ser>
          <c:idx val="2"/>
          <c:order val="2"/>
          <c:tx>
            <c:strRef>
              <c:f>VBG!$A$322</c:f>
              <c:strCache>
                <c:ptCount val="1"/>
                <c:pt idx="0">
                  <c:v>Nunca tem medo </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VBG!$B$319:$E$319</c:f>
              <c:strCache>
                <c:ptCount val="4"/>
                <c:pt idx="0">
                  <c:v>Física ou sexual ou emocional</c:v>
                </c:pt>
                <c:pt idx="1">
                  <c:v>Violência emocional</c:v>
                </c:pt>
                <c:pt idx="2">
                  <c:v>Violência física</c:v>
                </c:pt>
                <c:pt idx="3">
                  <c:v>Violência sexual</c:v>
                </c:pt>
              </c:strCache>
            </c:strRef>
          </c:cat>
          <c:val>
            <c:numRef>
              <c:f>VBG!$B$322:$E$322</c:f>
              <c:numCache>
                <c:formatCode>General</c:formatCode>
                <c:ptCount val="4"/>
                <c:pt idx="0">
                  <c:v>14.4</c:v>
                </c:pt>
                <c:pt idx="1">
                  <c:v>9.8000000000000007</c:v>
                </c:pt>
                <c:pt idx="2">
                  <c:v>1.5</c:v>
                </c:pt>
                <c:pt idx="3">
                  <c:v>9.5</c:v>
                </c:pt>
              </c:numCache>
            </c:numRef>
          </c:val>
          <c:extLst>
            <c:ext xmlns:c16="http://schemas.microsoft.com/office/drawing/2014/chart" uri="{C3380CC4-5D6E-409C-BE32-E72D297353CC}">
              <c16:uniqueId val="{00000002-5264-45AB-9AA6-A426D1877898}"/>
            </c:ext>
          </c:extLst>
        </c:ser>
        <c:dLbls>
          <c:showLegendKey val="0"/>
          <c:showVal val="0"/>
          <c:showCatName val="0"/>
          <c:showSerName val="0"/>
          <c:showPercent val="0"/>
          <c:showBubbleSize val="0"/>
        </c:dLbls>
        <c:gapWidth val="219"/>
        <c:overlap val="-27"/>
        <c:axId val="559005400"/>
        <c:axId val="559005072"/>
      </c:barChart>
      <c:catAx>
        <c:axId val="55900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59005072"/>
        <c:crosses val="autoZero"/>
        <c:auto val="1"/>
        <c:lblAlgn val="ctr"/>
        <c:lblOffset val="100"/>
        <c:noMultiLvlLbl val="0"/>
      </c:catAx>
      <c:valAx>
        <c:axId val="559005072"/>
        <c:scaling>
          <c:orientation val="minMax"/>
        </c:scaling>
        <c:delete val="1"/>
        <c:axPos val="l"/>
        <c:numFmt formatCode="General" sourceLinked="1"/>
        <c:majorTickMark val="none"/>
        <c:minorTickMark val="none"/>
        <c:tickLblPos val="nextTo"/>
        <c:crossAx val="559005400"/>
        <c:crosses val="autoZero"/>
        <c:crossBetween val="between"/>
      </c:valAx>
      <c:spPr>
        <a:noFill/>
        <a:ln>
          <a:noFill/>
        </a:ln>
        <a:effectLst/>
      </c:spPr>
    </c:plotArea>
    <c:legend>
      <c:legendPos val="b"/>
      <c:layout>
        <c:manualLayout>
          <c:xMode val="edge"/>
          <c:yMode val="edge"/>
          <c:x val="0.1"/>
          <c:y val="9.8374161563137517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2542925607958458"/>
          <c:y val="5.5555555555555552E-2"/>
          <c:w val="0.76062195835586399"/>
          <c:h val="0.93576334208223977"/>
        </c:manualLayout>
      </c:layout>
      <c:barChart>
        <c:barDir val="bar"/>
        <c:grouping val="clustered"/>
        <c:varyColors val="0"/>
        <c:ser>
          <c:idx val="0"/>
          <c:order val="0"/>
          <c:tx>
            <c:strRef>
              <c:f>VBG!$G$412</c:f>
              <c:strCache>
                <c:ptCount val="1"/>
                <c:pt idx="0">
                  <c:v>Violência física</c:v>
                </c:pt>
              </c:strCache>
            </c:strRef>
          </c:tx>
          <c:spPr>
            <a:solidFill>
              <a:schemeClr val="accent1">
                <a:shade val="76000"/>
              </a:schemeClr>
            </a:solidFill>
            <a:ln>
              <a:noFill/>
            </a:ln>
            <a:effectLst/>
          </c:spPr>
          <c:invertIfNegative val="0"/>
          <c:dLbls>
            <c:dLbl>
              <c:idx val="0"/>
              <c:layout>
                <c:manualLayout>
                  <c:x val="0"/>
                  <c:y val="1.30208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74-47E5-A02B-0A4001350B76}"/>
                </c:ext>
              </c:extLst>
            </c:dLbl>
            <c:dLbl>
              <c:idx val="1"/>
              <c:layout>
                <c:manualLayout>
                  <c:x val="-2.3518344308560675E-3"/>
                  <c:y val="1.95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74-47E5-A02B-0A4001350B76}"/>
                </c:ext>
              </c:extLst>
            </c:dLbl>
            <c:dLbl>
              <c:idx val="2"/>
              <c:layout>
                <c:manualLayout>
                  <c:x val="0"/>
                  <c:y val="1.95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74-47E5-A02B-0A4001350B76}"/>
                </c:ext>
              </c:extLst>
            </c:dLbl>
            <c:dLbl>
              <c:idx val="3"/>
              <c:layout>
                <c:manualLayout>
                  <c:x val="-2.3518344308560675E-3"/>
                  <c:y val="1.95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74-47E5-A02B-0A4001350B76}"/>
                </c:ext>
              </c:extLst>
            </c:dLbl>
            <c:dLbl>
              <c:idx val="4"/>
              <c:layout>
                <c:manualLayout>
                  <c:x val="2.3518344308560675E-3"/>
                  <c:y val="3.2552083333333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74-47E5-A02B-0A4001350B76}"/>
                </c:ext>
              </c:extLst>
            </c:dLbl>
            <c:dLbl>
              <c:idx val="5"/>
              <c:layout>
                <c:manualLayout>
                  <c:x val="-8.6232932961189039E-17"/>
                  <c:y val="1.95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74-47E5-A02B-0A4001350B76}"/>
                </c:ext>
              </c:extLst>
            </c:dLbl>
            <c:dLbl>
              <c:idx val="6"/>
              <c:layout>
                <c:manualLayout>
                  <c:x val="-8.6232932961189039E-17"/>
                  <c:y val="1.953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74-47E5-A02B-0A4001350B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VBG!$F$413:$F$419</c:f>
              <c:strCache>
                <c:ptCount val="7"/>
                <c:pt idx="0">
                  <c:v>Outra </c:v>
                </c:pt>
                <c:pt idx="1">
                  <c:v>Racionalismo Cristão </c:v>
                </c:pt>
                <c:pt idx="2">
                  <c:v>Adventista </c:v>
                </c:pt>
                <c:pt idx="3">
                  <c:v>Nazarena </c:v>
                </c:pt>
                <c:pt idx="4">
                  <c:v>Católica </c:v>
                </c:pt>
                <c:pt idx="5">
                  <c:v>Sem religião </c:v>
                </c:pt>
                <c:pt idx="6">
                  <c:v>GERAL CV</c:v>
                </c:pt>
              </c:strCache>
            </c:strRef>
          </c:cat>
          <c:val>
            <c:numRef>
              <c:f>VBG!$G$413:$G$419</c:f>
              <c:numCache>
                <c:formatCode>General</c:formatCode>
                <c:ptCount val="7"/>
                <c:pt idx="0">
                  <c:v>22.7</c:v>
                </c:pt>
                <c:pt idx="1">
                  <c:v>20.3</c:v>
                </c:pt>
                <c:pt idx="2">
                  <c:v>17.7</c:v>
                </c:pt>
                <c:pt idx="3">
                  <c:v>14.4</c:v>
                </c:pt>
                <c:pt idx="4">
                  <c:v>9.9</c:v>
                </c:pt>
                <c:pt idx="5">
                  <c:v>9.3000000000000007</c:v>
                </c:pt>
                <c:pt idx="6">
                  <c:v>10.9</c:v>
                </c:pt>
              </c:numCache>
            </c:numRef>
          </c:val>
          <c:extLst>
            <c:ext xmlns:c16="http://schemas.microsoft.com/office/drawing/2014/chart" uri="{C3380CC4-5D6E-409C-BE32-E72D297353CC}">
              <c16:uniqueId val="{00000007-1B74-47E5-A02B-0A4001350B76}"/>
            </c:ext>
          </c:extLst>
        </c:ser>
        <c:ser>
          <c:idx val="1"/>
          <c:order val="1"/>
          <c:tx>
            <c:strRef>
              <c:f>VBG!$H$412</c:f>
              <c:strCache>
                <c:ptCount val="1"/>
                <c:pt idx="0">
                  <c:v>Violência conjugal (qualquer tipo)</c:v>
                </c:pt>
              </c:strCache>
            </c:strRef>
          </c:tx>
          <c:spPr>
            <a:solidFill>
              <a:schemeClr val="accent1">
                <a:tint val="77000"/>
              </a:schemeClr>
            </a:solidFill>
            <a:ln>
              <a:noFill/>
            </a:ln>
            <a:effectLst/>
          </c:spPr>
          <c:invertIfNegative val="0"/>
          <c:dLbls>
            <c:dLbl>
              <c:idx val="0"/>
              <c:layout>
                <c:manualLayout>
                  <c:x val="4.7036688617119633E-3"/>
                  <c:y val="-3.255208333333333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74-47E5-A02B-0A4001350B76}"/>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6="http://schemas.microsoft.com/office/drawing/2014/chart" uri="{C3380CC4-5D6E-409C-BE32-E72D297353CC}">
                  <c16:uniqueId val="{00000009-1B74-47E5-A02B-0A4001350B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VBG!$F$413:$F$419</c:f>
              <c:strCache>
                <c:ptCount val="7"/>
                <c:pt idx="0">
                  <c:v>Outra </c:v>
                </c:pt>
                <c:pt idx="1">
                  <c:v>Racionalismo Cristão </c:v>
                </c:pt>
                <c:pt idx="2">
                  <c:v>Adventista </c:v>
                </c:pt>
                <c:pt idx="3">
                  <c:v>Nazarena </c:v>
                </c:pt>
                <c:pt idx="4">
                  <c:v>Católica </c:v>
                </c:pt>
                <c:pt idx="5">
                  <c:v>Sem religião </c:v>
                </c:pt>
                <c:pt idx="6">
                  <c:v>GERAL CV</c:v>
                </c:pt>
              </c:strCache>
            </c:strRef>
          </c:cat>
          <c:val>
            <c:numRef>
              <c:f>VBG!$H$413:$H$419</c:f>
              <c:numCache>
                <c:formatCode>General</c:formatCode>
                <c:ptCount val="7"/>
                <c:pt idx="0">
                  <c:v>23</c:v>
                </c:pt>
                <c:pt idx="1">
                  <c:v>27.7</c:v>
                </c:pt>
                <c:pt idx="2">
                  <c:v>21.6</c:v>
                </c:pt>
                <c:pt idx="3">
                  <c:v>20.8</c:v>
                </c:pt>
                <c:pt idx="4">
                  <c:v>19.3</c:v>
                </c:pt>
                <c:pt idx="5">
                  <c:v>18.100000000000001</c:v>
                </c:pt>
                <c:pt idx="6">
                  <c:v>20.399999999999999</c:v>
                </c:pt>
              </c:numCache>
            </c:numRef>
          </c:val>
          <c:extLst>
            <c:ext xmlns:c16="http://schemas.microsoft.com/office/drawing/2014/chart" uri="{C3380CC4-5D6E-409C-BE32-E72D297353CC}">
              <c16:uniqueId val="{0000000A-1B74-47E5-A02B-0A4001350B76}"/>
            </c:ext>
          </c:extLst>
        </c:ser>
        <c:dLbls>
          <c:showLegendKey val="0"/>
          <c:showVal val="0"/>
          <c:showCatName val="0"/>
          <c:showSerName val="0"/>
          <c:showPercent val="0"/>
          <c:showBubbleSize val="0"/>
        </c:dLbls>
        <c:gapWidth val="182"/>
        <c:axId val="303232392"/>
        <c:axId val="303222920"/>
      </c:barChart>
      <c:catAx>
        <c:axId val="303232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303222920"/>
        <c:crosses val="autoZero"/>
        <c:auto val="1"/>
        <c:lblAlgn val="ctr"/>
        <c:lblOffset val="100"/>
        <c:noMultiLvlLbl val="0"/>
      </c:catAx>
      <c:valAx>
        <c:axId val="303222920"/>
        <c:scaling>
          <c:orientation val="minMax"/>
        </c:scaling>
        <c:delete val="1"/>
        <c:axPos val="b"/>
        <c:numFmt formatCode="General" sourceLinked="1"/>
        <c:majorTickMark val="none"/>
        <c:minorTickMark val="none"/>
        <c:tickLblPos val="nextTo"/>
        <c:crossAx val="303232392"/>
        <c:crosses val="autoZero"/>
        <c:crossBetween val="between"/>
      </c:valAx>
      <c:spPr>
        <a:noFill/>
        <a:ln>
          <a:noFill/>
        </a:ln>
        <a:effectLst/>
      </c:spPr>
    </c:plotArea>
    <c:legend>
      <c:legendPos val="b"/>
      <c:layout>
        <c:manualLayout>
          <c:xMode val="edge"/>
          <c:yMode val="edge"/>
          <c:x val="0.84692189286062991"/>
          <c:y val="2.8355934674832269E-2"/>
          <c:w val="0.15307810713937009"/>
          <c:h val="0.56235595062335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92031496062992"/>
          <c:w val="0.97931212826480474"/>
          <c:h val="0.82419842519685038"/>
        </c:manualLayout>
      </c:layout>
      <c:pie3DChart>
        <c:varyColors val="1"/>
        <c:ser>
          <c:idx val="0"/>
          <c:order val="0"/>
          <c:tx>
            <c:strRef>
              <c:f>POBREZA!$B$81</c:f>
              <c:strCache>
                <c:ptCount val="1"/>
                <c:pt idx="0">
                  <c:v>Pobre </c:v>
                </c:pt>
              </c:strCache>
            </c:strRef>
          </c:tx>
          <c:dPt>
            <c:idx val="0"/>
            <c:bubble3D val="0"/>
            <c:spPr>
              <a:solidFill>
                <a:schemeClr val="accent6">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44-45F3-80FC-007DEBDD7B3F}"/>
              </c:ext>
            </c:extLst>
          </c:dPt>
          <c:dPt>
            <c:idx val="1"/>
            <c:bubble3D val="0"/>
            <c:spPr>
              <a:solidFill>
                <a:schemeClr val="accent6">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44-45F3-80FC-007DEBDD7B3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POBREZA!$A$82:$A$83</c:f>
              <c:strCache>
                <c:ptCount val="2"/>
                <c:pt idx="0">
                  <c:v>Homens </c:v>
                </c:pt>
                <c:pt idx="1">
                  <c:v>Mulheres</c:v>
                </c:pt>
              </c:strCache>
            </c:strRef>
          </c:cat>
          <c:val>
            <c:numRef>
              <c:f>POBREZA!$B$82:$B$83</c:f>
              <c:numCache>
                <c:formatCode>General</c:formatCode>
                <c:ptCount val="2"/>
                <c:pt idx="0">
                  <c:v>46.9</c:v>
                </c:pt>
                <c:pt idx="1">
                  <c:v>53.1</c:v>
                </c:pt>
              </c:numCache>
            </c:numRef>
          </c:val>
          <c:extLst>
            <c:ext xmlns:c16="http://schemas.microsoft.com/office/drawing/2014/chart" uri="{C3380CC4-5D6E-409C-BE32-E72D297353CC}">
              <c16:uniqueId val="{00000004-5444-45F3-80FC-007DEBDD7B3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929799389779491E-5"/>
          <c:y val="4.9547166288008468E-2"/>
          <c:w val="0.24753224050192221"/>
          <c:h val="0.290564829396325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2136482939632548E-2"/>
          <c:y val="5.5555555555555552E-2"/>
          <c:w val="0.97786351706036745"/>
          <c:h val="0.77487685539516504"/>
        </c:manualLayout>
      </c:layout>
      <c:barChart>
        <c:barDir val="col"/>
        <c:grouping val="clustered"/>
        <c:varyColors val="0"/>
        <c:ser>
          <c:idx val="0"/>
          <c:order val="0"/>
          <c:tx>
            <c:strRef>
              <c:f>VBG!$B$170</c:f>
              <c:strCache>
                <c:ptCount val="1"/>
                <c:pt idx="0">
                  <c:v>2005</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VBG!$A$171:$A$176</c:f>
              <c:strCache>
                <c:ptCount val="6"/>
                <c:pt idx="0">
                  <c:v>Santo Antão </c:v>
                </c:pt>
                <c:pt idx="1">
                  <c:v>São Vicente </c:v>
                </c:pt>
                <c:pt idx="2">
                  <c:v>Sal </c:v>
                </c:pt>
                <c:pt idx="3">
                  <c:v>Santiago Norte </c:v>
                </c:pt>
                <c:pt idx="4">
                  <c:v>Santiago Sul </c:v>
                </c:pt>
                <c:pt idx="5">
                  <c:v>Fogo </c:v>
                </c:pt>
              </c:strCache>
            </c:strRef>
          </c:cat>
          <c:val>
            <c:numRef>
              <c:f>VBG!$B$171:$B$176</c:f>
              <c:numCache>
                <c:formatCode>General</c:formatCode>
                <c:ptCount val="6"/>
                <c:pt idx="0">
                  <c:v>24.5</c:v>
                </c:pt>
                <c:pt idx="1">
                  <c:v>7.6</c:v>
                </c:pt>
                <c:pt idx="2">
                  <c:v>27</c:v>
                </c:pt>
                <c:pt idx="3">
                  <c:v>9.6999999999999993</c:v>
                </c:pt>
                <c:pt idx="4" formatCode="0.0">
                  <c:v>27.999999999999996</c:v>
                </c:pt>
                <c:pt idx="5">
                  <c:v>20</c:v>
                </c:pt>
              </c:numCache>
            </c:numRef>
          </c:val>
          <c:extLst>
            <c:ext xmlns:c16="http://schemas.microsoft.com/office/drawing/2014/chart" uri="{C3380CC4-5D6E-409C-BE32-E72D297353CC}">
              <c16:uniqueId val="{00000000-9FEF-46B8-8C9F-0A08F853213C}"/>
            </c:ext>
          </c:extLst>
        </c:ser>
        <c:ser>
          <c:idx val="1"/>
          <c:order val="1"/>
          <c:tx>
            <c:strRef>
              <c:f>VBG!$C$170</c:f>
              <c:strCache>
                <c:ptCount val="1"/>
                <c:pt idx="0">
                  <c:v>2018</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VBG!$A$171:$A$176</c:f>
              <c:strCache>
                <c:ptCount val="6"/>
                <c:pt idx="0">
                  <c:v>Santo Antão </c:v>
                </c:pt>
                <c:pt idx="1">
                  <c:v>São Vicente </c:v>
                </c:pt>
                <c:pt idx="2">
                  <c:v>Sal </c:v>
                </c:pt>
                <c:pt idx="3">
                  <c:v>Santiago Norte </c:v>
                </c:pt>
                <c:pt idx="4">
                  <c:v>Santiago Sul </c:v>
                </c:pt>
                <c:pt idx="5">
                  <c:v>Fogo </c:v>
                </c:pt>
              </c:strCache>
            </c:strRef>
          </c:cat>
          <c:val>
            <c:numRef>
              <c:f>VBG!$C$171:$C$176</c:f>
              <c:numCache>
                <c:formatCode>General</c:formatCode>
                <c:ptCount val="6"/>
                <c:pt idx="0">
                  <c:v>25.8</c:v>
                </c:pt>
                <c:pt idx="1">
                  <c:v>20.6</c:v>
                </c:pt>
                <c:pt idx="2">
                  <c:v>22.6</c:v>
                </c:pt>
                <c:pt idx="3">
                  <c:v>13.3</c:v>
                </c:pt>
                <c:pt idx="4">
                  <c:v>22.4</c:v>
                </c:pt>
                <c:pt idx="5">
                  <c:v>18</c:v>
                </c:pt>
              </c:numCache>
            </c:numRef>
          </c:val>
          <c:extLst>
            <c:ext xmlns:c16="http://schemas.microsoft.com/office/drawing/2014/chart" uri="{C3380CC4-5D6E-409C-BE32-E72D297353CC}">
              <c16:uniqueId val="{00000001-9FEF-46B8-8C9F-0A08F853213C}"/>
            </c:ext>
          </c:extLst>
        </c:ser>
        <c:dLbls>
          <c:showLegendKey val="0"/>
          <c:showVal val="0"/>
          <c:showCatName val="0"/>
          <c:showSerName val="0"/>
          <c:showPercent val="0"/>
          <c:showBubbleSize val="0"/>
        </c:dLbls>
        <c:gapWidth val="219"/>
        <c:overlap val="-27"/>
        <c:axId val="636782600"/>
        <c:axId val="636784568"/>
      </c:barChart>
      <c:catAx>
        <c:axId val="636782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636784568"/>
        <c:crosses val="autoZero"/>
        <c:auto val="1"/>
        <c:lblAlgn val="ctr"/>
        <c:lblOffset val="100"/>
        <c:noMultiLvlLbl val="0"/>
      </c:catAx>
      <c:valAx>
        <c:axId val="636784568"/>
        <c:scaling>
          <c:orientation val="minMax"/>
        </c:scaling>
        <c:delete val="1"/>
        <c:axPos val="l"/>
        <c:numFmt formatCode="General" sourceLinked="1"/>
        <c:majorTickMark val="none"/>
        <c:minorTickMark val="none"/>
        <c:tickLblPos val="nextTo"/>
        <c:crossAx val="636782600"/>
        <c:crosses val="autoZero"/>
        <c:crossBetween val="between"/>
      </c:valAx>
      <c:spPr>
        <a:noFill/>
        <a:ln>
          <a:noFill/>
        </a:ln>
        <a:effectLst/>
      </c:spPr>
    </c:plotArea>
    <c:legend>
      <c:legendPos val="b"/>
      <c:layout>
        <c:manualLayout>
          <c:xMode val="edge"/>
          <c:yMode val="edge"/>
          <c:x val="0.87291163604549427"/>
          <c:y val="1.9096675415573063E-2"/>
          <c:w val="0.12606124234470695"/>
          <c:h val="0.166776392534266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4662124277808927E-4"/>
          <c:y val="1.16872399683664E-2"/>
          <c:w val="0.96607228812666091"/>
          <c:h val="0.85575727706525773"/>
        </c:manualLayout>
      </c:layout>
      <c:barChart>
        <c:barDir val="col"/>
        <c:grouping val="clustered"/>
        <c:varyColors val="0"/>
        <c:ser>
          <c:idx val="0"/>
          <c:order val="0"/>
          <c:tx>
            <c:strRef>
              <c:f>VBG!$B$221</c:f>
              <c:strCache>
                <c:ptCount val="1"/>
                <c:pt idx="0">
                  <c:v>Física ou sexual ou emocional</c:v>
                </c:pt>
              </c:strCache>
            </c:strRef>
          </c:tx>
          <c:spPr>
            <a:solidFill>
              <a:schemeClr val="accent1">
                <a:shade val="58000"/>
              </a:schemeClr>
            </a:solidFill>
            <a:ln>
              <a:noFill/>
            </a:ln>
            <a:effectLst/>
          </c:spPr>
          <c:invertIfNegative val="0"/>
          <c:dPt>
            <c:idx val="10"/>
            <c:invertIfNegative val="0"/>
            <c:bubble3D val="0"/>
            <c:spPr>
              <a:solidFill>
                <a:schemeClr val="accent6">
                  <a:lumMod val="75000"/>
                </a:schemeClr>
              </a:solidFill>
              <a:ln>
                <a:noFill/>
              </a:ln>
              <a:effectLst/>
            </c:spPr>
            <c:extLst>
              <c:ext xmlns:c16="http://schemas.microsoft.com/office/drawing/2014/chart" uri="{C3380CC4-5D6E-409C-BE32-E72D297353CC}">
                <c16:uniqueId val="{00000001-EDD3-405C-80B7-52634AAF2870}"/>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VBG!$A$222:$A$232</c:f>
              <c:strCache>
                <c:ptCount val="11"/>
                <c:pt idx="0">
                  <c:v>Santiago Norte </c:v>
                </c:pt>
                <c:pt idx="1">
                  <c:v>Maio </c:v>
                </c:pt>
                <c:pt idx="2">
                  <c:v>Fogo </c:v>
                </c:pt>
                <c:pt idx="3">
                  <c:v>São Nicolau </c:v>
                </c:pt>
                <c:pt idx="4">
                  <c:v>Boavista </c:v>
                </c:pt>
                <c:pt idx="5">
                  <c:v>Santiago Sul </c:v>
                </c:pt>
                <c:pt idx="6">
                  <c:v>São Vicente </c:v>
                </c:pt>
                <c:pt idx="7">
                  <c:v>Santo Antão </c:v>
                </c:pt>
                <c:pt idx="8">
                  <c:v>Sal </c:v>
                </c:pt>
                <c:pt idx="9">
                  <c:v>Brava </c:v>
                </c:pt>
                <c:pt idx="10">
                  <c:v>Média nacional</c:v>
                </c:pt>
              </c:strCache>
            </c:strRef>
          </c:cat>
          <c:val>
            <c:numRef>
              <c:f>VBG!$B$222:$B$232</c:f>
              <c:numCache>
                <c:formatCode>General</c:formatCode>
                <c:ptCount val="11"/>
                <c:pt idx="0">
                  <c:v>12.2</c:v>
                </c:pt>
                <c:pt idx="1">
                  <c:v>14</c:v>
                </c:pt>
                <c:pt idx="2">
                  <c:v>15</c:v>
                </c:pt>
                <c:pt idx="3">
                  <c:v>15.7</c:v>
                </c:pt>
                <c:pt idx="4">
                  <c:v>16.100000000000001</c:v>
                </c:pt>
                <c:pt idx="5">
                  <c:v>19.899999999999999</c:v>
                </c:pt>
                <c:pt idx="6">
                  <c:v>20.2</c:v>
                </c:pt>
                <c:pt idx="7">
                  <c:v>22.1</c:v>
                </c:pt>
                <c:pt idx="8">
                  <c:v>22.6</c:v>
                </c:pt>
                <c:pt idx="9">
                  <c:v>26.8</c:v>
                </c:pt>
                <c:pt idx="10">
                  <c:v>18.399999999999999</c:v>
                </c:pt>
              </c:numCache>
            </c:numRef>
          </c:val>
          <c:extLst>
            <c:ext xmlns:c16="http://schemas.microsoft.com/office/drawing/2014/chart" uri="{C3380CC4-5D6E-409C-BE32-E72D297353CC}">
              <c16:uniqueId val="{00000002-EDD3-405C-80B7-52634AAF2870}"/>
            </c:ext>
          </c:extLst>
        </c:ser>
        <c:ser>
          <c:idx val="1"/>
          <c:order val="1"/>
          <c:tx>
            <c:strRef>
              <c:f>VBG!$C$221</c:f>
              <c:strCache>
                <c:ptCount val="1"/>
                <c:pt idx="0">
                  <c:v>Violência emocional</c:v>
                </c:pt>
              </c:strCache>
            </c:strRef>
          </c:tx>
          <c:spPr>
            <a:solidFill>
              <a:schemeClr val="accent1">
                <a:shade val="86000"/>
              </a:schemeClr>
            </a:solidFill>
            <a:ln>
              <a:noFill/>
            </a:ln>
            <a:effectLst/>
          </c:spPr>
          <c:invertIfNegative val="0"/>
          <c:dPt>
            <c:idx val="10"/>
            <c:invertIfNegative val="0"/>
            <c:bubble3D val="0"/>
            <c:spPr>
              <a:solidFill>
                <a:schemeClr val="accent6"/>
              </a:solidFill>
              <a:ln>
                <a:noFill/>
              </a:ln>
              <a:effectLst/>
            </c:spPr>
            <c:extLst>
              <c:ext xmlns:c16="http://schemas.microsoft.com/office/drawing/2014/chart" uri="{C3380CC4-5D6E-409C-BE32-E72D297353CC}">
                <c16:uniqueId val="{00000004-EDD3-405C-80B7-52634AAF2870}"/>
              </c:ext>
            </c:extLst>
          </c:dPt>
          <c:dLbls>
            <c:dLbl>
              <c:idx val="0"/>
              <c:layout>
                <c:manualLayout>
                  <c:x val="1.1795930404010616E-2"/>
                  <c:y val="-1.4556040756914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D3-405C-80B7-52634AAF2870}"/>
                </c:ext>
              </c:extLst>
            </c:dLbl>
            <c:dLbl>
              <c:idx val="2"/>
              <c:layout>
                <c:manualLayout>
                  <c:x val="1.5727907205347488E-2"/>
                  <c:y val="-9.7040271712761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D3-405C-80B7-52634AAF2870}"/>
                </c:ext>
              </c:extLst>
            </c:dLbl>
            <c:dLbl>
              <c:idx val="3"/>
              <c:layout>
                <c:manualLayout>
                  <c:x val="7.7399380804953561E-3"/>
                  <c:y val="-4.8520135856380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D3-405C-80B7-52634AAF2870}"/>
                </c:ext>
              </c:extLst>
            </c:dLbl>
            <c:dLbl>
              <c:idx val="4"/>
              <c:layout>
                <c:manualLayout>
                  <c:x val="1.1609907120742963E-2"/>
                  <c:y val="-8.895255481586020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D3-405C-80B7-52634AAF2870}"/>
                </c:ext>
              </c:extLst>
            </c:dLbl>
            <c:dLbl>
              <c:idx val="5"/>
              <c:layout>
                <c:manualLayout>
                  <c:x val="1.3544891640866802E-2"/>
                  <c:y val="-1.4556040756914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D3-405C-80B7-52634AAF2870}"/>
                </c:ext>
              </c:extLst>
            </c:dLbl>
            <c:dLbl>
              <c:idx val="6"/>
              <c:layout>
                <c:manualLayout>
                  <c:x val="0"/>
                  <c:y val="-1.9408054342552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D3-405C-80B7-52634AAF2870}"/>
                </c:ext>
              </c:extLst>
            </c:dLbl>
            <c:dLbl>
              <c:idx val="7"/>
              <c:layout>
                <c:manualLayout>
                  <c:x val="3.8699690402475362E-3"/>
                  <c:y val="-6.3076176613294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D3-405C-80B7-52634AAF2870}"/>
                </c:ext>
              </c:extLst>
            </c:dLbl>
            <c:dLbl>
              <c:idx val="8"/>
              <c:layout>
                <c:manualLayout>
                  <c:x val="7.7399380804953561E-3"/>
                  <c:y val="-7.7632217370208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D3-405C-80B7-52634AAF2870}"/>
                </c:ext>
              </c:extLst>
            </c:dLbl>
            <c:dLbl>
              <c:idx val="10"/>
              <c:layout>
                <c:manualLayout>
                  <c:x val="5.8979652020051641E-3"/>
                  <c:y val="-1.9408054342552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D3-405C-80B7-52634AAF287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VBG!$A$222:$A$232</c:f>
              <c:strCache>
                <c:ptCount val="11"/>
                <c:pt idx="0">
                  <c:v>Santiago Norte </c:v>
                </c:pt>
                <c:pt idx="1">
                  <c:v>Maio </c:v>
                </c:pt>
                <c:pt idx="2">
                  <c:v>Fogo </c:v>
                </c:pt>
                <c:pt idx="3">
                  <c:v>São Nicolau </c:v>
                </c:pt>
                <c:pt idx="4">
                  <c:v>Boavista </c:v>
                </c:pt>
                <c:pt idx="5">
                  <c:v>Santiago Sul </c:v>
                </c:pt>
                <c:pt idx="6">
                  <c:v>São Vicente </c:v>
                </c:pt>
                <c:pt idx="7">
                  <c:v>Santo Antão </c:v>
                </c:pt>
                <c:pt idx="8">
                  <c:v>Sal </c:v>
                </c:pt>
                <c:pt idx="9">
                  <c:v>Brava </c:v>
                </c:pt>
                <c:pt idx="10">
                  <c:v>Média nacional</c:v>
                </c:pt>
              </c:strCache>
            </c:strRef>
          </c:cat>
          <c:val>
            <c:numRef>
              <c:f>VBG!$C$222:$C$232</c:f>
              <c:numCache>
                <c:formatCode>General</c:formatCode>
                <c:ptCount val="11"/>
                <c:pt idx="0">
                  <c:v>10.5</c:v>
                </c:pt>
                <c:pt idx="1">
                  <c:v>11</c:v>
                </c:pt>
                <c:pt idx="2">
                  <c:v>10.199999999999999</c:v>
                </c:pt>
                <c:pt idx="3">
                  <c:v>11.4</c:v>
                </c:pt>
                <c:pt idx="4">
                  <c:v>11.5</c:v>
                </c:pt>
                <c:pt idx="5">
                  <c:v>15.4</c:v>
                </c:pt>
                <c:pt idx="6">
                  <c:v>16</c:v>
                </c:pt>
                <c:pt idx="7">
                  <c:v>15.6</c:v>
                </c:pt>
                <c:pt idx="8">
                  <c:v>16.100000000000001</c:v>
                </c:pt>
                <c:pt idx="9">
                  <c:v>20</c:v>
                </c:pt>
                <c:pt idx="10">
                  <c:v>14.1</c:v>
                </c:pt>
              </c:numCache>
            </c:numRef>
          </c:val>
          <c:extLst>
            <c:ext xmlns:c16="http://schemas.microsoft.com/office/drawing/2014/chart" uri="{C3380CC4-5D6E-409C-BE32-E72D297353CC}">
              <c16:uniqueId val="{0000000D-EDD3-405C-80B7-52634AAF2870}"/>
            </c:ext>
          </c:extLst>
        </c:ser>
        <c:ser>
          <c:idx val="2"/>
          <c:order val="2"/>
          <c:tx>
            <c:strRef>
              <c:f>VBG!$D$221</c:f>
              <c:strCache>
                <c:ptCount val="1"/>
                <c:pt idx="0">
                  <c:v>Violência física</c:v>
                </c:pt>
              </c:strCache>
            </c:strRef>
          </c:tx>
          <c:spPr>
            <a:solidFill>
              <a:schemeClr val="accent1">
                <a:tint val="86000"/>
              </a:schemeClr>
            </a:solidFill>
            <a:ln>
              <a:noFill/>
            </a:ln>
            <a:effectLst/>
          </c:spPr>
          <c:invertIfNegative val="0"/>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F-EDD3-405C-80B7-52634AAF2870}"/>
              </c:ext>
            </c:extLst>
          </c:dPt>
          <c:dLbls>
            <c:dLbl>
              <c:idx val="0"/>
              <c:layout>
                <c:manualLayout>
                  <c:x val="2.3303773846316985E-2"/>
                  <c:y val="3.966081750698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DD3-405C-80B7-52634AAF2870}"/>
                </c:ext>
              </c:extLst>
            </c:dLbl>
            <c:dLbl>
              <c:idx val="1"/>
              <c:layout>
                <c:manualLayout>
                  <c:x val="1.3544891640866856E-2"/>
                  <c:y val="2.4260067928190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DD3-405C-80B7-52634AAF2870}"/>
                </c:ext>
              </c:extLst>
            </c:dLbl>
            <c:dLbl>
              <c:idx val="2"/>
              <c:layout>
                <c:manualLayout>
                  <c:x val="5.8979652020052726E-3"/>
                  <c:y val="4.85201358563803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DD3-405C-80B7-52634AAF2870}"/>
                </c:ext>
              </c:extLst>
            </c:dLbl>
            <c:dLbl>
              <c:idx val="3"/>
              <c:layout>
                <c:manualLayout>
                  <c:x val="2.5154798761609906E-2"/>
                  <c:y val="2.9112081513828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DD3-405C-80B7-52634AAF2870}"/>
                </c:ext>
              </c:extLst>
            </c:dLbl>
            <c:dLbl>
              <c:idx val="5"/>
              <c:layout>
                <c:manualLayout>
                  <c:x val="1.9349845201238391E-2"/>
                  <c:y val="3.3964095099466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DD3-405C-80B7-52634AAF2870}"/>
                </c:ext>
              </c:extLst>
            </c:dLbl>
            <c:dLbl>
              <c:idx val="6"/>
              <c:layout>
                <c:manualLayout>
                  <c:x val="2.1284829721362159E-2"/>
                  <c:y val="4.852013585638039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15:layout>
                    <c:manualLayout>
                      <c:w val="5.0383340240364692E-2"/>
                      <c:h val="4.3192472120024299E-2"/>
                    </c:manualLayout>
                  </c15:layout>
                </c:ext>
                <c:ext xmlns:c16="http://schemas.microsoft.com/office/drawing/2014/chart" uri="{C3380CC4-5D6E-409C-BE32-E72D297353CC}">
                  <c16:uniqueId val="{00000015-EDD3-405C-80B7-52634AAF2870}"/>
                </c:ext>
              </c:extLst>
            </c:dLbl>
            <c:dLbl>
              <c:idx val="7"/>
              <c:layout>
                <c:manualLayout>
                  <c:x val="1.9349845201238391E-2"/>
                  <c:y val="4.8520135856380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DD3-405C-80B7-52634AAF2870}"/>
                </c:ext>
              </c:extLst>
            </c:dLbl>
            <c:dLbl>
              <c:idx val="8"/>
              <c:layout>
                <c:manualLayout>
                  <c:x val="2.3219814241485927E-2"/>
                  <c:y val="6.792819019893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DD3-405C-80B7-52634AAF2870}"/>
                </c:ext>
              </c:extLst>
            </c:dLbl>
            <c:dLbl>
              <c:idx val="9"/>
              <c:layout>
                <c:manualLayout>
                  <c:x val="1.2050209840224452E-2"/>
                  <c:y val="0"/>
                </c:manualLayout>
              </c:layout>
              <c:showLegendKey val="0"/>
              <c:showVal val="1"/>
              <c:showCatName val="0"/>
              <c:showSerName val="0"/>
              <c:showPercent val="0"/>
              <c:showBubbleSize val="0"/>
              <c:extLst>
                <c:ext xmlns:c15="http://schemas.microsoft.com/office/drawing/2012/chart" uri="{CE6537A1-D6FC-4f65-9D91-7224C49458BB}">
                  <c15:layout>
                    <c:manualLayout>
                      <c:w val="4.1010880822897548E-2"/>
                      <c:h val="6.0910930626700568E-2"/>
                    </c:manualLayout>
                  </c15:layout>
                </c:ext>
                <c:ext xmlns:c16="http://schemas.microsoft.com/office/drawing/2014/chart" uri="{C3380CC4-5D6E-409C-BE32-E72D297353CC}">
                  <c16:uniqueId val="{00000018-EDD3-405C-80B7-52634AAF2870}"/>
                </c:ext>
              </c:extLst>
            </c:dLbl>
            <c:dLbl>
              <c:idx val="10"/>
              <c:layout>
                <c:manualLayout>
                  <c:x val="1.3327091611613565E-2"/>
                  <c:y val="3.902719037849526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15:layout>
                    <c:manualLayout>
                      <c:w val="3.9525334584724896E-2"/>
                      <c:h val="0.10985340806198352"/>
                    </c:manualLayout>
                  </c15:layout>
                </c:ext>
                <c:ext xmlns:c16="http://schemas.microsoft.com/office/drawing/2014/chart" uri="{C3380CC4-5D6E-409C-BE32-E72D297353CC}">
                  <c16:uniqueId val="{0000000F-EDD3-405C-80B7-52634AAF287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VBG!$A$222:$A$232</c:f>
              <c:strCache>
                <c:ptCount val="11"/>
                <c:pt idx="0">
                  <c:v>Santiago Norte </c:v>
                </c:pt>
                <c:pt idx="1">
                  <c:v>Maio </c:v>
                </c:pt>
                <c:pt idx="2">
                  <c:v>Fogo </c:v>
                </c:pt>
                <c:pt idx="3">
                  <c:v>São Nicolau </c:v>
                </c:pt>
                <c:pt idx="4">
                  <c:v>Boavista </c:v>
                </c:pt>
                <c:pt idx="5">
                  <c:v>Santiago Sul </c:v>
                </c:pt>
                <c:pt idx="6">
                  <c:v>São Vicente </c:v>
                </c:pt>
                <c:pt idx="7">
                  <c:v>Santo Antão </c:v>
                </c:pt>
                <c:pt idx="8">
                  <c:v>Sal </c:v>
                </c:pt>
                <c:pt idx="9">
                  <c:v>Brava </c:v>
                </c:pt>
                <c:pt idx="10">
                  <c:v>Média nacional</c:v>
                </c:pt>
              </c:strCache>
            </c:strRef>
          </c:cat>
          <c:val>
            <c:numRef>
              <c:f>VBG!$D$222:$D$232</c:f>
              <c:numCache>
                <c:formatCode>General</c:formatCode>
                <c:ptCount val="11"/>
                <c:pt idx="0">
                  <c:v>10.6</c:v>
                </c:pt>
                <c:pt idx="1">
                  <c:v>12.4</c:v>
                </c:pt>
                <c:pt idx="2">
                  <c:v>8.3000000000000007</c:v>
                </c:pt>
                <c:pt idx="3">
                  <c:v>12.9</c:v>
                </c:pt>
                <c:pt idx="4">
                  <c:v>8.5</c:v>
                </c:pt>
                <c:pt idx="5">
                  <c:v>14.1</c:v>
                </c:pt>
                <c:pt idx="6">
                  <c:v>15.6</c:v>
                </c:pt>
                <c:pt idx="7">
                  <c:v>17.7</c:v>
                </c:pt>
                <c:pt idx="8">
                  <c:v>19.2</c:v>
                </c:pt>
                <c:pt idx="9">
                  <c:v>20.100000000000001</c:v>
                </c:pt>
                <c:pt idx="10">
                  <c:v>13.8</c:v>
                </c:pt>
              </c:numCache>
            </c:numRef>
          </c:val>
          <c:extLst>
            <c:ext xmlns:c16="http://schemas.microsoft.com/office/drawing/2014/chart" uri="{C3380CC4-5D6E-409C-BE32-E72D297353CC}">
              <c16:uniqueId val="{00000019-EDD3-405C-80B7-52634AAF2870}"/>
            </c:ext>
          </c:extLst>
        </c:ser>
        <c:ser>
          <c:idx val="3"/>
          <c:order val="3"/>
          <c:tx>
            <c:strRef>
              <c:f>VBG!$E$221</c:f>
              <c:strCache>
                <c:ptCount val="1"/>
                <c:pt idx="0">
                  <c:v>Violência sexual</c:v>
                </c:pt>
              </c:strCache>
            </c:strRef>
          </c:tx>
          <c:spPr>
            <a:solidFill>
              <a:schemeClr val="accent1">
                <a:tint val="58000"/>
              </a:schemeClr>
            </a:solidFill>
            <a:ln>
              <a:noFill/>
            </a:ln>
            <a:effectLst/>
          </c:spPr>
          <c:invertIfNegative val="0"/>
          <c:dPt>
            <c:idx val="10"/>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1B-EDD3-405C-80B7-52634AAF2870}"/>
              </c:ext>
            </c:extLst>
          </c:dPt>
          <c:dLbls>
            <c:dLbl>
              <c:idx val="0"/>
              <c:layout>
                <c:manualLayout>
                  <c:x val="1.1796007805128753E-2"/>
                  <c:y val="0"/>
                </c:manualLayout>
              </c:layout>
              <c:showLegendKey val="0"/>
              <c:showVal val="1"/>
              <c:showCatName val="0"/>
              <c:showSerName val="0"/>
              <c:showPercent val="0"/>
              <c:showBubbleSize val="0"/>
              <c:extLst>
                <c:ext xmlns:c15="http://schemas.microsoft.com/office/drawing/2012/chart" uri="{CE6537A1-D6FC-4f65-9D91-7224C49458BB}">
                  <c15:layout>
                    <c:manualLayout>
                      <c:w val="3.3913299911530519E-2"/>
                      <c:h val="5.8224163027656477E-2"/>
                    </c:manualLayout>
                  </c15:layout>
                </c:ext>
                <c:ext xmlns:c16="http://schemas.microsoft.com/office/drawing/2014/chart" uri="{C3380CC4-5D6E-409C-BE32-E72D297353CC}">
                  <c16:uniqueId val="{0000001C-EDD3-405C-80B7-52634AAF2870}"/>
                </c:ext>
              </c:extLst>
            </c:dLbl>
            <c:dLbl>
              <c:idx val="1"/>
              <c:layout>
                <c:manualLayout>
                  <c:x val="3.931976801336835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DD3-405C-80B7-52634AAF2870}"/>
                </c:ext>
              </c:extLst>
            </c:dLbl>
            <c:dLbl>
              <c:idx val="2"/>
              <c:layout>
                <c:manualLayout>
                  <c:x val="1.3761918804679016E-2"/>
                  <c:y val="-8.895255481586020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DD3-405C-80B7-52634AAF287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VBG!$A$222:$A$232</c:f>
              <c:strCache>
                <c:ptCount val="11"/>
                <c:pt idx="0">
                  <c:v>Santiago Norte </c:v>
                </c:pt>
                <c:pt idx="1">
                  <c:v>Maio </c:v>
                </c:pt>
                <c:pt idx="2">
                  <c:v>Fogo </c:v>
                </c:pt>
                <c:pt idx="3">
                  <c:v>São Nicolau </c:v>
                </c:pt>
                <c:pt idx="4">
                  <c:v>Boavista </c:v>
                </c:pt>
                <c:pt idx="5">
                  <c:v>Santiago Sul </c:v>
                </c:pt>
                <c:pt idx="6">
                  <c:v>São Vicente </c:v>
                </c:pt>
                <c:pt idx="7">
                  <c:v>Santo Antão </c:v>
                </c:pt>
                <c:pt idx="8">
                  <c:v>Sal </c:v>
                </c:pt>
                <c:pt idx="9">
                  <c:v>Brava </c:v>
                </c:pt>
                <c:pt idx="10">
                  <c:v>Média nacional</c:v>
                </c:pt>
              </c:strCache>
            </c:strRef>
          </c:cat>
          <c:val>
            <c:numRef>
              <c:f>VBG!$E$222:$E$232</c:f>
              <c:numCache>
                <c:formatCode>General</c:formatCode>
                <c:ptCount val="11"/>
                <c:pt idx="0">
                  <c:v>3.3</c:v>
                </c:pt>
                <c:pt idx="1">
                  <c:v>4.3</c:v>
                </c:pt>
                <c:pt idx="2">
                  <c:v>2.2999999999999998</c:v>
                </c:pt>
                <c:pt idx="3">
                  <c:v>4.5999999999999996</c:v>
                </c:pt>
                <c:pt idx="4">
                  <c:v>2.2999999999999998</c:v>
                </c:pt>
                <c:pt idx="5">
                  <c:v>3.6</c:v>
                </c:pt>
                <c:pt idx="6">
                  <c:v>3.3</c:v>
                </c:pt>
                <c:pt idx="7">
                  <c:v>3.6</c:v>
                </c:pt>
                <c:pt idx="8">
                  <c:v>7.7</c:v>
                </c:pt>
                <c:pt idx="9">
                  <c:v>6</c:v>
                </c:pt>
                <c:pt idx="10">
                  <c:v>3.7</c:v>
                </c:pt>
              </c:numCache>
            </c:numRef>
          </c:val>
          <c:extLst>
            <c:ext xmlns:c16="http://schemas.microsoft.com/office/drawing/2014/chart" uri="{C3380CC4-5D6E-409C-BE32-E72D297353CC}">
              <c16:uniqueId val="{0000001F-EDD3-405C-80B7-52634AAF2870}"/>
            </c:ext>
          </c:extLst>
        </c:ser>
        <c:dLbls>
          <c:showLegendKey val="0"/>
          <c:showVal val="0"/>
          <c:showCatName val="0"/>
          <c:showSerName val="0"/>
          <c:showPercent val="0"/>
          <c:showBubbleSize val="0"/>
        </c:dLbls>
        <c:gapWidth val="219"/>
        <c:overlap val="-27"/>
        <c:axId val="560074720"/>
        <c:axId val="560073736"/>
      </c:barChart>
      <c:catAx>
        <c:axId val="56007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60073736"/>
        <c:crosses val="autoZero"/>
        <c:auto val="1"/>
        <c:lblAlgn val="ctr"/>
        <c:lblOffset val="100"/>
        <c:noMultiLvlLbl val="0"/>
      </c:catAx>
      <c:valAx>
        <c:axId val="560073736"/>
        <c:scaling>
          <c:orientation val="minMax"/>
        </c:scaling>
        <c:delete val="1"/>
        <c:axPos val="l"/>
        <c:numFmt formatCode="General" sourceLinked="1"/>
        <c:majorTickMark val="none"/>
        <c:minorTickMark val="none"/>
        <c:tickLblPos val="nextTo"/>
        <c:crossAx val="560074720"/>
        <c:crosses val="autoZero"/>
        <c:crossBetween val="between"/>
      </c:valAx>
      <c:spPr>
        <a:noFill/>
        <a:ln>
          <a:noFill/>
        </a:ln>
        <a:effectLst/>
      </c:spPr>
    </c:plotArea>
    <c:legend>
      <c:legendPos val="b"/>
      <c:layout>
        <c:manualLayout>
          <c:xMode val="edge"/>
          <c:yMode val="edge"/>
          <c:x val="2.9444493826225025E-2"/>
          <c:y val="1.4287875476962902E-2"/>
          <c:w val="0.30151364551846049"/>
          <c:h val="0.26463666773125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
          <c:y val="5.5555555555555552E-2"/>
          <c:w val="0.99811579968725228"/>
          <c:h val="0.78213692038495175"/>
        </c:manualLayout>
      </c:layout>
      <c:barChart>
        <c:barDir val="col"/>
        <c:grouping val="clustered"/>
        <c:varyColors val="0"/>
        <c:ser>
          <c:idx val="0"/>
          <c:order val="0"/>
          <c:tx>
            <c:strRef>
              <c:f>VBG!$B$118</c:f>
              <c:strCache>
                <c:ptCount val="1"/>
                <c:pt idx="0">
                  <c:v>2018</c:v>
                </c:pt>
              </c:strCache>
            </c:strRef>
          </c:tx>
          <c:spPr>
            <a:solidFill>
              <a:schemeClr val="accent2">
                <a:shade val="76000"/>
              </a:schemeClr>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1-5365-4C95-AE16-6A7E7CFA83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VBG!$A$119:$A$127</c:f>
              <c:strCache>
                <c:ptCount val="9"/>
                <c:pt idx="0">
                  <c:v>TOTAL</c:v>
                </c:pt>
                <c:pt idx="1">
                  <c:v>Rural</c:v>
                </c:pt>
                <c:pt idx="2">
                  <c:v>Urbano</c:v>
                </c:pt>
                <c:pt idx="3">
                  <c:v>Sem instrução</c:v>
                </c:pt>
                <c:pt idx="4">
                  <c:v>Ensino básico</c:v>
                </c:pt>
                <c:pt idx="5">
                  <c:v>Não trabalha</c:v>
                </c:pt>
                <c:pt idx="6">
                  <c:v>Trabalha s/ remuneração</c:v>
                </c:pt>
                <c:pt idx="7">
                  <c:v>15-19 anos</c:v>
                </c:pt>
                <c:pt idx="8">
                  <c:v>20-24 anos</c:v>
                </c:pt>
              </c:strCache>
            </c:strRef>
          </c:cat>
          <c:val>
            <c:numRef>
              <c:f>VBG!$B$119:$B$127</c:f>
              <c:numCache>
                <c:formatCode>General</c:formatCode>
                <c:ptCount val="9"/>
                <c:pt idx="0">
                  <c:v>6.1</c:v>
                </c:pt>
                <c:pt idx="1">
                  <c:v>11.9</c:v>
                </c:pt>
                <c:pt idx="2">
                  <c:v>3.4</c:v>
                </c:pt>
                <c:pt idx="3">
                  <c:v>16.8</c:v>
                </c:pt>
                <c:pt idx="4">
                  <c:v>7.7</c:v>
                </c:pt>
                <c:pt idx="5">
                  <c:v>7.1</c:v>
                </c:pt>
                <c:pt idx="6">
                  <c:v>4.4000000000000004</c:v>
                </c:pt>
                <c:pt idx="7">
                  <c:v>7.4</c:v>
                </c:pt>
                <c:pt idx="8">
                  <c:v>5.8</c:v>
                </c:pt>
              </c:numCache>
            </c:numRef>
          </c:val>
          <c:extLst>
            <c:ext xmlns:c16="http://schemas.microsoft.com/office/drawing/2014/chart" uri="{C3380CC4-5D6E-409C-BE32-E72D297353CC}">
              <c16:uniqueId val="{00000002-5365-4C95-AE16-6A7E7CFA8395}"/>
            </c:ext>
          </c:extLst>
        </c:ser>
        <c:ser>
          <c:idx val="1"/>
          <c:order val="1"/>
          <c:tx>
            <c:strRef>
              <c:f>VBG!$C$118</c:f>
              <c:strCache>
                <c:ptCount val="1"/>
                <c:pt idx="0">
                  <c:v>2005</c:v>
                </c:pt>
              </c:strCache>
            </c:strRef>
          </c:tx>
          <c:spPr>
            <a:solidFill>
              <a:schemeClr val="accent2">
                <a:tint val="77000"/>
              </a:schemeClr>
            </a:solidFill>
            <a:ln>
              <a:noFill/>
            </a:ln>
            <a:effectLst/>
          </c:spPr>
          <c:invertIfNegative val="0"/>
          <c:dPt>
            <c:idx val="0"/>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4-5365-4C95-AE16-6A7E7CFA83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VBG!$A$119:$A$127</c:f>
              <c:strCache>
                <c:ptCount val="9"/>
                <c:pt idx="0">
                  <c:v>TOTAL</c:v>
                </c:pt>
                <c:pt idx="1">
                  <c:v>Rural</c:v>
                </c:pt>
                <c:pt idx="2">
                  <c:v>Urbano</c:v>
                </c:pt>
                <c:pt idx="3">
                  <c:v>Sem instrução</c:v>
                </c:pt>
                <c:pt idx="4">
                  <c:v>Ensino básico</c:v>
                </c:pt>
                <c:pt idx="5">
                  <c:v>Não trabalha</c:v>
                </c:pt>
                <c:pt idx="6">
                  <c:v>Trabalha s/ remuneração</c:v>
                </c:pt>
                <c:pt idx="7">
                  <c:v>15-19 anos</c:v>
                </c:pt>
                <c:pt idx="8">
                  <c:v>20-24 anos</c:v>
                </c:pt>
              </c:strCache>
            </c:strRef>
          </c:cat>
          <c:val>
            <c:numRef>
              <c:f>VBG!$C$119:$C$127</c:f>
              <c:numCache>
                <c:formatCode>General</c:formatCode>
                <c:ptCount val="9"/>
                <c:pt idx="0">
                  <c:v>17.3</c:v>
                </c:pt>
                <c:pt idx="1">
                  <c:v>25.8</c:v>
                </c:pt>
                <c:pt idx="2">
                  <c:v>10.5</c:v>
                </c:pt>
                <c:pt idx="3">
                  <c:v>20.399999999999999</c:v>
                </c:pt>
                <c:pt idx="4">
                  <c:v>22</c:v>
                </c:pt>
                <c:pt idx="5">
                  <c:v>19.600000000000001</c:v>
                </c:pt>
                <c:pt idx="6">
                  <c:v>19</c:v>
                </c:pt>
                <c:pt idx="7">
                  <c:v>22.5</c:v>
                </c:pt>
                <c:pt idx="8">
                  <c:v>16.100000000000001</c:v>
                </c:pt>
              </c:numCache>
            </c:numRef>
          </c:val>
          <c:extLst>
            <c:ext xmlns:c16="http://schemas.microsoft.com/office/drawing/2014/chart" uri="{C3380CC4-5D6E-409C-BE32-E72D297353CC}">
              <c16:uniqueId val="{00000005-5365-4C95-AE16-6A7E7CFA8395}"/>
            </c:ext>
          </c:extLst>
        </c:ser>
        <c:dLbls>
          <c:showLegendKey val="0"/>
          <c:showVal val="0"/>
          <c:showCatName val="0"/>
          <c:showSerName val="0"/>
          <c:showPercent val="0"/>
          <c:showBubbleSize val="0"/>
        </c:dLbls>
        <c:gapWidth val="219"/>
        <c:overlap val="-27"/>
        <c:axId val="625845616"/>
        <c:axId val="625846272"/>
      </c:barChart>
      <c:catAx>
        <c:axId val="62584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625846272"/>
        <c:crosses val="autoZero"/>
        <c:auto val="1"/>
        <c:lblAlgn val="ctr"/>
        <c:lblOffset val="100"/>
        <c:noMultiLvlLbl val="0"/>
      </c:catAx>
      <c:valAx>
        <c:axId val="625846272"/>
        <c:scaling>
          <c:orientation val="minMax"/>
        </c:scaling>
        <c:delete val="1"/>
        <c:axPos val="l"/>
        <c:numFmt formatCode="General" sourceLinked="1"/>
        <c:majorTickMark val="none"/>
        <c:minorTickMark val="none"/>
        <c:tickLblPos val="nextTo"/>
        <c:crossAx val="625845616"/>
        <c:crosses val="autoZero"/>
        <c:crossBetween val="between"/>
      </c:valAx>
      <c:spPr>
        <a:noFill/>
        <a:ln>
          <a:noFill/>
        </a:ln>
        <a:effectLst/>
      </c:spPr>
    </c:plotArea>
    <c:legend>
      <c:legendPos val="b"/>
      <c:layout>
        <c:manualLayout>
          <c:xMode val="edge"/>
          <c:yMode val="edge"/>
          <c:x val="0.58500529625706477"/>
          <c:y val="1.2202563093366581E-2"/>
          <c:w val="0.273004088858601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1.9810522351147393E-2"/>
          <c:y val="1.8518518518518517E-2"/>
          <c:w val="0.96037895529770523"/>
          <c:h val="0.8043863192434747"/>
        </c:manualLayout>
      </c:layout>
      <c:barChart>
        <c:barDir val="col"/>
        <c:grouping val="clustered"/>
        <c:varyColors val="0"/>
        <c:ser>
          <c:idx val="0"/>
          <c:order val="0"/>
          <c:tx>
            <c:strRef>
              <c:f>VBG!$B$104</c:f>
              <c:strCache>
                <c:ptCount val="1"/>
                <c:pt idx="0">
                  <c:v>2018</c:v>
                </c:pt>
              </c:strCache>
            </c:strRef>
          </c:tx>
          <c:spPr>
            <a:solidFill>
              <a:schemeClr val="accent6">
                <a:shade val="76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C5D3-4270-8BBD-E5893D89AF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VBG!$A$105:$A$111</c:f>
              <c:strCache>
                <c:ptCount val="7"/>
                <c:pt idx="0">
                  <c:v>TOTAL</c:v>
                </c:pt>
                <c:pt idx="1">
                  <c:v>Rural</c:v>
                </c:pt>
                <c:pt idx="2">
                  <c:v>Urbano</c:v>
                </c:pt>
                <c:pt idx="3">
                  <c:v>Ensino básico</c:v>
                </c:pt>
                <c:pt idx="4">
                  <c:v>Ensino secundário</c:v>
                </c:pt>
                <c:pt idx="5">
                  <c:v>15-19 anos</c:v>
                </c:pt>
                <c:pt idx="6">
                  <c:v>20-24 anos</c:v>
                </c:pt>
              </c:strCache>
            </c:strRef>
          </c:cat>
          <c:val>
            <c:numRef>
              <c:f>VBG!$B$105:$B$111</c:f>
              <c:numCache>
                <c:formatCode>General</c:formatCode>
                <c:ptCount val="7"/>
                <c:pt idx="0">
                  <c:v>4.5</c:v>
                </c:pt>
                <c:pt idx="1">
                  <c:v>4.5999999999999996</c:v>
                </c:pt>
                <c:pt idx="2">
                  <c:v>4.5999999999999996</c:v>
                </c:pt>
                <c:pt idx="3">
                  <c:v>6.6</c:v>
                </c:pt>
                <c:pt idx="4">
                  <c:v>4.5999999999999996</c:v>
                </c:pt>
                <c:pt idx="5">
                  <c:v>6.3</c:v>
                </c:pt>
                <c:pt idx="6">
                  <c:v>3</c:v>
                </c:pt>
              </c:numCache>
            </c:numRef>
          </c:val>
          <c:extLst>
            <c:ext xmlns:c16="http://schemas.microsoft.com/office/drawing/2014/chart" uri="{C3380CC4-5D6E-409C-BE32-E72D297353CC}">
              <c16:uniqueId val="{00000002-C5D3-4270-8BBD-E5893D89AF72}"/>
            </c:ext>
          </c:extLst>
        </c:ser>
        <c:ser>
          <c:idx val="1"/>
          <c:order val="1"/>
          <c:tx>
            <c:strRef>
              <c:f>VBG!$C$104</c:f>
              <c:strCache>
                <c:ptCount val="1"/>
                <c:pt idx="0">
                  <c:v>2005</c:v>
                </c:pt>
              </c:strCache>
            </c:strRef>
          </c:tx>
          <c:spPr>
            <a:solidFill>
              <a:schemeClr val="accent6">
                <a:tint val="77000"/>
              </a:schemeClr>
            </a:solidFill>
            <a:ln>
              <a:noFill/>
            </a:ln>
            <a:effectLst/>
          </c:spPr>
          <c:invertIfNegative val="0"/>
          <c:dPt>
            <c:idx val="0"/>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4-C5D3-4270-8BBD-E5893D89AF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VBG!$A$105:$A$111</c:f>
              <c:strCache>
                <c:ptCount val="7"/>
                <c:pt idx="0">
                  <c:v>TOTAL</c:v>
                </c:pt>
                <c:pt idx="1">
                  <c:v>Rural</c:v>
                </c:pt>
                <c:pt idx="2">
                  <c:v>Urbano</c:v>
                </c:pt>
                <c:pt idx="3">
                  <c:v>Ensino básico</c:v>
                </c:pt>
                <c:pt idx="4">
                  <c:v>Ensino secundário</c:v>
                </c:pt>
                <c:pt idx="5">
                  <c:v>15-19 anos</c:v>
                </c:pt>
                <c:pt idx="6">
                  <c:v>20-24 anos</c:v>
                </c:pt>
              </c:strCache>
            </c:strRef>
          </c:cat>
          <c:val>
            <c:numRef>
              <c:f>VBG!$C$105:$C$111</c:f>
              <c:numCache>
                <c:formatCode>General</c:formatCode>
                <c:ptCount val="7"/>
                <c:pt idx="0">
                  <c:v>16.3</c:v>
                </c:pt>
                <c:pt idx="1">
                  <c:v>12</c:v>
                </c:pt>
                <c:pt idx="2">
                  <c:v>21.9</c:v>
                </c:pt>
                <c:pt idx="3">
                  <c:v>18</c:v>
                </c:pt>
                <c:pt idx="4">
                  <c:v>16.399999999999999</c:v>
                </c:pt>
                <c:pt idx="5">
                  <c:v>24.2</c:v>
                </c:pt>
                <c:pt idx="6">
                  <c:v>16.899999999999999</c:v>
                </c:pt>
              </c:numCache>
            </c:numRef>
          </c:val>
          <c:extLst>
            <c:ext xmlns:c16="http://schemas.microsoft.com/office/drawing/2014/chart" uri="{C3380CC4-5D6E-409C-BE32-E72D297353CC}">
              <c16:uniqueId val="{00000005-C5D3-4270-8BBD-E5893D89AF72}"/>
            </c:ext>
          </c:extLst>
        </c:ser>
        <c:dLbls>
          <c:showLegendKey val="0"/>
          <c:showVal val="0"/>
          <c:showCatName val="0"/>
          <c:showSerName val="0"/>
          <c:showPercent val="0"/>
          <c:showBubbleSize val="0"/>
        </c:dLbls>
        <c:gapWidth val="219"/>
        <c:overlap val="-27"/>
        <c:axId val="504537952"/>
        <c:axId val="504538280"/>
      </c:barChart>
      <c:catAx>
        <c:axId val="50453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4538280"/>
        <c:crosses val="autoZero"/>
        <c:auto val="1"/>
        <c:lblAlgn val="ctr"/>
        <c:lblOffset val="100"/>
        <c:noMultiLvlLbl val="0"/>
      </c:catAx>
      <c:valAx>
        <c:axId val="504538280"/>
        <c:scaling>
          <c:orientation val="minMax"/>
        </c:scaling>
        <c:delete val="1"/>
        <c:axPos val="l"/>
        <c:numFmt formatCode="General" sourceLinked="1"/>
        <c:majorTickMark val="none"/>
        <c:minorTickMark val="none"/>
        <c:tickLblPos val="nextTo"/>
        <c:crossAx val="504537952"/>
        <c:crosses val="autoZero"/>
        <c:crossBetween val="between"/>
      </c:valAx>
      <c:spPr>
        <a:noFill/>
        <a:ln>
          <a:noFill/>
        </a:ln>
        <a:effectLst/>
      </c:spPr>
    </c:plotArea>
    <c:legend>
      <c:legendPos val="b"/>
      <c:layout>
        <c:manualLayout>
          <c:xMode val="edge"/>
          <c:yMode val="edge"/>
          <c:x val="3.5800180606165133E-2"/>
          <c:y val="7.928186060075823E-2"/>
          <c:w val="0.1846045723309539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1.2522007318160895E-2"/>
          <c:y val="4.7155656194565569E-3"/>
          <c:w val="0.9874733359960024"/>
          <c:h val="0.82194606114734037"/>
        </c:manualLayout>
      </c:layout>
      <c:barChart>
        <c:barDir val="col"/>
        <c:grouping val="clustered"/>
        <c:varyColors val="0"/>
        <c:ser>
          <c:idx val="0"/>
          <c:order val="0"/>
          <c:tx>
            <c:strRef>
              <c:f>VBG!$B$153</c:f>
              <c:strCache>
                <c:ptCount val="1"/>
                <c:pt idx="0">
                  <c:v>2018</c:v>
                </c:pt>
              </c:strCache>
            </c:strRef>
          </c:tx>
          <c:spPr>
            <a:solidFill>
              <a:schemeClr val="accent1">
                <a:shade val="76000"/>
              </a:schemeClr>
            </a:solidFill>
            <a:ln>
              <a:noFill/>
            </a:ln>
            <a:effectLst/>
          </c:spPr>
          <c:invertIfNegative val="0"/>
          <c:dLbls>
            <c:dLbl>
              <c:idx val="0"/>
              <c:layout>
                <c:manualLayout>
                  <c:x val="-1.646284101599247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75-4046-8686-5976ECBF8F85}"/>
                </c:ext>
              </c:extLst>
            </c:dLbl>
            <c:dLbl>
              <c:idx val="1"/>
              <c:layout>
                <c:manualLayout>
                  <c:x val="-1.17591721542803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75-4046-8686-5976ECBF8F85}"/>
                </c:ext>
              </c:extLst>
            </c:dLbl>
            <c:dLbl>
              <c:idx val="2"/>
              <c:layout>
                <c:manualLayout>
                  <c:x val="-1.6462841015992474E-2"/>
                  <c:y val="-5.8021467943138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75-4046-8686-5976ECBF8F85}"/>
                </c:ext>
              </c:extLst>
            </c:dLbl>
            <c:dLbl>
              <c:idx val="3"/>
              <c:layout>
                <c:manualLayout>
                  <c:x val="-1.881467544684854E-2"/>
                  <c:y val="-5.8021467943138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75-4046-8686-5976ECBF8F85}"/>
                </c:ext>
              </c:extLst>
            </c:dLbl>
            <c:dLbl>
              <c:idx val="5"/>
              <c:layout>
                <c:manualLayout>
                  <c:x val="-1.1759172154280339E-2"/>
                  <c:y val="-5.8021467943138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75-4046-8686-5976ECBF8F85}"/>
                </c:ext>
              </c:extLst>
            </c:dLbl>
            <c:dLbl>
              <c:idx val="7"/>
              <c:layout>
                <c:manualLayout>
                  <c:x val="-7.0555032925681167E-3"/>
                  <c:y val="-1.740644038294168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15:layout>
                    <c:manualLayout>
                      <c:w val="5.0352775164628411E-2"/>
                      <c:h val="8.7757698694973837E-2"/>
                    </c:manualLayout>
                  </c15:layout>
                </c:ext>
                <c:ext xmlns:c16="http://schemas.microsoft.com/office/drawing/2014/chart" uri="{C3380CC4-5D6E-409C-BE32-E72D297353CC}">
                  <c16:uniqueId val="{00000005-0675-4046-8686-5976ECBF8F85}"/>
                </c:ext>
              </c:extLst>
            </c:dLbl>
            <c:dLbl>
              <c:idx val="8"/>
              <c:layout>
                <c:manualLayout>
                  <c:x val="-1.4111006585136407E-2"/>
                  <c:y val="-1.063714624168772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75-4046-8686-5976ECBF8F85}"/>
                </c:ext>
              </c:extLst>
            </c:dLbl>
            <c:dLbl>
              <c:idx val="9"/>
              <c:layout>
                <c:manualLayout>
                  <c:x val="-2.3518344308560677E-2"/>
                  <c:y val="-5.80214679431389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75-4046-8686-5976ECBF8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VBG!$A$154:$A$163</c:f>
              <c:strCache>
                <c:ptCount val="10"/>
                <c:pt idx="0">
                  <c:v>Santiago Norte </c:v>
                </c:pt>
                <c:pt idx="1">
                  <c:v>Maio </c:v>
                </c:pt>
                <c:pt idx="2">
                  <c:v>Brava </c:v>
                </c:pt>
                <c:pt idx="3">
                  <c:v>Fogo </c:v>
                </c:pt>
                <c:pt idx="4">
                  <c:v>São Nicolau </c:v>
                </c:pt>
                <c:pt idx="5">
                  <c:v>Santo Antão </c:v>
                </c:pt>
                <c:pt idx="6">
                  <c:v>Boa Vista </c:v>
                </c:pt>
                <c:pt idx="7">
                  <c:v>Santiago Sul </c:v>
                </c:pt>
                <c:pt idx="8">
                  <c:v>São Vicente </c:v>
                </c:pt>
                <c:pt idx="9">
                  <c:v>Sal </c:v>
                </c:pt>
              </c:strCache>
            </c:strRef>
          </c:cat>
          <c:val>
            <c:numRef>
              <c:f>VBG!$B$154:$B$163</c:f>
              <c:numCache>
                <c:formatCode>General</c:formatCode>
                <c:ptCount val="10"/>
                <c:pt idx="0">
                  <c:v>18.5</c:v>
                </c:pt>
                <c:pt idx="1">
                  <c:v>8.3000000000000007</c:v>
                </c:pt>
                <c:pt idx="2">
                  <c:v>6.9</c:v>
                </c:pt>
                <c:pt idx="3">
                  <c:v>5.9</c:v>
                </c:pt>
                <c:pt idx="4">
                  <c:v>4.4000000000000004</c:v>
                </c:pt>
                <c:pt idx="5">
                  <c:v>3.9</c:v>
                </c:pt>
                <c:pt idx="6">
                  <c:v>2.4</c:v>
                </c:pt>
                <c:pt idx="7">
                  <c:v>1.9</c:v>
                </c:pt>
                <c:pt idx="8">
                  <c:v>1.8</c:v>
                </c:pt>
                <c:pt idx="9">
                  <c:v>1.2</c:v>
                </c:pt>
              </c:numCache>
            </c:numRef>
          </c:val>
          <c:extLst>
            <c:ext xmlns:c16="http://schemas.microsoft.com/office/drawing/2014/chart" uri="{C3380CC4-5D6E-409C-BE32-E72D297353CC}">
              <c16:uniqueId val="{00000008-0675-4046-8686-5976ECBF8F85}"/>
            </c:ext>
          </c:extLst>
        </c:ser>
        <c:ser>
          <c:idx val="1"/>
          <c:order val="1"/>
          <c:tx>
            <c:strRef>
              <c:f>VBG!$C$153</c:f>
              <c:strCache>
                <c:ptCount val="1"/>
                <c:pt idx="0">
                  <c:v>2005</c:v>
                </c:pt>
              </c:strCache>
            </c:strRef>
          </c:tx>
          <c:spPr>
            <a:solidFill>
              <a:schemeClr val="accent1">
                <a:tint val="77000"/>
              </a:schemeClr>
            </a:solidFill>
            <a:ln>
              <a:noFill/>
            </a:ln>
            <a:effectLst/>
          </c:spPr>
          <c:invertIfNegative val="0"/>
          <c:dLbls>
            <c:dLbl>
              <c:idx val="4"/>
              <c:layout>
                <c:manualLayout>
                  <c:x val="9.4073377234241851E-3"/>
                  <c:y val="5.80214679431378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75-4046-8686-5976ECBF8F85}"/>
                </c:ext>
              </c:extLst>
            </c:dLbl>
            <c:dLbl>
              <c:idx val="6"/>
              <c:layout>
                <c:manualLayout>
                  <c:x val="9.4073377234242701E-3"/>
                  <c:y val="5.80214679431378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75-4046-8686-5976ECBF8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VBG!$A$154:$A$163</c:f>
              <c:strCache>
                <c:ptCount val="10"/>
                <c:pt idx="0">
                  <c:v>Santiago Norte </c:v>
                </c:pt>
                <c:pt idx="1">
                  <c:v>Maio </c:v>
                </c:pt>
                <c:pt idx="2">
                  <c:v>Brava </c:v>
                </c:pt>
                <c:pt idx="3">
                  <c:v>Fogo </c:v>
                </c:pt>
                <c:pt idx="4">
                  <c:v>São Nicolau </c:v>
                </c:pt>
                <c:pt idx="5">
                  <c:v>Santo Antão </c:v>
                </c:pt>
                <c:pt idx="6">
                  <c:v>Boa Vista </c:v>
                </c:pt>
                <c:pt idx="7">
                  <c:v>Santiago Sul </c:v>
                </c:pt>
                <c:pt idx="8">
                  <c:v>São Vicente </c:v>
                </c:pt>
                <c:pt idx="9">
                  <c:v>Sal </c:v>
                </c:pt>
              </c:strCache>
            </c:strRef>
          </c:cat>
          <c:val>
            <c:numRef>
              <c:f>VBG!$C$154:$C$163</c:f>
              <c:numCache>
                <c:formatCode>General</c:formatCode>
                <c:ptCount val="10"/>
                <c:pt idx="0">
                  <c:v>23.5</c:v>
                </c:pt>
                <c:pt idx="1">
                  <c:v>13.3</c:v>
                </c:pt>
                <c:pt idx="2">
                  <c:v>22.3</c:v>
                </c:pt>
                <c:pt idx="3">
                  <c:v>36.6</c:v>
                </c:pt>
                <c:pt idx="4">
                  <c:v>0.8</c:v>
                </c:pt>
                <c:pt idx="5">
                  <c:v>8.8000000000000007</c:v>
                </c:pt>
                <c:pt idx="6">
                  <c:v>1.3</c:v>
                </c:pt>
                <c:pt idx="7">
                  <c:v>11.7</c:v>
                </c:pt>
                <c:pt idx="8">
                  <c:v>11.1</c:v>
                </c:pt>
                <c:pt idx="9">
                  <c:v>7.8</c:v>
                </c:pt>
              </c:numCache>
            </c:numRef>
          </c:val>
          <c:extLst>
            <c:ext xmlns:c16="http://schemas.microsoft.com/office/drawing/2014/chart" uri="{C3380CC4-5D6E-409C-BE32-E72D297353CC}">
              <c16:uniqueId val="{0000000B-0675-4046-8686-5976ECBF8F85}"/>
            </c:ext>
          </c:extLst>
        </c:ser>
        <c:dLbls>
          <c:showLegendKey val="0"/>
          <c:showVal val="0"/>
          <c:showCatName val="0"/>
          <c:showSerName val="0"/>
          <c:showPercent val="0"/>
          <c:showBubbleSize val="0"/>
        </c:dLbls>
        <c:gapWidth val="219"/>
        <c:axId val="504800328"/>
        <c:axId val="504798360"/>
      </c:barChart>
      <c:catAx>
        <c:axId val="50480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4798360"/>
        <c:crosses val="autoZero"/>
        <c:auto val="1"/>
        <c:lblAlgn val="ctr"/>
        <c:lblOffset val="100"/>
        <c:noMultiLvlLbl val="0"/>
      </c:catAx>
      <c:valAx>
        <c:axId val="504798360"/>
        <c:scaling>
          <c:orientation val="minMax"/>
        </c:scaling>
        <c:delete val="1"/>
        <c:axPos val="l"/>
        <c:numFmt formatCode="General" sourceLinked="1"/>
        <c:majorTickMark val="none"/>
        <c:minorTickMark val="none"/>
        <c:tickLblPos val="nextTo"/>
        <c:crossAx val="504800328"/>
        <c:crosses val="autoZero"/>
        <c:crossBetween val="between"/>
      </c:valAx>
      <c:spPr>
        <a:noFill/>
        <a:ln>
          <a:noFill/>
        </a:ln>
        <a:effectLst/>
      </c:spPr>
    </c:plotArea>
    <c:legend>
      <c:legendPos val="b"/>
      <c:layout>
        <c:manualLayout>
          <c:xMode val="edge"/>
          <c:yMode val="edge"/>
          <c:x val="0.6688858162722513"/>
          <c:y val="6.0763342082239678E-2"/>
          <c:w val="0.27837166442489036"/>
          <c:h val="8.08852258197090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1.5922781181025426E-3"/>
          <c:y val="7.649267253701527E-4"/>
          <c:w val="0.9874733359960024"/>
          <c:h val="0.82194606114734037"/>
        </c:manualLayout>
      </c:layout>
      <c:barChart>
        <c:barDir val="col"/>
        <c:grouping val="clustered"/>
        <c:varyColors val="0"/>
        <c:ser>
          <c:idx val="0"/>
          <c:order val="0"/>
          <c:tx>
            <c:strRef>
              <c:f>VBG!$B$116</c:f>
              <c:strCache>
                <c:ptCount val="1"/>
                <c:pt idx="0">
                  <c:v>2018</c:v>
                </c:pt>
              </c:strCache>
            </c:strRef>
          </c:tx>
          <c:spPr>
            <a:solidFill>
              <a:schemeClr val="accent6">
                <a:shade val="76000"/>
              </a:schemeClr>
            </a:solidFill>
            <a:ln>
              <a:noFill/>
            </a:ln>
            <a:effectLst/>
          </c:spPr>
          <c:invertIfNegative val="0"/>
          <c:dLbls>
            <c:dLbl>
              <c:idx val="0"/>
              <c:layout>
                <c:manualLayout>
                  <c:x val="-1.36476715675300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D0-4CB9-BE6E-E40A69EABFC2}"/>
                </c:ext>
              </c:extLst>
            </c:dLbl>
            <c:dLbl>
              <c:idx val="1"/>
              <c:layout>
                <c:manualLayout>
                  <c:x val="-2.04715073512950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D0-4CB9-BE6E-E40A69EABFC2}"/>
                </c:ext>
              </c:extLst>
            </c:dLbl>
            <c:dLbl>
              <c:idx val="3"/>
              <c:layout>
                <c:manualLayout>
                  <c:x val="-2.2746119279216673E-2"/>
                  <c:y val="9.2542833645492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D0-4CB9-BE6E-E40A69EABFC2}"/>
                </c:ext>
              </c:extLst>
            </c:dLbl>
            <c:dLbl>
              <c:idx val="4"/>
              <c:layout>
                <c:manualLayout>
                  <c:x val="-1.3647671567530087E-2"/>
                  <c:y val="-5.04784923862941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D0-4CB9-BE6E-E40A69EABFC2}"/>
                </c:ext>
              </c:extLst>
            </c:dLbl>
            <c:dLbl>
              <c:idx val="5"/>
              <c:layout>
                <c:manualLayout>
                  <c:x val="-1.2751421016063127E-2"/>
                  <c:y val="-3.95061789841437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D0-4CB9-BE6E-E40A69EABFC2}"/>
                </c:ext>
              </c:extLst>
            </c:dLbl>
            <c:dLbl>
              <c:idx val="6"/>
              <c:layout>
                <c:manualLayout>
                  <c:x val="-2.2770394671541315E-2"/>
                  <c:y val="-7.9013913329664762E-3"/>
                </c:manualLayout>
              </c:layout>
              <c:showLegendKey val="0"/>
              <c:showVal val="1"/>
              <c:showCatName val="0"/>
              <c:showSerName val="0"/>
              <c:showPercent val="0"/>
              <c:showBubbleSize val="0"/>
              <c:extLst>
                <c:ext xmlns:c15="http://schemas.microsoft.com/office/drawing/2012/chart" uri="{CE6537A1-D6FC-4f65-9D91-7224C49458BB}">
                  <c15:layout>
                    <c:manualLayout>
                      <c:w val="3.7097598716653385E-2"/>
                      <c:h val="5.5249546845462703E-2"/>
                    </c:manualLayout>
                  </c15:layout>
                </c:ext>
                <c:ext xmlns:c16="http://schemas.microsoft.com/office/drawing/2014/chart" uri="{C3380CC4-5D6E-409C-BE32-E72D297353CC}">
                  <c16:uniqueId val="{00000005-EED0-4CB9-BE6E-E40A69EABFC2}"/>
                </c:ext>
              </c:extLst>
            </c:dLbl>
            <c:dLbl>
              <c:idx val="7"/>
              <c:layout>
                <c:manualLayout>
                  <c:x val="-1.2751421016063061E-2"/>
                  <c:y val="-3.95061789841437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D0-4CB9-BE6E-E40A69EABFC2}"/>
                </c:ext>
              </c:extLst>
            </c:dLbl>
            <c:dLbl>
              <c:idx val="8"/>
              <c:layout>
                <c:manualLayout>
                  <c:x val="-1.8196895423373338E-2"/>
                  <c:y val="-1.5143547715887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D0-4CB9-BE6E-E40A69EABFC2}"/>
                </c:ext>
              </c:extLst>
            </c:dLbl>
            <c:dLbl>
              <c:idx val="9"/>
              <c:delete val="1"/>
              <c:extLst>
                <c:ext xmlns:c15="http://schemas.microsoft.com/office/drawing/2012/chart" uri="{CE6537A1-D6FC-4f65-9D91-7224C49458BB}"/>
                <c:ext xmlns:c16="http://schemas.microsoft.com/office/drawing/2014/chart" uri="{C3380CC4-5D6E-409C-BE32-E72D297353CC}">
                  <c16:uniqueId val="{00000008-EED0-4CB9-BE6E-E40A69EABF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VBG!$A$117:$A$126</c:f>
              <c:strCache>
                <c:ptCount val="10"/>
                <c:pt idx="0">
                  <c:v>Brava </c:v>
                </c:pt>
                <c:pt idx="1">
                  <c:v>Fogo </c:v>
                </c:pt>
                <c:pt idx="2">
                  <c:v>São Vicente </c:v>
                </c:pt>
                <c:pt idx="3">
                  <c:v>Santiago Sul </c:v>
                </c:pt>
                <c:pt idx="4">
                  <c:v>Sal </c:v>
                </c:pt>
                <c:pt idx="5">
                  <c:v>São Nicolau </c:v>
                </c:pt>
                <c:pt idx="6">
                  <c:v>Santiago Norte </c:v>
                </c:pt>
                <c:pt idx="7">
                  <c:v>Santo Antão </c:v>
                </c:pt>
                <c:pt idx="8">
                  <c:v>Maio </c:v>
                </c:pt>
                <c:pt idx="9">
                  <c:v>Boa Vista </c:v>
                </c:pt>
              </c:strCache>
            </c:strRef>
          </c:cat>
          <c:val>
            <c:numRef>
              <c:f>VBG!$B$117:$B$126</c:f>
              <c:numCache>
                <c:formatCode>General</c:formatCode>
                <c:ptCount val="10"/>
                <c:pt idx="0">
                  <c:v>13.9</c:v>
                </c:pt>
                <c:pt idx="1">
                  <c:v>11.4</c:v>
                </c:pt>
                <c:pt idx="2">
                  <c:v>5.4</c:v>
                </c:pt>
                <c:pt idx="3">
                  <c:v>5.3</c:v>
                </c:pt>
                <c:pt idx="4">
                  <c:v>4.4000000000000004</c:v>
                </c:pt>
                <c:pt idx="5">
                  <c:v>3.1</c:v>
                </c:pt>
                <c:pt idx="6">
                  <c:v>2.2999999999999998</c:v>
                </c:pt>
                <c:pt idx="7">
                  <c:v>1.7</c:v>
                </c:pt>
                <c:pt idx="8">
                  <c:v>0.7</c:v>
                </c:pt>
                <c:pt idx="9">
                  <c:v>0</c:v>
                </c:pt>
              </c:numCache>
            </c:numRef>
          </c:val>
          <c:extLst>
            <c:ext xmlns:c16="http://schemas.microsoft.com/office/drawing/2014/chart" uri="{C3380CC4-5D6E-409C-BE32-E72D297353CC}">
              <c16:uniqueId val="{00000009-EED0-4CB9-BE6E-E40A69EABFC2}"/>
            </c:ext>
          </c:extLst>
        </c:ser>
        <c:ser>
          <c:idx val="1"/>
          <c:order val="1"/>
          <c:tx>
            <c:strRef>
              <c:f>VBG!$C$116</c:f>
              <c:strCache>
                <c:ptCount val="1"/>
                <c:pt idx="0">
                  <c:v>2005</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VBG!$A$117:$A$126</c:f>
              <c:strCache>
                <c:ptCount val="10"/>
                <c:pt idx="0">
                  <c:v>Brava </c:v>
                </c:pt>
                <c:pt idx="1">
                  <c:v>Fogo </c:v>
                </c:pt>
                <c:pt idx="2">
                  <c:v>São Vicente </c:v>
                </c:pt>
                <c:pt idx="3">
                  <c:v>Santiago Sul </c:v>
                </c:pt>
                <c:pt idx="4">
                  <c:v>Sal </c:v>
                </c:pt>
                <c:pt idx="5">
                  <c:v>São Nicolau </c:v>
                </c:pt>
                <c:pt idx="6">
                  <c:v>Santiago Norte </c:v>
                </c:pt>
                <c:pt idx="7">
                  <c:v>Santo Antão </c:v>
                </c:pt>
                <c:pt idx="8">
                  <c:v>Maio </c:v>
                </c:pt>
                <c:pt idx="9">
                  <c:v>Boa Vista </c:v>
                </c:pt>
              </c:strCache>
            </c:strRef>
          </c:cat>
          <c:val>
            <c:numRef>
              <c:f>VBG!$C$117:$C$126</c:f>
              <c:numCache>
                <c:formatCode>General</c:formatCode>
                <c:ptCount val="10"/>
                <c:pt idx="0">
                  <c:v>49.2</c:v>
                </c:pt>
                <c:pt idx="1">
                  <c:v>30.6</c:v>
                </c:pt>
                <c:pt idx="2">
                  <c:v>12.6</c:v>
                </c:pt>
                <c:pt idx="3" formatCode="0.0">
                  <c:v>15.149535603715169</c:v>
                </c:pt>
                <c:pt idx="4">
                  <c:v>7.5</c:v>
                </c:pt>
                <c:pt idx="5">
                  <c:v>7.9</c:v>
                </c:pt>
                <c:pt idx="6">
                  <c:v>19.2</c:v>
                </c:pt>
                <c:pt idx="7">
                  <c:v>11.3</c:v>
                </c:pt>
                <c:pt idx="8">
                  <c:v>21.3</c:v>
                </c:pt>
                <c:pt idx="9">
                  <c:v>4.5999999999999996</c:v>
                </c:pt>
              </c:numCache>
            </c:numRef>
          </c:val>
          <c:extLst>
            <c:ext xmlns:c16="http://schemas.microsoft.com/office/drawing/2014/chart" uri="{C3380CC4-5D6E-409C-BE32-E72D297353CC}">
              <c16:uniqueId val="{0000000A-EED0-4CB9-BE6E-E40A69EABFC2}"/>
            </c:ext>
          </c:extLst>
        </c:ser>
        <c:dLbls>
          <c:showLegendKey val="0"/>
          <c:showVal val="0"/>
          <c:showCatName val="0"/>
          <c:showSerName val="0"/>
          <c:showPercent val="0"/>
          <c:showBubbleSize val="0"/>
        </c:dLbls>
        <c:gapWidth val="219"/>
        <c:axId val="504800328"/>
        <c:axId val="504798360"/>
      </c:barChart>
      <c:catAx>
        <c:axId val="504800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4798360"/>
        <c:crosses val="autoZero"/>
        <c:auto val="1"/>
        <c:lblAlgn val="ctr"/>
        <c:lblOffset val="100"/>
        <c:noMultiLvlLbl val="0"/>
      </c:catAx>
      <c:valAx>
        <c:axId val="504798360"/>
        <c:scaling>
          <c:orientation val="minMax"/>
        </c:scaling>
        <c:delete val="1"/>
        <c:axPos val="l"/>
        <c:numFmt formatCode="General" sourceLinked="1"/>
        <c:majorTickMark val="none"/>
        <c:minorTickMark val="none"/>
        <c:tickLblPos val="nextTo"/>
        <c:crossAx val="504800328"/>
        <c:crosses val="autoZero"/>
        <c:crossBetween val="between"/>
      </c:valAx>
      <c:spPr>
        <a:noFill/>
        <a:ln>
          <a:noFill/>
        </a:ln>
        <a:effectLst/>
      </c:spPr>
    </c:plotArea>
    <c:legend>
      <c:legendPos val="b"/>
      <c:layout>
        <c:manualLayout>
          <c:xMode val="edge"/>
          <c:yMode val="edge"/>
          <c:x val="0.6688858162722513"/>
          <c:y val="6.0763342082239678E-2"/>
          <c:w val="0.27837166442489036"/>
          <c:h val="8.08852258197090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5033536788616378"/>
          <c:y val="7.4175645399696946E-3"/>
          <c:w val="0.72410019185043073"/>
          <c:h val="0.9866892680081657"/>
        </c:manualLayout>
      </c:layout>
      <c:barChart>
        <c:barDir val="bar"/>
        <c:grouping val="clustered"/>
        <c:varyColors val="0"/>
        <c:ser>
          <c:idx val="0"/>
          <c:order val="0"/>
          <c:tx>
            <c:strRef>
              <c:f>VBG!$B$274</c:f>
              <c:strCache>
                <c:ptCount val="1"/>
                <c:pt idx="0">
                  <c:v>2018</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VBG!$A$275:$A$276</c:f>
              <c:strCache>
                <c:ptCount val="2"/>
                <c:pt idx="0">
                  <c:v>Exerce 3 ou + tipos de controle</c:v>
                </c:pt>
                <c:pt idx="1">
                  <c:v>Não exerce nenhum tipo de controle</c:v>
                </c:pt>
              </c:strCache>
            </c:strRef>
          </c:cat>
          <c:val>
            <c:numRef>
              <c:f>VBG!$B$275:$B$276</c:f>
              <c:numCache>
                <c:formatCode>General</c:formatCode>
                <c:ptCount val="2"/>
                <c:pt idx="0">
                  <c:v>33.700000000000003</c:v>
                </c:pt>
                <c:pt idx="1">
                  <c:v>9</c:v>
                </c:pt>
              </c:numCache>
            </c:numRef>
          </c:val>
          <c:extLst>
            <c:ext xmlns:c16="http://schemas.microsoft.com/office/drawing/2014/chart" uri="{C3380CC4-5D6E-409C-BE32-E72D297353CC}">
              <c16:uniqueId val="{00000000-4D91-443E-AD32-DC03AFC5002F}"/>
            </c:ext>
          </c:extLst>
        </c:ser>
        <c:ser>
          <c:idx val="1"/>
          <c:order val="1"/>
          <c:tx>
            <c:strRef>
              <c:f>VBG!$C$274</c:f>
              <c:strCache>
                <c:ptCount val="1"/>
                <c:pt idx="0">
                  <c:v>2005</c:v>
                </c:pt>
              </c:strCache>
            </c:strRef>
          </c:tx>
          <c:spPr>
            <a:solidFill>
              <a:schemeClr val="accent4">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VBG!$A$275:$A$276</c:f>
              <c:strCache>
                <c:ptCount val="2"/>
                <c:pt idx="0">
                  <c:v>Exerce 3 ou + tipos de controle</c:v>
                </c:pt>
                <c:pt idx="1">
                  <c:v>Não exerce nenhum tipo de controle</c:v>
                </c:pt>
              </c:strCache>
            </c:strRef>
          </c:cat>
          <c:val>
            <c:numRef>
              <c:f>VBG!$C$275:$C$276</c:f>
              <c:numCache>
                <c:formatCode>General</c:formatCode>
                <c:ptCount val="2"/>
                <c:pt idx="0">
                  <c:v>28.3</c:v>
                </c:pt>
                <c:pt idx="1">
                  <c:v>27.8</c:v>
                </c:pt>
              </c:numCache>
            </c:numRef>
          </c:val>
          <c:extLst>
            <c:ext xmlns:c16="http://schemas.microsoft.com/office/drawing/2014/chart" uri="{C3380CC4-5D6E-409C-BE32-E72D297353CC}">
              <c16:uniqueId val="{00000001-4D91-443E-AD32-DC03AFC5002F}"/>
            </c:ext>
          </c:extLst>
        </c:ser>
        <c:dLbls>
          <c:showLegendKey val="0"/>
          <c:showVal val="0"/>
          <c:showCatName val="0"/>
          <c:showSerName val="0"/>
          <c:showPercent val="0"/>
          <c:showBubbleSize val="0"/>
        </c:dLbls>
        <c:gapWidth val="182"/>
        <c:axId val="560095384"/>
        <c:axId val="560095056"/>
      </c:barChart>
      <c:catAx>
        <c:axId val="560095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60095056"/>
        <c:crosses val="autoZero"/>
        <c:auto val="1"/>
        <c:lblAlgn val="ctr"/>
        <c:lblOffset val="100"/>
        <c:noMultiLvlLbl val="0"/>
      </c:catAx>
      <c:valAx>
        <c:axId val="560095056"/>
        <c:scaling>
          <c:orientation val="minMax"/>
        </c:scaling>
        <c:delete val="1"/>
        <c:axPos val="b"/>
        <c:numFmt formatCode="General" sourceLinked="1"/>
        <c:majorTickMark val="none"/>
        <c:minorTickMark val="none"/>
        <c:tickLblPos val="nextTo"/>
        <c:crossAx val="560095384"/>
        <c:crosses val="autoZero"/>
        <c:crossBetween val="between"/>
      </c:valAx>
      <c:spPr>
        <a:noFill/>
        <a:ln>
          <a:noFill/>
        </a:ln>
        <a:effectLst/>
      </c:spPr>
    </c:plotArea>
    <c:legend>
      <c:legendPos val="b"/>
      <c:layout>
        <c:manualLayout>
          <c:xMode val="edge"/>
          <c:yMode val="edge"/>
          <c:x val="0.92296415026705825"/>
          <c:y val="3.298556430446193E-2"/>
          <c:w val="6.944857260581877E-2"/>
          <c:h val="0.935948441757629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4449561729312"/>
          <c:y val="4.2417815482502653E-2"/>
          <c:w val="0.77288208785222601"/>
          <c:h val="0.95758218451749733"/>
        </c:manualLayout>
      </c:layout>
      <c:barChart>
        <c:barDir val="bar"/>
        <c:grouping val="clustered"/>
        <c:varyColors val="0"/>
        <c:ser>
          <c:idx val="0"/>
          <c:order val="0"/>
          <c:tx>
            <c:strRef>
              <c:f>VBG!$A$308</c:f>
              <c:strCache>
                <c:ptCount val="1"/>
                <c:pt idx="0">
                  <c:v>Violência física ou sexual ou emocional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VBG!$B$307:$D$307</c:f>
              <c:strCache>
                <c:ptCount val="3"/>
                <c:pt idx="0">
                  <c:v>Nenhum controle</c:v>
                </c:pt>
                <c:pt idx="1">
                  <c:v>1 ou 2 tipos</c:v>
                </c:pt>
                <c:pt idx="2">
                  <c:v>3 ou 4 tipos</c:v>
                </c:pt>
              </c:strCache>
            </c:strRef>
          </c:cat>
          <c:val>
            <c:numRef>
              <c:f>VBG!$B$308:$D$308</c:f>
              <c:numCache>
                <c:formatCode>General</c:formatCode>
                <c:ptCount val="3"/>
                <c:pt idx="0">
                  <c:v>5.9</c:v>
                </c:pt>
                <c:pt idx="1">
                  <c:v>11.4</c:v>
                </c:pt>
                <c:pt idx="2">
                  <c:v>39.799999999999997</c:v>
                </c:pt>
              </c:numCache>
            </c:numRef>
          </c:val>
          <c:extLst>
            <c:ext xmlns:c16="http://schemas.microsoft.com/office/drawing/2014/chart" uri="{C3380CC4-5D6E-409C-BE32-E72D297353CC}">
              <c16:uniqueId val="{00000000-233E-440B-9CFB-DF34F9BF5E7A}"/>
            </c:ext>
          </c:extLst>
        </c:ser>
        <c:dLbls>
          <c:showLegendKey val="0"/>
          <c:showVal val="0"/>
          <c:showCatName val="0"/>
          <c:showSerName val="0"/>
          <c:showPercent val="0"/>
          <c:showBubbleSize val="0"/>
        </c:dLbls>
        <c:gapWidth val="182"/>
        <c:axId val="636785224"/>
        <c:axId val="636785880"/>
      </c:barChart>
      <c:catAx>
        <c:axId val="636785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636785880"/>
        <c:crosses val="autoZero"/>
        <c:auto val="1"/>
        <c:lblAlgn val="ctr"/>
        <c:lblOffset val="100"/>
        <c:noMultiLvlLbl val="0"/>
      </c:catAx>
      <c:valAx>
        <c:axId val="636785880"/>
        <c:scaling>
          <c:orientation val="minMax"/>
        </c:scaling>
        <c:delete val="1"/>
        <c:axPos val="b"/>
        <c:numFmt formatCode="General" sourceLinked="1"/>
        <c:majorTickMark val="none"/>
        <c:minorTickMark val="none"/>
        <c:tickLblPos val="nextTo"/>
        <c:crossAx val="636785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VBG!$B$36</c:f>
              <c:strCache>
                <c:ptCount val="1"/>
                <c:pt idx="0">
                  <c:v>Nº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VBG!$A$37:$A$45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VBG!$B$37:$B$45</c:f>
              <c:numCache>
                <c:formatCode>#,##0</c:formatCode>
                <c:ptCount val="9"/>
                <c:pt idx="0">
                  <c:v>855</c:v>
                </c:pt>
                <c:pt idx="1">
                  <c:v>1505</c:v>
                </c:pt>
                <c:pt idx="2">
                  <c:v>2698</c:v>
                </c:pt>
                <c:pt idx="3">
                  <c:v>3079</c:v>
                </c:pt>
                <c:pt idx="4">
                  <c:v>3205</c:v>
                </c:pt>
                <c:pt idx="5">
                  <c:v>3002</c:v>
                </c:pt>
                <c:pt idx="6">
                  <c:v>3073</c:v>
                </c:pt>
                <c:pt idx="7">
                  <c:v>2516</c:v>
                </c:pt>
                <c:pt idx="8">
                  <c:v>1641</c:v>
                </c:pt>
              </c:numCache>
            </c:numRef>
          </c:val>
          <c:extLst>
            <c:ext xmlns:c16="http://schemas.microsoft.com/office/drawing/2014/chart" uri="{C3380CC4-5D6E-409C-BE32-E72D297353CC}">
              <c16:uniqueId val="{00000000-74EF-4420-BD00-EC53F817BF69}"/>
            </c:ext>
          </c:extLst>
        </c:ser>
        <c:dLbls>
          <c:showLegendKey val="0"/>
          <c:showVal val="0"/>
          <c:showCatName val="0"/>
          <c:showSerName val="0"/>
          <c:showPercent val="0"/>
          <c:showBubbleSize val="0"/>
        </c:dLbls>
        <c:gapWidth val="219"/>
        <c:overlap val="-27"/>
        <c:axId val="419953096"/>
        <c:axId val="419958016"/>
      </c:barChart>
      <c:catAx>
        <c:axId val="41995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pt-PT"/>
          </a:p>
        </c:txPr>
        <c:crossAx val="419958016"/>
        <c:crosses val="autoZero"/>
        <c:auto val="1"/>
        <c:lblAlgn val="ctr"/>
        <c:lblOffset val="100"/>
        <c:noMultiLvlLbl val="0"/>
      </c:catAx>
      <c:valAx>
        <c:axId val="419958016"/>
        <c:scaling>
          <c:orientation val="minMax"/>
        </c:scaling>
        <c:delete val="1"/>
        <c:axPos val="l"/>
        <c:numFmt formatCode="#,##0" sourceLinked="1"/>
        <c:majorTickMark val="none"/>
        <c:minorTickMark val="none"/>
        <c:tickLblPos val="nextTo"/>
        <c:crossAx val="419953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90305118807086E-2"/>
          <c:y val="3.2201250207200466E-2"/>
          <c:w val="0.9486193897623858"/>
          <c:h val="0.82793412653071363"/>
        </c:manualLayout>
      </c:layout>
      <c:barChart>
        <c:barDir val="col"/>
        <c:grouping val="clustered"/>
        <c:varyColors val="0"/>
        <c:ser>
          <c:idx val="2"/>
          <c:order val="1"/>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VBG!$B$69:$B$74</c:f>
              <c:numCache>
                <c:formatCode>General</c:formatCode>
                <c:ptCount val="6"/>
                <c:pt idx="0">
                  <c:v>2013</c:v>
                </c:pt>
                <c:pt idx="1">
                  <c:v>2014</c:v>
                </c:pt>
                <c:pt idx="2">
                  <c:v>2015</c:v>
                </c:pt>
                <c:pt idx="3">
                  <c:v>2016</c:v>
                </c:pt>
                <c:pt idx="4">
                  <c:v>2017</c:v>
                </c:pt>
                <c:pt idx="5">
                  <c:v>2018</c:v>
                </c:pt>
              </c:numCache>
            </c:numRef>
          </c:cat>
          <c:val>
            <c:numRef>
              <c:f>VBG!$D$69:$D$74</c:f>
              <c:numCache>
                <c:formatCode>#,##0</c:formatCode>
                <c:ptCount val="6"/>
                <c:pt idx="0">
                  <c:v>1985</c:v>
                </c:pt>
                <c:pt idx="1">
                  <c:v>2130</c:v>
                </c:pt>
                <c:pt idx="2">
                  <c:v>2319</c:v>
                </c:pt>
                <c:pt idx="3">
                  <c:v>2272</c:v>
                </c:pt>
                <c:pt idx="4">
                  <c:v>222</c:v>
                </c:pt>
                <c:pt idx="5">
                  <c:v>662</c:v>
                </c:pt>
              </c:numCache>
            </c:numRef>
          </c:val>
          <c:extLst>
            <c:ext xmlns:c16="http://schemas.microsoft.com/office/drawing/2014/chart" uri="{C3380CC4-5D6E-409C-BE32-E72D297353CC}">
              <c16:uniqueId val="{00000000-500F-420C-8FE1-44A7F4A5E6CC}"/>
            </c:ext>
          </c:extLst>
        </c:ser>
        <c:dLbls>
          <c:showLegendKey val="0"/>
          <c:showVal val="0"/>
          <c:showCatName val="0"/>
          <c:showSerName val="0"/>
          <c:showPercent val="0"/>
          <c:showBubbleSize val="0"/>
        </c:dLbls>
        <c:gapWidth val="219"/>
        <c:overlap val="-27"/>
        <c:axId val="413409224"/>
        <c:axId val="413405288"/>
        <c:extLst>
          <c:ext xmlns:c15="http://schemas.microsoft.com/office/drawing/2012/chart" uri="{02D57815-91ED-43cb-92C2-25804820EDAC}">
            <c15:filteredBarSeries>
              <c15: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VBG!$B$69:$B$74</c15:sqref>
                        </c15:formulaRef>
                      </c:ext>
                    </c:extLst>
                    <c:numCache>
                      <c:formatCode>General</c:formatCode>
                      <c:ptCount val="6"/>
                      <c:pt idx="0">
                        <c:v>2013</c:v>
                      </c:pt>
                      <c:pt idx="1">
                        <c:v>2014</c:v>
                      </c:pt>
                      <c:pt idx="2">
                        <c:v>2015</c:v>
                      </c:pt>
                      <c:pt idx="3">
                        <c:v>2016</c:v>
                      </c:pt>
                      <c:pt idx="4">
                        <c:v>2017</c:v>
                      </c:pt>
                      <c:pt idx="5">
                        <c:v>2018</c:v>
                      </c:pt>
                    </c:numCache>
                  </c:numRef>
                </c:cat>
                <c:val>
                  <c:numRef>
                    <c:extLst>
                      <c:ext uri="{02D57815-91ED-43cb-92C2-25804820EDAC}">
                        <c15:formulaRef>
                          <c15:sqref>VBG!$C$69:$C$74</c15:sqref>
                        </c15:formulaRef>
                      </c:ext>
                    </c:extLst>
                    <c:numCache>
                      <c:formatCode>#,##0</c:formatCode>
                      <c:ptCount val="6"/>
                      <c:pt idx="0">
                        <c:v>3079</c:v>
                      </c:pt>
                      <c:pt idx="1">
                        <c:v>3205</c:v>
                      </c:pt>
                      <c:pt idx="2">
                        <c:v>3002</c:v>
                      </c:pt>
                      <c:pt idx="3">
                        <c:v>3073</c:v>
                      </c:pt>
                      <c:pt idx="4">
                        <c:v>2516</c:v>
                      </c:pt>
                      <c:pt idx="5">
                        <c:v>1641</c:v>
                      </c:pt>
                    </c:numCache>
                  </c:numRef>
                </c:val>
                <c:extLst>
                  <c:ext xmlns:c16="http://schemas.microsoft.com/office/drawing/2014/chart" uri="{C3380CC4-5D6E-409C-BE32-E72D297353CC}">
                    <c16:uniqueId val="{00000001-500F-420C-8FE1-44A7F4A5E6CC}"/>
                  </c:ext>
                </c:extLst>
              </c15:ser>
            </c15:filteredBarSeries>
          </c:ext>
        </c:extLst>
      </c:barChart>
      <c:catAx>
        <c:axId val="41340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413405288"/>
        <c:crosses val="autoZero"/>
        <c:auto val="1"/>
        <c:lblAlgn val="ctr"/>
        <c:lblOffset val="100"/>
        <c:noMultiLvlLbl val="0"/>
      </c:catAx>
      <c:valAx>
        <c:axId val="413405288"/>
        <c:scaling>
          <c:orientation val="minMax"/>
        </c:scaling>
        <c:delete val="1"/>
        <c:axPos val="l"/>
        <c:numFmt formatCode="#,##0" sourceLinked="1"/>
        <c:majorTickMark val="none"/>
        <c:minorTickMark val="none"/>
        <c:tickLblPos val="nextTo"/>
        <c:crossAx val="413409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Bef>
          <a:spcPts val="0"/>
        </a:spcBef>
        <a:spcAft>
          <a:spcPts val="0"/>
        </a:spcAft>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572158040867806"/>
          <c:w val="1"/>
          <c:h val="0.70823749923361912"/>
        </c:manualLayout>
      </c:layout>
      <c:pie3DChart>
        <c:varyColors val="1"/>
        <c:ser>
          <c:idx val="0"/>
          <c:order val="0"/>
          <c:tx>
            <c:strRef>
              <c:f>POBREZA!$B$76</c:f>
              <c:strCache>
                <c:ptCount val="1"/>
                <c:pt idx="0">
                  <c:v>Extremamente Pobre</c:v>
                </c:pt>
              </c:strCache>
            </c:strRef>
          </c:tx>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6D-4507-BE18-40BC5DF85C69}"/>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6D-4507-BE18-40BC5DF85C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POBREZA!$A$77:$A$78</c:f>
              <c:strCache>
                <c:ptCount val="2"/>
                <c:pt idx="0">
                  <c:v>Homens </c:v>
                </c:pt>
                <c:pt idx="1">
                  <c:v>Mulheres</c:v>
                </c:pt>
              </c:strCache>
            </c:strRef>
          </c:cat>
          <c:val>
            <c:numRef>
              <c:f>POBREZA!$B$77:$B$78</c:f>
              <c:numCache>
                <c:formatCode>General</c:formatCode>
                <c:ptCount val="2"/>
                <c:pt idx="0">
                  <c:v>46.4</c:v>
                </c:pt>
                <c:pt idx="1">
                  <c:v>53.6</c:v>
                </c:pt>
              </c:numCache>
            </c:numRef>
          </c:val>
          <c:extLst>
            <c:ext xmlns:c16="http://schemas.microsoft.com/office/drawing/2014/chart" uri="{C3380CC4-5D6E-409C-BE32-E72D297353CC}">
              <c16:uniqueId val="{00000004-2C6D-4507-BE18-40BC5DF85C6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4.6874453193350832E-2"/>
          <c:w val="0.26159012970094064"/>
          <c:h val="0.217014435695538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212625325201844"/>
          <c:y val="0.13425925925925927"/>
          <c:w val="0.71639985704568776"/>
          <c:h val="0.83391149023038769"/>
        </c:manualLayout>
      </c:layout>
      <c:barChart>
        <c:barDir val="bar"/>
        <c:grouping val="percentStacked"/>
        <c:varyColors val="0"/>
        <c:ser>
          <c:idx val="0"/>
          <c:order val="0"/>
          <c:tx>
            <c:strRef>
              <c:f>Educação!$L$57</c:f>
              <c:strCache>
                <c:ptCount val="1"/>
                <c:pt idx="0">
                  <c:v>Feminino</c:v>
                </c:pt>
              </c:strCache>
            </c:strRef>
          </c:tx>
          <c:spPr>
            <a:solidFill>
              <a:schemeClr val="accent2">
                <a:tint val="77000"/>
              </a:schemeClr>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7F1A-4530-8419-7D61EBF333FE}"/>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Educação!$K$58:$K$62</c:f>
              <c:strCache>
                <c:ptCount val="5"/>
                <c:pt idx="0">
                  <c:v>Via técnica – áreas técnicas  </c:v>
                </c:pt>
                <c:pt idx="1">
                  <c:v>Ciência e tecnologia </c:v>
                </c:pt>
                <c:pt idx="2">
                  <c:v>Económico-social</c:v>
                </c:pt>
                <c:pt idx="3">
                  <c:v>Via técnica – outras áreas </c:v>
                </c:pt>
                <c:pt idx="4">
                  <c:v>Humanísticas </c:v>
                </c:pt>
              </c:strCache>
            </c:strRef>
          </c:cat>
          <c:val>
            <c:numRef>
              <c:f>Educação!$L$58:$L$62</c:f>
              <c:numCache>
                <c:formatCode>General</c:formatCode>
                <c:ptCount val="5"/>
                <c:pt idx="0">
                  <c:v>29</c:v>
                </c:pt>
                <c:pt idx="1">
                  <c:v>49.2</c:v>
                </c:pt>
                <c:pt idx="2">
                  <c:v>55.3</c:v>
                </c:pt>
                <c:pt idx="3">
                  <c:v>64</c:v>
                </c:pt>
                <c:pt idx="4">
                  <c:v>64.099999999999994</c:v>
                </c:pt>
              </c:numCache>
            </c:numRef>
          </c:val>
          <c:extLst>
            <c:ext xmlns:c16="http://schemas.microsoft.com/office/drawing/2014/chart" uri="{C3380CC4-5D6E-409C-BE32-E72D297353CC}">
              <c16:uniqueId val="{00000002-7F1A-4530-8419-7D61EBF333FE}"/>
            </c:ext>
          </c:extLst>
        </c:ser>
        <c:ser>
          <c:idx val="1"/>
          <c:order val="1"/>
          <c:tx>
            <c:strRef>
              <c:f>Educação!$M$57</c:f>
              <c:strCache>
                <c:ptCount val="1"/>
                <c:pt idx="0">
                  <c:v>Masculino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Educação!$K$58:$K$62</c:f>
              <c:strCache>
                <c:ptCount val="5"/>
                <c:pt idx="0">
                  <c:v>Via técnica – áreas técnicas  </c:v>
                </c:pt>
                <c:pt idx="1">
                  <c:v>Ciência e tecnologia </c:v>
                </c:pt>
                <c:pt idx="2">
                  <c:v>Económico-social</c:v>
                </c:pt>
                <c:pt idx="3">
                  <c:v>Via técnica – outras áreas </c:v>
                </c:pt>
                <c:pt idx="4">
                  <c:v>Humanísticas </c:v>
                </c:pt>
              </c:strCache>
            </c:strRef>
          </c:cat>
          <c:val>
            <c:numRef>
              <c:f>Educação!$M$58:$M$62</c:f>
              <c:numCache>
                <c:formatCode>General</c:formatCode>
                <c:ptCount val="5"/>
                <c:pt idx="0">
                  <c:v>71</c:v>
                </c:pt>
                <c:pt idx="1">
                  <c:v>50.8</c:v>
                </c:pt>
                <c:pt idx="2">
                  <c:v>44.7</c:v>
                </c:pt>
                <c:pt idx="3">
                  <c:v>36</c:v>
                </c:pt>
                <c:pt idx="4">
                  <c:v>35.900000000000006</c:v>
                </c:pt>
              </c:numCache>
            </c:numRef>
          </c:val>
          <c:extLst>
            <c:ext xmlns:c16="http://schemas.microsoft.com/office/drawing/2014/chart" uri="{C3380CC4-5D6E-409C-BE32-E72D297353CC}">
              <c16:uniqueId val="{00000003-7F1A-4530-8419-7D61EBF333FE}"/>
            </c:ext>
          </c:extLst>
        </c:ser>
        <c:dLbls>
          <c:dLblPos val="ctr"/>
          <c:showLegendKey val="0"/>
          <c:showVal val="1"/>
          <c:showCatName val="0"/>
          <c:showSerName val="0"/>
          <c:showPercent val="0"/>
          <c:showBubbleSize val="0"/>
        </c:dLbls>
        <c:gapWidth val="150"/>
        <c:overlap val="100"/>
        <c:axId val="433854672"/>
        <c:axId val="569158440"/>
      </c:barChart>
      <c:catAx>
        <c:axId val="43385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69158440"/>
        <c:crosses val="autoZero"/>
        <c:auto val="1"/>
        <c:lblAlgn val="ctr"/>
        <c:lblOffset val="100"/>
        <c:noMultiLvlLbl val="0"/>
      </c:catAx>
      <c:valAx>
        <c:axId val="569158440"/>
        <c:scaling>
          <c:orientation val="minMax"/>
        </c:scaling>
        <c:delete val="1"/>
        <c:axPos val="b"/>
        <c:numFmt formatCode="0%" sourceLinked="1"/>
        <c:majorTickMark val="none"/>
        <c:minorTickMark val="none"/>
        <c:tickLblPos val="nextTo"/>
        <c:crossAx val="433854672"/>
        <c:crosses val="autoZero"/>
        <c:crossBetween val="between"/>
      </c:valAx>
      <c:spPr>
        <a:noFill/>
        <a:ln>
          <a:noFill/>
        </a:ln>
        <a:effectLst/>
      </c:spPr>
    </c:plotArea>
    <c:legend>
      <c:legendPos val="b"/>
      <c:layout>
        <c:manualLayout>
          <c:xMode val="edge"/>
          <c:yMode val="edge"/>
          <c:x val="0.47862946732545347"/>
          <c:y val="2.8526434195725533E-2"/>
          <c:w val="0.3570406920218428"/>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933581615470856"/>
          <c:y val="0.13864974291462778"/>
          <c:w val="0.63066418384529144"/>
          <c:h val="0.80191410616259717"/>
        </c:manualLayout>
      </c:layout>
      <c:barChart>
        <c:barDir val="bar"/>
        <c:grouping val="percentStacked"/>
        <c:varyColors val="0"/>
        <c:ser>
          <c:idx val="0"/>
          <c:order val="0"/>
          <c:tx>
            <c:strRef>
              <c:f>Educação!$C$72</c:f>
              <c:strCache>
                <c:ptCount val="1"/>
                <c:pt idx="0">
                  <c:v>Feminino</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Educação!$B$73:$B$76</c:f>
              <c:strCache>
                <c:ptCount val="4"/>
                <c:pt idx="0">
                  <c:v>Ciências Exatas, Engenharias e Tecnologias </c:v>
                </c:pt>
                <c:pt idx="1">
                  <c:v>Ciências Económicas, Jurídicas e Políticas</c:v>
                </c:pt>
                <c:pt idx="2">
                  <c:v>Ciências Sociais, Humanas, Letras e Línguas</c:v>
                </c:pt>
                <c:pt idx="3">
                  <c:v>Ciências da Vida, Ambiente e Saúde</c:v>
                </c:pt>
              </c:strCache>
            </c:strRef>
          </c:cat>
          <c:val>
            <c:numRef>
              <c:f>Educação!$C$73:$C$76</c:f>
              <c:numCache>
                <c:formatCode>General</c:formatCode>
                <c:ptCount val="4"/>
                <c:pt idx="0">
                  <c:v>29</c:v>
                </c:pt>
                <c:pt idx="1">
                  <c:v>62</c:v>
                </c:pt>
                <c:pt idx="2">
                  <c:v>65.5</c:v>
                </c:pt>
                <c:pt idx="3">
                  <c:v>76</c:v>
                </c:pt>
              </c:numCache>
            </c:numRef>
          </c:val>
          <c:extLst>
            <c:ext xmlns:c16="http://schemas.microsoft.com/office/drawing/2014/chart" uri="{C3380CC4-5D6E-409C-BE32-E72D297353CC}">
              <c16:uniqueId val="{00000000-EE28-44E4-8433-501E462EB145}"/>
            </c:ext>
          </c:extLst>
        </c:ser>
        <c:ser>
          <c:idx val="1"/>
          <c:order val="1"/>
          <c:tx>
            <c:strRef>
              <c:f>Educação!$D$72</c:f>
              <c:strCache>
                <c:ptCount val="1"/>
                <c:pt idx="0">
                  <c:v>Masculino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Educação!$B$73:$B$76</c:f>
              <c:strCache>
                <c:ptCount val="4"/>
                <c:pt idx="0">
                  <c:v>Ciências Exatas, Engenharias e Tecnologias </c:v>
                </c:pt>
                <c:pt idx="1">
                  <c:v>Ciências Económicas, Jurídicas e Políticas</c:v>
                </c:pt>
                <c:pt idx="2">
                  <c:v>Ciências Sociais, Humanas, Letras e Línguas</c:v>
                </c:pt>
                <c:pt idx="3">
                  <c:v>Ciências da Vida, Ambiente e Saúde</c:v>
                </c:pt>
              </c:strCache>
            </c:strRef>
          </c:cat>
          <c:val>
            <c:numRef>
              <c:f>Educação!$D$73:$D$76</c:f>
              <c:numCache>
                <c:formatCode>General</c:formatCode>
                <c:ptCount val="4"/>
                <c:pt idx="0">
                  <c:v>71</c:v>
                </c:pt>
                <c:pt idx="1">
                  <c:v>38</c:v>
                </c:pt>
                <c:pt idx="2">
                  <c:v>34.5</c:v>
                </c:pt>
                <c:pt idx="3">
                  <c:v>24</c:v>
                </c:pt>
              </c:numCache>
            </c:numRef>
          </c:val>
          <c:extLst>
            <c:ext xmlns:c16="http://schemas.microsoft.com/office/drawing/2014/chart" uri="{C3380CC4-5D6E-409C-BE32-E72D297353CC}">
              <c16:uniqueId val="{00000001-EE28-44E4-8433-501E462EB145}"/>
            </c:ext>
          </c:extLst>
        </c:ser>
        <c:dLbls>
          <c:showLegendKey val="0"/>
          <c:showVal val="0"/>
          <c:showCatName val="0"/>
          <c:showSerName val="0"/>
          <c:showPercent val="0"/>
          <c:showBubbleSize val="0"/>
        </c:dLbls>
        <c:gapWidth val="150"/>
        <c:overlap val="100"/>
        <c:axId val="509420432"/>
        <c:axId val="509427320"/>
      </c:barChart>
      <c:catAx>
        <c:axId val="509420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9427320"/>
        <c:crosses val="autoZero"/>
        <c:auto val="1"/>
        <c:lblAlgn val="ctr"/>
        <c:lblOffset val="100"/>
        <c:noMultiLvlLbl val="0"/>
      </c:catAx>
      <c:valAx>
        <c:axId val="509427320"/>
        <c:scaling>
          <c:orientation val="minMax"/>
        </c:scaling>
        <c:delete val="1"/>
        <c:axPos val="b"/>
        <c:numFmt formatCode="0%" sourceLinked="1"/>
        <c:majorTickMark val="none"/>
        <c:minorTickMark val="none"/>
        <c:tickLblPos val="nextTo"/>
        <c:crossAx val="509420432"/>
        <c:crosses val="autoZero"/>
        <c:crossBetween val="between"/>
      </c:valAx>
      <c:spPr>
        <a:noFill/>
        <a:ln>
          <a:noFill/>
        </a:ln>
        <a:effectLst/>
      </c:spPr>
    </c:plotArea>
    <c:legend>
      <c:legendPos val="b"/>
      <c:layout>
        <c:manualLayout>
          <c:xMode val="edge"/>
          <c:yMode val="edge"/>
          <c:x val="0.51668043199680003"/>
          <c:y val="5.7815689705449278E-4"/>
          <c:w val="0.42312019910963622"/>
          <c:h val="0.106467622146600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76250638007463E-2"/>
          <c:y val="4.2471042471042469E-2"/>
          <c:w val="0.97843425799014749"/>
          <c:h val="0.73877361547826548"/>
        </c:manualLayout>
      </c:layout>
      <c:barChart>
        <c:barDir val="col"/>
        <c:grouping val="clustered"/>
        <c:varyColors val="0"/>
        <c:ser>
          <c:idx val="0"/>
          <c:order val="0"/>
          <c:tx>
            <c:strRef>
              <c:f>Educação!$B$31</c:f>
              <c:strCache>
                <c:ptCount val="1"/>
                <c:pt idx="0">
                  <c:v>Feminino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Educação!$A$32:$A$40</c:f>
              <c:strCache>
                <c:ptCount val="9"/>
                <c:pt idx="0">
                  <c:v>Copiar/mover ficheiro/pastas</c:v>
                </c:pt>
                <c:pt idx="1">
                  <c:v>Usar comandos copiar/colar </c:v>
                </c:pt>
                <c:pt idx="2">
                  <c:v>Transferir ficheiros outros dispositivos</c:v>
                </c:pt>
                <c:pt idx="3">
                  <c:v>Usar folha de cálculo </c:v>
                </c:pt>
                <c:pt idx="4">
                  <c:v>Compactar/zipar ficheiros</c:v>
                </c:pt>
                <c:pt idx="5">
                  <c:v>Criar apresentações </c:v>
                </c:pt>
                <c:pt idx="6">
                  <c:v>Instalar e ligar hardware </c:v>
                </c:pt>
                <c:pt idx="7">
                  <c:v>Instalar/substituir sistema operativo (ex: windows)</c:v>
                </c:pt>
                <c:pt idx="8">
                  <c:v>Usar linguagem programação (ex: visual basic)</c:v>
                </c:pt>
              </c:strCache>
            </c:strRef>
          </c:cat>
          <c:val>
            <c:numRef>
              <c:f>Educação!$B$32:$B$40</c:f>
              <c:numCache>
                <c:formatCode>General</c:formatCode>
                <c:ptCount val="9"/>
                <c:pt idx="0">
                  <c:v>29.2</c:v>
                </c:pt>
                <c:pt idx="1">
                  <c:v>27.1</c:v>
                </c:pt>
                <c:pt idx="2">
                  <c:v>24.8</c:v>
                </c:pt>
                <c:pt idx="3">
                  <c:v>16</c:v>
                </c:pt>
                <c:pt idx="4">
                  <c:v>13.3</c:v>
                </c:pt>
                <c:pt idx="5">
                  <c:v>14.3</c:v>
                </c:pt>
                <c:pt idx="6">
                  <c:v>11.7</c:v>
                </c:pt>
                <c:pt idx="7">
                  <c:v>5</c:v>
                </c:pt>
                <c:pt idx="8">
                  <c:v>3</c:v>
                </c:pt>
              </c:numCache>
            </c:numRef>
          </c:val>
          <c:extLst>
            <c:ext xmlns:c16="http://schemas.microsoft.com/office/drawing/2014/chart" uri="{C3380CC4-5D6E-409C-BE32-E72D297353CC}">
              <c16:uniqueId val="{00000000-7E7A-49BD-A431-9F4A1C8B324B}"/>
            </c:ext>
          </c:extLst>
        </c:ser>
        <c:ser>
          <c:idx val="1"/>
          <c:order val="1"/>
          <c:tx>
            <c:strRef>
              <c:f>Educação!$C$31</c:f>
              <c:strCache>
                <c:ptCount val="1"/>
                <c:pt idx="0">
                  <c:v>Masculino</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Educação!$A$32:$A$40</c:f>
              <c:strCache>
                <c:ptCount val="9"/>
                <c:pt idx="0">
                  <c:v>Copiar/mover ficheiro/pastas</c:v>
                </c:pt>
                <c:pt idx="1">
                  <c:v>Usar comandos copiar/colar </c:v>
                </c:pt>
                <c:pt idx="2">
                  <c:v>Transferir ficheiros outros dispositivos</c:v>
                </c:pt>
                <c:pt idx="3">
                  <c:v>Usar folha de cálculo </c:v>
                </c:pt>
                <c:pt idx="4">
                  <c:v>Compactar/zipar ficheiros</c:v>
                </c:pt>
                <c:pt idx="5">
                  <c:v>Criar apresentações </c:v>
                </c:pt>
                <c:pt idx="6">
                  <c:v>Instalar e ligar hardware </c:v>
                </c:pt>
                <c:pt idx="7">
                  <c:v>Instalar/substituir sistema operativo (ex: windows)</c:v>
                </c:pt>
                <c:pt idx="8">
                  <c:v>Usar linguagem programação (ex: visual basic)</c:v>
                </c:pt>
              </c:strCache>
            </c:strRef>
          </c:cat>
          <c:val>
            <c:numRef>
              <c:f>Educação!$C$32:$C$40</c:f>
              <c:numCache>
                <c:formatCode>General</c:formatCode>
                <c:ptCount val="9"/>
                <c:pt idx="0">
                  <c:v>35.200000000000003</c:v>
                </c:pt>
                <c:pt idx="1">
                  <c:v>32.6</c:v>
                </c:pt>
                <c:pt idx="2">
                  <c:v>32.299999999999997</c:v>
                </c:pt>
                <c:pt idx="3">
                  <c:v>18.899999999999999</c:v>
                </c:pt>
                <c:pt idx="4">
                  <c:v>18.399999999999999</c:v>
                </c:pt>
                <c:pt idx="5">
                  <c:v>16</c:v>
                </c:pt>
                <c:pt idx="6">
                  <c:v>18.2</c:v>
                </c:pt>
                <c:pt idx="7">
                  <c:v>10.3</c:v>
                </c:pt>
                <c:pt idx="8">
                  <c:v>5.2</c:v>
                </c:pt>
              </c:numCache>
            </c:numRef>
          </c:val>
          <c:extLst>
            <c:ext xmlns:c16="http://schemas.microsoft.com/office/drawing/2014/chart" uri="{C3380CC4-5D6E-409C-BE32-E72D297353CC}">
              <c16:uniqueId val="{00000001-7E7A-49BD-A431-9F4A1C8B324B}"/>
            </c:ext>
          </c:extLst>
        </c:ser>
        <c:dLbls>
          <c:showLegendKey val="0"/>
          <c:showVal val="0"/>
          <c:showCatName val="0"/>
          <c:showSerName val="0"/>
          <c:showPercent val="0"/>
          <c:showBubbleSize val="0"/>
        </c:dLbls>
        <c:gapWidth val="219"/>
        <c:overlap val="-27"/>
        <c:axId val="509412232"/>
        <c:axId val="509413544"/>
      </c:barChart>
      <c:catAx>
        <c:axId val="50941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09413544"/>
        <c:crosses val="autoZero"/>
        <c:auto val="1"/>
        <c:lblAlgn val="ctr"/>
        <c:lblOffset val="100"/>
        <c:noMultiLvlLbl val="0"/>
      </c:catAx>
      <c:valAx>
        <c:axId val="509413544"/>
        <c:scaling>
          <c:orientation val="minMax"/>
        </c:scaling>
        <c:delete val="1"/>
        <c:axPos val="l"/>
        <c:numFmt formatCode="General" sourceLinked="1"/>
        <c:majorTickMark val="none"/>
        <c:minorTickMark val="none"/>
        <c:tickLblPos val="nextTo"/>
        <c:crossAx val="509412232"/>
        <c:crosses val="autoZero"/>
        <c:crossBetween val="between"/>
      </c:valAx>
      <c:spPr>
        <a:noFill/>
        <a:ln>
          <a:noFill/>
        </a:ln>
        <a:effectLst/>
      </c:spPr>
    </c:plotArea>
    <c:legend>
      <c:legendPos val="b"/>
      <c:layout>
        <c:manualLayout>
          <c:xMode val="edge"/>
          <c:yMode val="edge"/>
          <c:x val="0.52763964347975223"/>
          <c:y val="3.9092208068585987E-2"/>
          <c:w val="0.42863451013431947"/>
          <c:h val="7.4012618099057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55100294499525"/>
          <c:y val="4.4554455445544552E-2"/>
          <c:w val="0.83003121353060216"/>
          <c:h val="0.93361868115186342"/>
        </c:manualLayout>
      </c:layout>
      <c:barChart>
        <c:barDir val="bar"/>
        <c:grouping val="clustered"/>
        <c:varyColors val="0"/>
        <c:ser>
          <c:idx val="0"/>
          <c:order val="0"/>
          <c:tx>
            <c:strRef>
              <c:f>Educação!$M$9</c:f>
              <c:strCache>
                <c:ptCount val="1"/>
                <c:pt idx="0">
                  <c:v>Feminino</c:v>
                </c:pt>
              </c:strCache>
            </c:strRef>
          </c:tx>
          <c:spPr>
            <a:solidFill>
              <a:schemeClr val="accent6">
                <a:lumMod val="60000"/>
                <a:lumOff val="40000"/>
              </a:schemeClr>
            </a:solidFill>
            <a:ln>
              <a:noFill/>
            </a:ln>
            <a:effectLst/>
          </c:spPr>
          <c:invertIfNegative val="0"/>
          <c:dLbls>
            <c:dLbl>
              <c:idx val="2"/>
              <c:layout>
                <c:manualLayout>
                  <c:x val="-2.3312740412635507E-3"/>
                  <c:y val="3.4944670937682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7F-49AA-9A93-5E0BCC66DD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(Educação!$L$10,Educação!$L$12,Educação!$L$14)</c:f>
              <c:strCache>
                <c:ptCount val="3"/>
                <c:pt idx="0">
                  <c:v>Fim 1º ciclo EB (2º Ano)</c:v>
                </c:pt>
                <c:pt idx="1">
                  <c:v>Fim 2º ciclo EB (4º Ano)</c:v>
                </c:pt>
                <c:pt idx="2">
                  <c:v>Fim 3º ciclo EB (6º Ano)</c:v>
                </c:pt>
              </c:strCache>
            </c:strRef>
          </c:cat>
          <c:val>
            <c:numRef>
              <c:f>(Educação!$M$10,Educação!$M$12,Educação!$M$14)</c:f>
              <c:numCache>
                <c:formatCode>General</c:formatCode>
                <c:ptCount val="3"/>
                <c:pt idx="0">
                  <c:v>84.8</c:v>
                </c:pt>
                <c:pt idx="1">
                  <c:v>83.1</c:v>
                </c:pt>
                <c:pt idx="2">
                  <c:v>69.3</c:v>
                </c:pt>
              </c:numCache>
            </c:numRef>
          </c:val>
          <c:extLst>
            <c:ext xmlns:c16="http://schemas.microsoft.com/office/drawing/2014/chart" uri="{C3380CC4-5D6E-409C-BE32-E72D297353CC}">
              <c16:uniqueId val="{00000001-967F-49AA-9A93-5E0BCC66DD9C}"/>
            </c:ext>
          </c:extLst>
        </c:ser>
        <c:ser>
          <c:idx val="1"/>
          <c:order val="1"/>
          <c:tx>
            <c:strRef>
              <c:f>Educação!$N$9</c:f>
              <c:strCache>
                <c:ptCount val="1"/>
                <c:pt idx="0">
                  <c:v>Masculino</c:v>
                </c:pt>
              </c:strCache>
            </c:strRef>
          </c:tx>
          <c:spPr>
            <a:solidFill>
              <a:schemeClr val="accent6">
                <a:lumMod val="20000"/>
                <a:lumOff val="80000"/>
              </a:schemeClr>
            </a:solidFill>
            <a:ln>
              <a:noFill/>
            </a:ln>
            <a:effectLst/>
          </c:spPr>
          <c:invertIfNegative val="0"/>
          <c:dLbls>
            <c:dLbl>
              <c:idx val="0"/>
              <c:layout>
                <c:manualLayout>
                  <c:x val="-1.7095812143651977E-16"/>
                  <c:y val="-6.9889341875364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7F-49AA-9A93-5E0BCC66DD9C}"/>
                </c:ext>
              </c:extLst>
            </c:dLbl>
            <c:dLbl>
              <c:idx val="1"/>
              <c:layout>
                <c:manualLayout>
                  <c:x val="-2.3312740412635507E-3"/>
                  <c:y val="-4.6592894583576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7F-49AA-9A93-5E0BCC66DD9C}"/>
                </c:ext>
              </c:extLst>
            </c:dLbl>
            <c:dLbl>
              <c:idx val="2"/>
              <c:layout>
                <c:manualLayout>
                  <c:x val="0"/>
                  <c:y val="-4.65928945835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7F-49AA-9A93-5E0BCC66DD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(Educação!$L$10,Educação!$L$12,Educação!$L$14)</c:f>
              <c:strCache>
                <c:ptCount val="3"/>
                <c:pt idx="0">
                  <c:v>Fim 1º ciclo EB (2º Ano)</c:v>
                </c:pt>
                <c:pt idx="1">
                  <c:v>Fim 2º ciclo EB (4º Ano)</c:v>
                </c:pt>
                <c:pt idx="2">
                  <c:v>Fim 3º ciclo EB (6º Ano)</c:v>
                </c:pt>
              </c:strCache>
            </c:strRef>
          </c:cat>
          <c:val>
            <c:numRef>
              <c:f>(Educação!$N$10,Educação!$N$12,Educação!$N$14)</c:f>
              <c:numCache>
                <c:formatCode>General</c:formatCode>
                <c:ptCount val="3"/>
                <c:pt idx="0">
                  <c:v>78.400000000000006</c:v>
                </c:pt>
                <c:pt idx="1">
                  <c:v>77.3</c:v>
                </c:pt>
                <c:pt idx="2">
                  <c:v>67.2</c:v>
                </c:pt>
              </c:numCache>
            </c:numRef>
          </c:val>
          <c:extLst>
            <c:ext xmlns:c16="http://schemas.microsoft.com/office/drawing/2014/chart" uri="{C3380CC4-5D6E-409C-BE32-E72D297353CC}">
              <c16:uniqueId val="{00000005-967F-49AA-9A93-5E0BCC66DD9C}"/>
            </c:ext>
          </c:extLst>
        </c:ser>
        <c:dLbls>
          <c:showLegendKey val="0"/>
          <c:showVal val="0"/>
          <c:showCatName val="0"/>
          <c:showSerName val="0"/>
          <c:showPercent val="0"/>
          <c:showBubbleSize val="0"/>
        </c:dLbls>
        <c:gapWidth val="219"/>
        <c:axId val="627360144"/>
        <c:axId val="627354896"/>
      </c:barChart>
      <c:catAx>
        <c:axId val="62736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627354896"/>
        <c:crosses val="autoZero"/>
        <c:auto val="1"/>
        <c:lblAlgn val="ctr"/>
        <c:lblOffset val="100"/>
        <c:noMultiLvlLbl val="0"/>
      </c:catAx>
      <c:valAx>
        <c:axId val="627354896"/>
        <c:scaling>
          <c:orientation val="minMax"/>
        </c:scaling>
        <c:delete val="1"/>
        <c:axPos val="b"/>
        <c:numFmt formatCode="General" sourceLinked="1"/>
        <c:majorTickMark val="none"/>
        <c:minorTickMark val="none"/>
        <c:tickLblPos val="nextTo"/>
        <c:crossAx val="627360144"/>
        <c:crosses val="autoZero"/>
        <c:crossBetween val="between"/>
      </c:valAx>
      <c:spPr>
        <a:noFill/>
        <a:ln>
          <a:noFill/>
        </a:ln>
        <a:effectLst/>
      </c:spPr>
    </c:plotArea>
    <c:legend>
      <c:legendPos val="b"/>
      <c:layout>
        <c:manualLayout>
          <c:xMode val="edge"/>
          <c:yMode val="edge"/>
          <c:x val="0.87456268906032575"/>
          <c:y val="0"/>
          <c:w val="0.12062810002020438"/>
          <c:h val="0.376454164727780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6924613066731"/>
          <c:y val="0"/>
          <c:w val="0.83113075386933277"/>
          <c:h val="0.97705596188812105"/>
        </c:manualLayout>
      </c:layout>
      <c:barChart>
        <c:barDir val="bar"/>
        <c:grouping val="clustered"/>
        <c:varyColors val="0"/>
        <c:ser>
          <c:idx val="0"/>
          <c:order val="0"/>
          <c:tx>
            <c:strRef>
              <c:f>Educação!$M$1</c:f>
              <c:strCache>
                <c:ptCount val="1"/>
                <c:pt idx="0">
                  <c:v>Feminino</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(Educação!$L$2,Educação!$L$4,Educação!$L$6)</c:f>
              <c:strCache>
                <c:ptCount val="3"/>
                <c:pt idx="0">
                  <c:v>Fim 1º ciclo EB (2º Ano)</c:v>
                </c:pt>
                <c:pt idx="1">
                  <c:v>Fim 2º ciclo EB (4º Ano)</c:v>
                </c:pt>
                <c:pt idx="2">
                  <c:v>Fim 3º ciclo EB (6º Ano)</c:v>
                </c:pt>
              </c:strCache>
            </c:strRef>
          </c:cat>
          <c:val>
            <c:numRef>
              <c:f>(Educação!$M$2,Educação!$M$4,Educação!$M$6)</c:f>
              <c:numCache>
                <c:formatCode>General</c:formatCode>
                <c:ptCount val="3"/>
                <c:pt idx="0">
                  <c:v>82.6</c:v>
                </c:pt>
                <c:pt idx="1">
                  <c:v>83.8</c:v>
                </c:pt>
                <c:pt idx="2">
                  <c:v>70.5</c:v>
                </c:pt>
              </c:numCache>
            </c:numRef>
          </c:val>
          <c:extLst>
            <c:ext xmlns:c16="http://schemas.microsoft.com/office/drawing/2014/chart" uri="{C3380CC4-5D6E-409C-BE32-E72D297353CC}">
              <c16:uniqueId val="{00000000-3FA6-42FE-BA90-2E3B93F1EF7A}"/>
            </c:ext>
          </c:extLst>
        </c:ser>
        <c:ser>
          <c:idx val="2"/>
          <c:order val="1"/>
          <c:tx>
            <c:strRef>
              <c:f>Educação!$N$1</c:f>
              <c:strCache>
                <c:ptCount val="1"/>
                <c:pt idx="0">
                  <c:v>Masculino</c:v>
                </c:pt>
              </c:strCache>
            </c:strRef>
          </c:tx>
          <c:spPr>
            <a:solidFill>
              <a:schemeClr val="accent2">
                <a:lumMod val="20000"/>
                <a:lumOff val="80000"/>
              </a:schemeClr>
            </a:solidFill>
            <a:ln>
              <a:noFill/>
            </a:ln>
            <a:effectLst/>
          </c:spPr>
          <c:invertIfNegative val="0"/>
          <c:dLbls>
            <c:dLbl>
              <c:idx val="0"/>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A6-42FE-BA90-2E3B93F1EF7A}"/>
                </c:ext>
              </c:extLst>
            </c:dLbl>
            <c:dLbl>
              <c:idx val="1"/>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FA6-42FE-BA90-2E3B93F1EF7A}"/>
                </c:ext>
              </c:extLst>
            </c:dLbl>
            <c:dLbl>
              <c:idx val="2"/>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A6-42FE-BA90-2E3B93F1EF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(Educação!$L$2,Educação!$L$4,Educação!$L$6)</c:f>
              <c:strCache>
                <c:ptCount val="3"/>
                <c:pt idx="0">
                  <c:v>Fim 1º ciclo EB (2º Ano)</c:v>
                </c:pt>
                <c:pt idx="1">
                  <c:v>Fim 2º ciclo EB (4º Ano)</c:v>
                </c:pt>
                <c:pt idx="2">
                  <c:v>Fim 3º ciclo EB (6º Ano)</c:v>
                </c:pt>
              </c:strCache>
            </c:strRef>
          </c:cat>
          <c:val>
            <c:numRef>
              <c:f>(Educação!$N$2,Educação!$N$4,Educação!$N$6)</c:f>
              <c:numCache>
                <c:formatCode>General</c:formatCode>
                <c:ptCount val="3"/>
                <c:pt idx="0">
                  <c:v>73.3</c:v>
                </c:pt>
                <c:pt idx="1">
                  <c:v>76.3</c:v>
                </c:pt>
                <c:pt idx="2">
                  <c:v>68.599999999999994</c:v>
                </c:pt>
              </c:numCache>
            </c:numRef>
          </c:val>
          <c:extLst>
            <c:ext xmlns:c16="http://schemas.microsoft.com/office/drawing/2014/chart" uri="{C3380CC4-5D6E-409C-BE32-E72D297353CC}">
              <c16:uniqueId val="{00000004-3FA6-42FE-BA90-2E3B93F1EF7A}"/>
            </c:ext>
          </c:extLst>
        </c:ser>
        <c:dLbls>
          <c:showLegendKey val="0"/>
          <c:showVal val="0"/>
          <c:showCatName val="0"/>
          <c:showSerName val="0"/>
          <c:showPercent val="0"/>
          <c:showBubbleSize val="0"/>
        </c:dLbls>
        <c:gapWidth val="219"/>
        <c:axId val="627360144"/>
        <c:axId val="627354896"/>
      </c:barChart>
      <c:catAx>
        <c:axId val="62736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627354896"/>
        <c:crosses val="autoZero"/>
        <c:auto val="1"/>
        <c:lblAlgn val="ctr"/>
        <c:lblOffset val="100"/>
        <c:noMultiLvlLbl val="0"/>
      </c:catAx>
      <c:valAx>
        <c:axId val="627354896"/>
        <c:scaling>
          <c:orientation val="minMax"/>
        </c:scaling>
        <c:delete val="1"/>
        <c:axPos val="b"/>
        <c:numFmt formatCode="General" sourceLinked="1"/>
        <c:majorTickMark val="none"/>
        <c:minorTickMark val="none"/>
        <c:tickLblPos val="nextTo"/>
        <c:crossAx val="627360144"/>
        <c:crosses val="autoZero"/>
        <c:crossBetween val="between"/>
      </c:valAx>
      <c:spPr>
        <a:noFill/>
        <a:ln>
          <a:noFill/>
        </a:ln>
        <a:effectLst/>
      </c:spPr>
    </c:plotArea>
    <c:legend>
      <c:legendPos val="b"/>
      <c:layout>
        <c:manualLayout>
          <c:xMode val="edge"/>
          <c:yMode val="edge"/>
          <c:x val="0.87180839625077722"/>
          <c:y val="3.3175404994717064E-2"/>
          <c:w val="0.12819160374922281"/>
          <c:h val="0.254236997046777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693831897541499E-2"/>
          <c:y val="6.2461520777056141E-2"/>
          <c:w val="0.96730616810245851"/>
          <c:h val="0.63286073912293805"/>
        </c:manualLayout>
      </c:layout>
      <c:lineChart>
        <c:grouping val="standard"/>
        <c:varyColors val="0"/>
        <c:ser>
          <c:idx val="0"/>
          <c:order val="0"/>
          <c:tx>
            <c:strRef>
              <c:f>Saude!$B$42</c:f>
              <c:strCache>
                <c:ptCount val="1"/>
                <c:pt idx="0">
                  <c:v>Masculino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0"/>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0-D918-430F-A412-53D6ED567F4B}"/>
              </c:ext>
            </c:extLst>
          </c:dPt>
          <c:dLbls>
            <c:dLbl>
              <c:idx val="0"/>
              <c:layout>
                <c:manualLayout>
                  <c:x val="-8.4002470660901787E-2"/>
                  <c:y val="4.9635036496350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18-430F-A412-53D6ED567F4B}"/>
                </c:ext>
              </c:extLst>
            </c:dLbl>
            <c:dLbl>
              <c:idx val="1"/>
              <c:layout>
                <c:manualLayout>
                  <c:x val="-1.2353304508956145E-2"/>
                  <c:y val="-4.3795620437956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18-430F-A412-53D6ED567F4B}"/>
                </c:ext>
              </c:extLst>
            </c:dLbl>
            <c:dLbl>
              <c:idx val="2"/>
              <c:layout>
                <c:manualLayout>
                  <c:x val="-4.9413218035824586E-3"/>
                  <c:y val="-3.2116788321167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18-430F-A412-53D6ED567F4B}"/>
                </c:ext>
              </c:extLst>
            </c:dLbl>
            <c:dLbl>
              <c:idx val="3"/>
              <c:layout>
                <c:manualLayout>
                  <c:x val="-1.482396541074742E-2"/>
                  <c:y val="-4.671532846715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18-430F-A412-53D6ED567F4B}"/>
                </c:ext>
              </c:extLst>
            </c:dLbl>
            <c:dLbl>
              <c:idx val="4"/>
              <c:layout>
                <c:manualLayout>
                  <c:x val="-7.1649166151945651E-2"/>
                  <c:y val="3.2116788321167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18-430F-A412-53D6ED567F4B}"/>
                </c:ext>
              </c:extLst>
            </c:dLbl>
            <c:dLbl>
              <c:idx val="5"/>
              <c:layout>
                <c:manualLayout>
                  <c:x val="-1.7294626312538693E-2"/>
                  <c:y val="-3.2116788321167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18-430F-A412-53D6ED567F4B}"/>
                </c:ext>
              </c:extLst>
            </c:dLbl>
            <c:dLbl>
              <c:idx val="6"/>
              <c:layout>
                <c:manualLayout>
                  <c:x val="-2.7177269919703522E-2"/>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18-430F-A412-53D6ED567F4B}"/>
                </c:ext>
              </c:extLst>
            </c:dLbl>
            <c:dLbl>
              <c:idx val="7"/>
              <c:layout>
                <c:manualLayout>
                  <c:x val="-3.4589252625077206E-2"/>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918-430F-A412-53D6ED567F4B}"/>
                </c:ext>
              </c:extLst>
            </c:dLbl>
            <c:dLbl>
              <c:idx val="8"/>
              <c:layout>
                <c:manualLayout>
                  <c:x val="-4.6942557134033447E-2"/>
                  <c:y val="-2.9197080291970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918-430F-A412-53D6ED567F4B}"/>
                </c:ext>
              </c:extLst>
            </c:dLbl>
            <c:dLbl>
              <c:idx val="9"/>
              <c:layout>
                <c:manualLayout>
                  <c:x val="-4.6942557134033537E-2"/>
                  <c:y val="-3.5036496350364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918-430F-A412-53D6ED567F4B}"/>
                </c:ext>
              </c:extLst>
            </c:dLbl>
            <c:dLbl>
              <c:idx val="10"/>
              <c:layout>
                <c:manualLayout>
                  <c:x val="-4.2001235330450894E-2"/>
                  <c:y val="-3.503649635036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18-430F-A412-53D6ED567F4B}"/>
                </c:ext>
              </c:extLst>
            </c:dLbl>
            <c:dLbl>
              <c:idx val="11"/>
              <c:layout>
                <c:manualLayout>
                  <c:x val="-2.7177269919703703E-2"/>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918-430F-A412-53D6ED567F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Saude!$A$43:$A$54</c:f>
              <c:strCache>
                <c:ptCount val="12"/>
                <c:pt idx="0">
                  <c:v>Aparelho circulatório</c:v>
                </c:pt>
                <c:pt idx="1">
                  <c:v>Afeções Respiratórias</c:v>
                </c:pt>
                <c:pt idx="2">
                  <c:v>Tumores ou neoplasias</c:v>
                </c:pt>
                <c:pt idx="3">
                  <c:v>Infeciosas e parasitárias</c:v>
                </c:pt>
                <c:pt idx="4">
                  <c:v>Sintomas mal definidos</c:v>
                </c:pt>
                <c:pt idx="5">
                  <c:v>Causas externas</c:v>
                </c:pt>
                <c:pt idx="6">
                  <c:v>Traumatismos e envenenamentos</c:v>
                </c:pt>
                <c:pt idx="7">
                  <c:v>Afeções perinatais</c:v>
                </c:pt>
                <c:pt idx="8">
                  <c:v>Aparelho digestivo</c:v>
                </c:pt>
                <c:pt idx="9">
                  <c:v>Metab/endoc/nutricionais</c:v>
                </c:pt>
                <c:pt idx="10">
                  <c:v>Aarelho génito urinário</c:v>
                </c:pt>
                <c:pt idx="11">
                  <c:v>Mentais e comportamento</c:v>
                </c:pt>
              </c:strCache>
            </c:strRef>
          </c:cat>
          <c:val>
            <c:numRef>
              <c:f>Saude!$B$43:$B$54</c:f>
              <c:numCache>
                <c:formatCode>General</c:formatCode>
                <c:ptCount val="12"/>
                <c:pt idx="0">
                  <c:v>131.80000000000001</c:v>
                </c:pt>
                <c:pt idx="1">
                  <c:v>70.7</c:v>
                </c:pt>
                <c:pt idx="2">
                  <c:v>68.099999999999994</c:v>
                </c:pt>
                <c:pt idx="3">
                  <c:v>50.7</c:v>
                </c:pt>
                <c:pt idx="4">
                  <c:v>33.700000000000003</c:v>
                </c:pt>
                <c:pt idx="5">
                  <c:v>35.200000000000003</c:v>
                </c:pt>
                <c:pt idx="6">
                  <c:v>27</c:v>
                </c:pt>
                <c:pt idx="7">
                  <c:v>23</c:v>
                </c:pt>
                <c:pt idx="8">
                  <c:v>23</c:v>
                </c:pt>
                <c:pt idx="9">
                  <c:v>24.4</c:v>
                </c:pt>
                <c:pt idx="10">
                  <c:v>9.6</c:v>
                </c:pt>
                <c:pt idx="11">
                  <c:v>12.6</c:v>
                </c:pt>
              </c:numCache>
            </c:numRef>
          </c:val>
          <c:smooth val="0"/>
          <c:extLst>
            <c:ext xmlns:c16="http://schemas.microsoft.com/office/drawing/2014/chart" uri="{C3380CC4-5D6E-409C-BE32-E72D297353CC}">
              <c16:uniqueId val="{0000000C-D918-430F-A412-53D6ED567F4B}"/>
            </c:ext>
          </c:extLst>
        </c:ser>
        <c:ser>
          <c:idx val="1"/>
          <c:order val="1"/>
          <c:tx>
            <c:strRef>
              <c:f>Saude!$C$42</c:f>
              <c:strCache>
                <c:ptCount val="1"/>
                <c:pt idx="0">
                  <c:v>Feminino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11365040148239657"/>
                  <c:y val="-1.167860221851835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15:layout>
                    <c:manualLayout>
                      <c:w val="6.700432365657813E-2"/>
                      <c:h val="5.8350479912638656E-2"/>
                    </c:manualLayout>
                  </c15:layout>
                </c:ext>
                <c:ext xmlns:c16="http://schemas.microsoft.com/office/drawing/2014/chart" uri="{C3380CC4-5D6E-409C-BE32-E72D297353CC}">
                  <c16:uniqueId val="{0000000D-D918-430F-A412-53D6ED567F4B}"/>
                </c:ext>
              </c:extLst>
            </c:dLbl>
            <c:dLbl>
              <c:idx val="2"/>
              <c:layout>
                <c:manualLayout>
                  <c:x val="-8.4002470660901787E-2"/>
                  <c:y val="4.0875912408759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918-430F-A412-53D6ED567F4B}"/>
                </c:ext>
              </c:extLst>
            </c:dLbl>
            <c:dLbl>
              <c:idx val="3"/>
              <c:layout>
                <c:manualLayout>
                  <c:x val="-5.6825200741198317E-2"/>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918-430F-A412-53D6ED567F4B}"/>
                </c:ext>
              </c:extLst>
            </c:dLbl>
            <c:dLbl>
              <c:idx val="4"/>
              <c:layout>
                <c:manualLayout>
                  <c:x val="-9.8826436071649173E-3"/>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918-430F-A412-53D6ED567F4B}"/>
                </c:ext>
              </c:extLst>
            </c:dLbl>
            <c:dLbl>
              <c:idx val="5"/>
              <c:layout>
                <c:manualLayout>
                  <c:x val="-1.7294626312538693E-2"/>
                  <c:y val="-3.795620437956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918-430F-A412-53D6ED567F4B}"/>
                </c:ext>
              </c:extLst>
            </c:dLbl>
            <c:dLbl>
              <c:idx val="6"/>
              <c:layout>
                <c:manualLayout>
                  <c:x val="-3.4589252625077206E-2"/>
                  <c:y val="2.3357664233576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918-430F-A412-53D6ED567F4B}"/>
                </c:ext>
              </c:extLst>
            </c:dLbl>
            <c:dLbl>
              <c:idx val="7"/>
              <c:layout>
                <c:manualLayout>
                  <c:x val="-3.9530574428659669E-2"/>
                  <c:y val="2.773722627737215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extLst>
                <c:ext xmlns:c15="http://schemas.microsoft.com/office/drawing/2012/chart" uri="{CE6537A1-D6FC-4f65-9D91-7224C49458BB}">
                  <c15:layout>
                    <c:manualLayout>
                      <c:w val="7.360098826436072E-2"/>
                      <c:h val="3.5635151445485375E-2"/>
                    </c:manualLayout>
                  </c15:layout>
                </c:ext>
                <c:ext xmlns:c16="http://schemas.microsoft.com/office/drawing/2014/chart" uri="{C3380CC4-5D6E-409C-BE32-E72D297353CC}">
                  <c16:uniqueId val="{00000013-D918-430F-A412-53D6ED567F4B}"/>
                </c:ext>
              </c:extLst>
            </c:dLbl>
            <c:dLbl>
              <c:idx val="8"/>
              <c:layout>
                <c:manualLayout>
                  <c:x val="-2.4706609017912381E-2"/>
                  <c:y val="2.3357664233576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918-430F-A412-53D6ED567F4B}"/>
                </c:ext>
              </c:extLst>
            </c:dLbl>
            <c:dLbl>
              <c:idx val="9"/>
              <c:layout>
                <c:manualLayout>
                  <c:x val="-2.9647930821494931E-2"/>
                  <c:y val="2.3357664233576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918-430F-A412-53D6ED567F4B}"/>
                </c:ext>
              </c:extLst>
            </c:dLbl>
            <c:dLbl>
              <c:idx val="10"/>
              <c:layout>
                <c:manualLayout>
                  <c:x val="-3.4589252625077206E-2"/>
                  <c:y val="2.043795620437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918-430F-A412-53D6ED567F4B}"/>
                </c:ext>
              </c:extLst>
            </c:dLbl>
            <c:dLbl>
              <c:idx val="11"/>
              <c:layout>
                <c:manualLayout>
                  <c:x val="-3.021568586491523E-3"/>
                  <c:y val="-2.3357664233576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918-430F-A412-53D6ED567F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Saude!$A$43:$A$54</c:f>
              <c:strCache>
                <c:ptCount val="12"/>
                <c:pt idx="0">
                  <c:v>Aparelho circulatório</c:v>
                </c:pt>
                <c:pt idx="1">
                  <c:v>Afeções Respiratórias</c:v>
                </c:pt>
                <c:pt idx="2">
                  <c:v>Tumores ou neoplasias</c:v>
                </c:pt>
                <c:pt idx="3">
                  <c:v>Infeciosas e parasitárias</c:v>
                </c:pt>
                <c:pt idx="4">
                  <c:v>Sintomas mal definidos</c:v>
                </c:pt>
                <c:pt idx="5">
                  <c:v>Causas externas</c:v>
                </c:pt>
                <c:pt idx="6">
                  <c:v>Traumatismos e envenenamentos</c:v>
                </c:pt>
                <c:pt idx="7">
                  <c:v>Afeções perinatais</c:v>
                </c:pt>
                <c:pt idx="8">
                  <c:v>Aparelho digestivo</c:v>
                </c:pt>
                <c:pt idx="9">
                  <c:v>Metab/endoc/nutricionais</c:v>
                </c:pt>
                <c:pt idx="10">
                  <c:v>Aarelho génito urinário</c:v>
                </c:pt>
                <c:pt idx="11">
                  <c:v>Mentais e comportamento</c:v>
                </c:pt>
              </c:strCache>
            </c:strRef>
          </c:cat>
          <c:val>
            <c:numRef>
              <c:f>Saude!$C$43:$C$54</c:f>
              <c:numCache>
                <c:formatCode>General</c:formatCode>
                <c:ptCount val="12"/>
                <c:pt idx="0">
                  <c:v>148.4</c:v>
                </c:pt>
                <c:pt idx="1">
                  <c:v>62</c:v>
                </c:pt>
                <c:pt idx="2">
                  <c:v>52.3</c:v>
                </c:pt>
                <c:pt idx="3">
                  <c:v>40</c:v>
                </c:pt>
                <c:pt idx="4">
                  <c:v>39.200000000000003</c:v>
                </c:pt>
                <c:pt idx="5">
                  <c:v>5.6</c:v>
                </c:pt>
                <c:pt idx="6">
                  <c:v>10.5</c:v>
                </c:pt>
                <c:pt idx="7">
                  <c:v>13.8</c:v>
                </c:pt>
                <c:pt idx="8">
                  <c:v>12.3</c:v>
                </c:pt>
                <c:pt idx="9">
                  <c:v>10.199999999999999</c:v>
                </c:pt>
                <c:pt idx="10">
                  <c:v>7.8</c:v>
                </c:pt>
                <c:pt idx="11">
                  <c:v>0.7</c:v>
                </c:pt>
              </c:numCache>
            </c:numRef>
          </c:val>
          <c:smooth val="0"/>
          <c:extLst>
            <c:ext xmlns:c16="http://schemas.microsoft.com/office/drawing/2014/chart" uri="{C3380CC4-5D6E-409C-BE32-E72D297353CC}">
              <c16:uniqueId val="{00000018-D918-430F-A412-53D6ED567F4B}"/>
            </c:ext>
          </c:extLst>
        </c:ser>
        <c:dLbls>
          <c:showLegendKey val="0"/>
          <c:showVal val="0"/>
          <c:showCatName val="0"/>
          <c:showSerName val="0"/>
          <c:showPercent val="0"/>
          <c:showBubbleSize val="0"/>
        </c:dLbls>
        <c:marker val="1"/>
        <c:smooth val="0"/>
        <c:axId val="549932352"/>
        <c:axId val="549935304"/>
      </c:lineChart>
      <c:catAx>
        <c:axId val="5499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49935304"/>
        <c:crosses val="autoZero"/>
        <c:auto val="1"/>
        <c:lblAlgn val="ctr"/>
        <c:lblOffset val="100"/>
        <c:noMultiLvlLbl val="0"/>
      </c:catAx>
      <c:valAx>
        <c:axId val="549935304"/>
        <c:scaling>
          <c:orientation val="minMax"/>
        </c:scaling>
        <c:delete val="1"/>
        <c:axPos val="l"/>
        <c:numFmt formatCode="General" sourceLinked="1"/>
        <c:majorTickMark val="none"/>
        <c:minorTickMark val="none"/>
        <c:tickLblPos val="nextTo"/>
        <c:crossAx val="549932352"/>
        <c:crosses val="autoZero"/>
        <c:crossBetween val="between"/>
      </c:valAx>
      <c:spPr>
        <a:noFill/>
        <a:ln>
          <a:noFill/>
        </a:ln>
        <a:effectLst/>
      </c:spPr>
    </c:plotArea>
    <c:legend>
      <c:legendPos val="b"/>
      <c:layout>
        <c:manualLayout>
          <c:xMode val="edge"/>
          <c:yMode val="edge"/>
          <c:x val="0.54754658792650923"/>
          <c:y val="7.2779216742644065E-2"/>
          <c:w val="0.39022422756795477"/>
          <c:h val="4.9270417840105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
          <c:y val="0.11708012835175177"/>
          <c:w val="0.96971075489994085"/>
          <c:h val="0.77141292579691578"/>
        </c:manualLayout>
      </c:layout>
      <c:barChart>
        <c:barDir val="col"/>
        <c:grouping val="percentStacked"/>
        <c:varyColors val="0"/>
        <c:ser>
          <c:idx val="0"/>
          <c:order val="0"/>
          <c:tx>
            <c:strRef>
              <c:f>Folha1!$C$8</c:f>
              <c:strCache>
                <c:ptCount val="1"/>
                <c:pt idx="0">
                  <c:v>Mulheres</c:v>
                </c:pt>
              </c:strCache>
            </c:strRef>
          </c:tx>
          <c:spPr>
            <a:solidFill>
              <a:schemeClr val="accent6">
                <a:shade val="76000"/>
              </a:schemeClr>
            </a:solidFill>
            <a:ln>
              <a:noFill/>
            </a:ln>
            <a:effectLst/>
          </c:spPr>
          <c:invertIfNegative val="0"/>
          <c:dLbls>
            <c:dLbl>
              <c:idx val="0"/>
              <c:layout>
                <c:manualLayout>
                  <c:x val="4.5662100456621002E-3"/>
                  <c:y val="-2.773925104022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D1-4F79-971B-A6BC73CF9CD2}"/>
                </c:ext>
              </c:extLst>
            </c:dLbl>
            <c:spPr>
              <a:noFill/>
              <a:ln>
                <a:noFill/>
              </a:ln>
              <a:effectLst/>
            </c:spPr>
            <c:txPr>
              <a:bodyPr rot="0" spcFirstLastPara="1" vertOverflow="ellipsis" vert="horz" wrap="square" anchor="ctr" anchorCtr="1"/>
              <a:lstStyle/>
              <a:p>
                <a:pPr>
                  <a:defRPr sz="600" b="1" i="0" u="none" strike="noStrike" kern="1200" baseline="0">
                    <a:solidFill>
                      <a:schemeClr val="bg1"/>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Folha1!$B$9:$B$14</c:f>
              <c:numCache>
                <c:formatCode>General</c:formatCode>
                <c:ptCount val="6"/>
                <c:pt idx="0">
                  <c:v>1991</c:v>
                </c:pt>
                <c:pt idx="1">
                  <c:v>1995</c:v>
                </c:pt>
                <c:pt idx="2">
                  <c:v>2001</c:v>
                </c:pt>
                <c:pt idx="3">
                  <c:v>2006</c:v>
                </c:pt>
                <c:pt idx="4">
                  <c:v>2011</c:v>
                </c:pt>
                <c:pt idx="5">
                  <c:v>2016</c:v>
                </c:pt>
              </c:numCache>
            </c:numRef>
          </c:cat>
          <c:val>
            <c:numRef>
              <c:f>Folha1!$C$9:$C$14</c:f>
              <c:numCache>
                <c:formatCode>General</c:formatCode>
                <c:ptCount val="6"/>
                <c:pt idx="0">
                  <c:v>3.8</c:v>
                </c:pt>
                <c:pt idx="1">
                  <c:v>11.1</c:v>
                </c:pt>
                <c:pt idx="2">
                  <c:v>11.1</c:v>
                </c:pt>
                <c:pt idx="3">
                  <c:v>15.3</c:v>
                </c:pt>
                <c:pt idx="4">
                  <c:v>20.8</c:v>
                </c:pt>
                <c:pt idx="5">
                  <c:v>23.6</c:v>
                </c:pt>
              </c:numCache>
            </c:numRef>
          </c:val>
          <c:extLst>
            <c:ext xmlns:c16="http://schemas.microsoft.com/office/drawing/2014/chart" uri="{C3380CC4-5D6E-409C-BE32-E72D297353CC}">
              <c16:uniqueId val="{00000001-B4D1-4F79-971B-A6BC73CF9CD2}"/>
            </c:ext>
          </c:extLst>
        </c:ser>
        <c:ser>
          <c:idx val="1"/>
          <c:order val="1"/>
          <c:tx>
            <c:strRef>
              <c:f>Folha1!$D$8</c:f>
              <c:strCache>
                <c:ptCount val="1"/>
                <c:pt idx="0">
                  <c:v>Homens</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Folha1!$B$9:$B$14</c:f>
              <c:numCache>
                <c:formatCode>General</c:formatCode>
                <c:ptCount val="6"/>
                <c:pt idx="0">
                  <c:v>1991</c:v>
                </c:pt>
                <c:pt idx="1">
                  <c:v>1995</c:v>
                </c:pt>
                <c:pt idx="2">
                  <c:v>2001</c:v>
                </c:pt>
                <c:pt idx="3">
                  <c:v>2006</c:v>
                </c:pt>
                <c:pt idx="4">
                  <c:v>2011</c:v>
                </c:pt>
                <c:pt idx="5">
                  <c:v>2016</c:v>
                </c:pt>
              </c:numCache>
            </c:numRef>
          </c:cat>
          <c:val>
            <c:numRef>
              <c:f>Folha1!$D$9:$D$14</c:f>
              <c:numCache>
                <c:formatCode>General</c:formatCode>
                <c:ptCount val="6"/>
                <c:pt idx="0">
                  <c:v>96.2</c:v>
                </c:pt>
                <c:pt idx="1">
                  <c:v>88.9</c:v>
                </c:pt>
                <c:pt idx="2">
                  <c:v>88.9</c:v>
                </c:pt>
                <c:pt idx="3">
                  <c:v>84.7</c:v>
                </c:pt>
                <c:pt idx="4">
                  <c:v>79.2</c:v>
                </c:pt>
                <c:pt idx="5">
                  <c:v>76.400000000000006</c:v>
                </c:pt>
              </c:numCache>
            </c:numRef>
          </c:val>
          <c:extLst>
            <c:ext xmlns:c16="http://schemas.microsoft.com/office/drawing/2014/chart" uri="{C3380CC4-5D6E-409C-BE32-E72D297353CC}">
              <c16:uniqueId val="{00000002-B4D1-4F79-971B-A6BC73CF9CD2}"/>
            </c:ext>
          </c:extLst>
        </c:ser>
        <c:dLbls>
          <c:showLegendKey val="0"/>
          <c:showVal val="0"/>
          <c:showCatName val="0"/>
          <c:showSerName val="0"/>
          <c:showPercent val="0"/>
          <c:showBubbleSize val="0"/>
        </c:dLbls>
        <c:gapWidth val="150"/>
        <c:overlap val="100"/>
        <c:axId val="516700512"/>
        <c:axId val="516694608"/>
      </c:barChart>
      <c:catAx>
        <c:axId val="51670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PT"/>
          </a:p>
        </c:txPr>
        <c:crossAx val="516694608"/>
        <c:crosses val="autoZero"/>
        <c:auto val="1"/>
        <c:lblAlgn val="ctr"/>
        <c:lblOffset val="100"/>
        <c:noMultiLvlLbl val="0"/>
      </c:catAx>
      <c:valAx>
        <c:axId val="516694608"/>
        <c:scaling>
          <c:orientation val="minMax"/>
        </c:scaling>
        <c:delete val="1"/>
        <c:axPos val="l"/>
        <c:numFmt formatCode="0%" sourceLinked="1"/>
        <c:majorTickMark val="none"/>
        <c:minorTickMark val="none"/>
        <c:tickLblPos val="nextTo"/>
        <c:crossAx val="516700512"/>
        <c:crosses val="autoZero"/>
        <c:crossBetween val="between"/>
      </c:valAx>
      <c:spPr>
        <a:noFill/>
        <a:ln>
          <a:noFill/>
        </a:ln>
        <a:effectLst/>
      </c:spPr>
    </c:plotArea>
    <c:legend>
      <c:legendPos val="b"/>
      <c:layout>
        <c:manualLayout>
          <c:xMode val="edge"/>
          <c:yMode val="edge"/>
          <c:x val="0.50575021872265968"/>
          <c:y val="1.4467045785943447E-2"/>
          <c:w val="0.43016622922134745"/>
          <c:h val="8.077276023604862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800"/>
      </a:pPr>
      <a:endParaRPr lang="pt-P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
          <c:y val="0.12962962962962962"/>
          <c:w val="1"/>
          <c:h val="0.67124541717586939"/>
        </c:manualLayout>
      </c:layout>
      <c:barChart>
        <c:barDir val="col"/>
        <c:grouping val="percentStacked"/>
        <c:varyColors val="0"/>
        <c:ser>
          <c:idx val="0"/>
          <c:order val="0"/>
          <c:tx>
            <c:strRef>
              <c:f>Folha1!$C$21</c:f>
              <c:strCache>
                <c:ptCount val="1"/>
                <c:pt idx="0">
                  <c:v>Mulheres</c:v>
                </c:pt>
              </c:strCache>
            </c:strRef>
          </c:tx>
          <c:spPr>
            <a:solidFill>
              <a:schemeClr val="accent5">
                <a:shade val="76000"/>
              </a:schemeClr>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6551-48B0-991F-457BFDAA1C2F}"/>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1"/>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Folha1!$B$22:$B$26</c:f>
              <c:strCache>
                <c:ptCount val="5"/>
                <c:pt idx="0">
                  <c:v>Poder autárquico</c:v>
                </c:pt>
                <c:pt idx="1">
                  <c:v>Deputado(a)s AM</c:v>
                </c:pt>
                <c:pt idx="2">
                  <c:v>Vereador(a)</c:v>
                </c:pt>
                <c:pt idx="3">
                  <c:v>Presidente Mesa AM</c:v>
                </c:pt>
                <c:pt idx="4">
                  <c:v>Presidente CM</c:v>
                </c:pt>
              </c:strCache>
            </c:strRef>
          </c:cat>
          <c:val>
            <c:numRef>
              <c:f>Folha1!$C$22:$C$26</c:f>
              <c:numCache>
                <c:formatCode>General</c:formatCode>
                <c:ptCount val="5"/>
                <c:pt idx="0">
                  <c:v>26.3</c:v>
                </c:pt>
                <c:pt idx="1">
                  <c:v>29.4</c:v>
                </c:pt>
                <c:pt idx="2">
                  <c:v>21</c:v>
                </c:pt>
                <c:pt idx="3">
                  <c:v>13.6</c:v>
                </c:pt>
                <c:pt idx="4">
                  <c:v>0</c:v>
                </c:pt>
              </c:numCache>
            </c:numRef>
          </c:val>
          <c:extLst>
            <c:ext xmlns:c16="http://schemas.microsoft.com/office/drawing/2014/chart" uri="{C3380CC4-5D6E-409C-BE32-E72D297353CC}">
              <c16:uniqueId val="{00000001-6551-48B0-991F-457BFDAA1C2F}"/>
            </c:ext>
          </c:extLst>
        </c:ser>
        <c:ser>
          <c:idx val="1"/>
          <c:order val="1"/>
          <c:tx>
            <c:strRef>
              <c:f>Folha1!$D$21</c:f>
              <c:strCache>
                <c:ptCount val="1"/>
                <c:pt idx="0">
                  <c:v>Homens</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Folha1!$B$22:$B$26</c:f>
              <c:strCache>
                <c:ptCount val="5"/>
                <c:pt idx="0">
                  <c:v>Poder autárquico</c:v>
                </c:pt>
                <c:pt idx="1">
                  <c:v>Deputado(a)s AM</c:v>
                </c:pt>
                <c:pt idx="2">
                  <c:v>Vereador(a)</c:v>
                </c:pt>
                <c:pt idx="3">
                  <c:v>Presidente Mesa AM</c:v>
                </c:pt>
                <c:pt idx="4">
                  <c:v>Presidente CM</c:v>
                </c:pt>
              </c:strCache>
            </c:strRef>
          </c:cat>
          <c:val>
            <c:numRef>
              <c:f>Folha1!$D$22:$D$26</c:f>
              <c:numCache>
                <c:formatCode>General</c:formatCode>
                <c:ptCount val="5"/>
                <c:pt idx="0">
                  <c:v>73.7</c:v>
                </c:pt>
                <c:pt idx="1">
                  <c:v>70.599999999999994</c:v>
                </c:pt>
                <c:pt idx="2">
                  <c:v>79</c:v>
                </c:pt>
                <c:pt idx="3">
                  <c:v>86.4</c:v>
                </c:pt>
                <c:pt idx="4">
                  <c:v>100</c:v>
                </c:pt>
              </c:numCache>
            </c:numRef>
          </c:val>
          <c:extLst>
            <c:ext xmlns:c16="http://schemas.microsoft.com/office/drawing/2014/chart" uri="{C3380CC4-5D6E-409C-BE32-E72D297353CC}">
              <c16:uniqueId val="{00000002-6551-48B0-991F-457BFDAA1C2F}"/>
            </c:ext>
          </c:extLst>
        </c:ser>
        <c:dLbls>
          <c:showLegendKey val="0"/>
          <c:showVal val="0"/>
          <c:showCatName val="0"/>
          <c:showSerName val="0"/>
          <c:showPercent val="0"/>
          <c:showBubbleSize val="0"/>
        </c:dLbls>
        <c:gapWidth val="150"/>
        <c:overlap val="100"/>
        <c:axId val="458559448"/>
        <c:axId val="458559776"/>
      </c:barChart>
      <c:catAx>
        <c:axId val="458559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pt-PT"/>
          </a:p>
        </c:txPr>
        <c:crossAx val="458559776"/>
        <c:crosses val="autoZero"/>
        <c:auto val="1"/>
        <c:lblAlgn val="ctr"/>
        <c:lblOffset val="100"/>
        <c:noMultiLvlLbl val="0"/>
      </c:catAx>
      <c:valAx>
        <c:axId val="458559776"/>
        <c:scaling>
          <c:orientation val="minMax"/>
        </c:scaling>
        <c:delete val="1"/>
        <c:axPos val="l"/>
        <c:numFmt formatCode="0%" sourceLinked="1"/>
        <c:majorTickMark val="none"/>
        <c:minorTickMark val="none"/>
        <c:tickLblPos val="nextTo"/>
        <c:crossAx val="458559448"/>
        <c:crosses val="autoZero"/>
        <c:crossBetween val="between"/>
      </c:valAx>
      <c:spPr>
        <a:noFill/>
        <a:ln>
          <a:noFill/>
        </a:ln>
        <a:effectLst/>
      </c:spPr>
    </c:plotArea>
    <c:legend>
      <c:legendPos val="b"/>
      <c:layout>
        <c:manualLayout>
          <c:xMode val="edge"/>
          <c:yMode val="edge"/>
          <c:x val="0.4672950050467205"/>
          <c:y val="0"/>
          <c:w val="0.4630658650220898"/>
          <c:h val="8.6058838043895844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6.1111111111111109E-2"/>
          <c:y val="6.4814814814814811E-2"/>
          <c:w val="0.60976435107772842"/>
          <c:h val="0.73577136191309422"/>
        </c:manualLayout>
      </c:layout>
      <c:barChart>
        <c:barDir val="col"/>
        <c:grouping val="percentStacked"/>
        <c:varyColors val="0"/>
        <c:ser>
          <c:idx val="0"/>
          <c:order val="0"/>
          <c:tx>
            <c:strRef>
              <c:f>Folha1!$C$35</c:f>
              <c:strCache>
                <c:ptCount val="1"/>
                <c:pt idx="0">
                  <c:v>Mulheres</c:v>
                </c:pt>
              </c:strCache>
            </c:strRef>
          </c:tx>
          <c:spPr>
            <a:solidFill>
              <a:schemeClr val="accent4">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Folha1!$B$36:$B$37</c:f>
              <c:strCache>
                <c:ptCount val="2"/>
                <c:pt idx="0">
                  <c:v>Dirigentes intermédios </c:v>
                </c:pt>
                <c:pt idx="1">
                  <c:v>Dirigentes superiores</c:v>
                </c:pt>
              </c:strCache>
            </c:strRef>
          </c:cat>
          <c:val>
            <c:numRef>
              <c:f>Folha1!$C$36:$C$37</c:f>
              <c:numCache>
                <c:formatCode>General</c:formatCode>
                <c:ptCount val="2"/>
                <c:pt idx="0">
                  <c:v>20</c:v>
                </c:pt>
                <c:pt idx="1">
                  <c:v>34</c:v>
                </c:pt>
              </c:numCache>
            </c:numRef>
          </c:val>
          <c:extLst>
            <c:ext xmlns:c16="http://schemas.microsoft.com/office/drawing/2014/chart" uri="{C3380CC4-5D6E-409C-BE32-E72D297353CC}">
              <c16:uniqueId val="{00000000-C5DB-46E3-883E-B0DAF3A01680}"/>
            </c:ext>
          </c:extLst>
        </c:ser>
        <c:ser>
          <c:idx val="1"/>
          <c:order val="1"/>
          <c:tx>
            <c:strRef>
              <c:f>Folha1!$D$35</c:f>
              <c:strCache>
                <c:ptCount val="1"/>
                <c:pt idx="0">
                  <c:v>Homens</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Folha1!$B$36:$B$37</c:f>
              <c:strCache>
                <c:ptCount val="2"/>
                <c:pt idx="0">
                  <c:v>Dirigentes intermédios </c:v>
                </c:pt>
                <c:pt idx="1">
                  <c:v>Dirigentes superiores</c:v>
                </c:pt>
              </c:strCache>
            </c:strRef>
          </c:cat>
          <c:val>
            <c:numRef>
              <c:f>Folha1!$D$36:$D$37</c:f>
              <c:numCache>
                <c:formatCode>General</c:formatCode>
                <c:ptCount val="2"/>
                <c:pt idx="0">
                  <c:v>80</c:v>
                </c:pt>
                <c:pt idx="1">
                  <c:v>66</c:v>
                </c:pt>
              </c:numCache>
            </c:numRef>
          </c:val>
          <c:extLst>
            <c:ext xmlns:c16="http://schemas.microsoft.com/office/drawing/2014/chart" uri="{C3380CC4-5D6E-409C-BE32-E72D297353CC}">
              <c16:uniqueId val="{00000001-C5DB-46E3-883E-B0DAF3A01680}"/>
            </c:ext>
          </c:extLst>
        </c:ser>
        <c:dLbls>
          <c:showLegendKey val="0"/>
          <c:showVal val="0"/>
          <c:showCatName val="0"/>
          <c:showSerName val="0"/>
          <c:showPercent val="0"/>
          <c:showBubbleSize val="0"/>
        </c:dLbls>
        <c:gapWidth val="150"/>
        <c:overlap val="100"/>
        <c:axId val="522483704"/>
        <c:axId val="454813496"/>
      </c:barChart>
      <c:catAx>
        <c:axId val="522483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PT"/>
          </a:p>
        </c:txPr>
        <c:crossAx val="454813496"/>
        <c:crosses val="autoZero"/>
        <c:auto val="1"/>
        <c:lblAlgn val="ctr"/>
        <c:lblOffset val="100"/>
        <c:noMultiLvlLbl val="0"/>
      </c:catAx>
      <c:valAx>
        <c:axId val="454813496"/>
        <c:scaling>
          <c:orientation val="minMax"/>
        </c:scaling>
        <c:delete val="1"/>
        <c:axPos val="l"/>
        <c:numFmt formatCode="0%" sourceLinked="1"/>
        <c:majorTickMark val="none"/>
        <c:minorTickMark val="none"/>
        <c:tickLblPos val="nextTo"/>
        <c:crossAx val="522483704"/>
        <c:crosses val="autoZero"/>
        <c:crossBetween val="between"/>
      </c:valAx>
      <c:spPr>
        <a:noFill/>
        <a:ln>
          <a:noFill/>
        </a:ln>
        <a:effectLst/>
      </c:spPr>
    </c:plotArea>
    <c:legend>
      <c:legendPos val="b"/>
      <c:layout>
        <c:manualLayout>
          <c:xMode val="edge"/>
          <c:yMode val="edge"/>
          <c:x val="0.62013047736566307"/>
          <c:y val="6.232827718797268E-2"/>
          <c:w val="0.32796686605319803"/>
          <c:h val="0.270829386901143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424591738712779E-2"/>
          <c:y val="0.19688324876886834"/>
          <c:w val="0.91354466858789629"/>
          <c:h val="0.70342551420048305"/>
        </c:manualLayout>
      </c:layout>
      <c:pie3DChart>
        <c:varyColors val="1"/>
        <c:ser>
          <c:idx val="0"/>
          <c:order val="0"/>
          <c:tx>
            <c:strRef>
              <c:f>POBREZA!$B$86</c:f>
              <c:strCache>
                <c:ptCount val="1"/>
                <c:pt idx="0">
                  <c:v>Extremamente Pobre</c:v>
                </c:pt>
              </c:strCache>
            </c:strRef>
          </c:tx>
          <c:dPt>
            <c:idx val="0"/>
            <c:bubble3D val="0"/>
            <c:spPr>
              <a:solidFill>
                <a:schemeClr val="accent5">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890-4E9C-9BAD-0823CAAC31E7}"/>
              </c:ext>
            </c:extLst>
          </c:dPt>
          <c:dPt>
            <c:idx val="1"/>
            <c:bubble3D val="0"/>
            <c:spPr>
              <a:solidFill>
                <a:schemeClr val="accent5">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890-4E9C-9BAD-0823CAAC31E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POBREZA!$A$87:$A$88</c:f>
              <c:strCache>
                <c:ptCount val="2"/>
                <c:pt idx="0">
                  <c:v>Homens </c:v>
                </c:pt>
                <c:pt idx="1">
                  <c:v>Mulheres</c:v>
                </c:pt>
              </c:strCache>
            </c:strRef>
          </c:cat>
          <c:val>
            <c:numRef>
              <c:f>POBREZA!$B$87:$B$88</c:f>
              <c:numCache>
                <c:formatCode>General</c:formatCode>
                <c:ptCount val="2"/>
                <c:pt idx="0">
                  <c:v>46.4</c:v>
                </c:pt>
                <c:pt idx="1">
                  <c:v>53.6</c:v>
                </c:pt>
              </c:numCache>
            </c:numRef>
          </c:val>
          <c:extLst>
            <c:ext xmlns:c16="http://schemas.microsoft.com/office/drawing/2014/chart" uri="{C3380CC4-5D6E-409C-BE32-E72D297353CC}">
              <c16:uniqueId val="{00000004-A890-4E9C-9BAD-0823CAAC31E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2.8449502133712661E-2"/>
          <c:w val="0.28400076599867075"/>
          <c:h val="0.254353737278903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9513065699827945"/>
          <c:y val="0.15730887362483945"/>
          <c:w val="0.70486934300172055"/>
          <c:h val="0.84269112637516053"/>
        </c:manualLayout>
      </c:layout>
      <c:barChart>
        <c:barDir val="bar"/>
        <c:grouping val="percentStacked"/>
        <c:varyColors val="0"/>
        <c:ser>
          <c:idx val="0"/>
          <c:order val="0"/>
          <c:tx>
            <c:strRef>
              <c:f>POBREZA!$B$90</c:f>
              <c:strCache>
                <c:ptCount val="1"/>
                <c:pt idx="0">
                  <c:v>Representante Mulher</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POBREZA!$A$91:$A$94</c:f>
              <c:strCache>
                <c:ptCount val="4"/>
                <c:pt idx="0">
                  <c:v>Agregados pobres CV</c:v>
                </c:pt>
                <c:pt idx="1">
                  <c:v>Agregados muito pobres CV</c:v>
                </c:pt>
                <c:pt idx="2">
                  <c:v>Agregados pobres urbanos</c:v>
                </c:pt>
                <c:pt idx="3">
                  <c:v>Agregados muito pobres urbanos</c:v>
                </c:pt>
              </c:strCache>
            </c:strRef>
          </c:cat>
          <c:val>
            <c:numRef>
              <c:f>POBREZA!$B$91:$B$94</c:f>
              <c:numCache>
                <c:formatCode>General</c:formatCode>
                <c:ptCount val="4"/>
                <c:pt idx="0">
                  <c:v>60.5</c:v>
                </c:pt>
                <c:pt idx="1">
                  <c:v>62.1</c:v>
                </c:pt>
                <c:pt idx="2">
                  <c:v>62.8</c:v>
                </c:pt>
                <c:pt idx="3">
                  <c:v>66.3</c:v>
                </c:pt>
              </c:numCache>
            </c:numRef>
          </c:val>
          <c:extLst>
            <c:ext xmlns:c16="http://schemas.microsoft.com/office/drawing/2014/chart" uri="{C3380CC4-5D6E-409C-BE32-E72D297353CC}">
              <c16:uniqueId val="{00000000-D75C-43FA-ABCB-73E0771E2EFB}"/>
            </c:ext>
          </c:extLst>
        </c:ser>
        <c:ser>
          <c:idx val="1"/>
          <c:order val="1"/>
          <c:tx>
            <c:strRef>
              <c:f>POBREZA!$C$90</c:f>
              <c:strCache>
                <c:ptCount val="1"/>
                <c:pt idx="0">
                  <c:v>Representante Homem</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POBREZA!$A$91:$A$94</c:f>
              <c:strCache>
                <c:ptCount val="4"/>
                <c:pt idx="0">
                  <c:v>Agregados pobres CV</c:v>
                </c:pt>
                <c:pt idx="1">
                  <c:v>Agregados muito pobres CV</c:v>
                </c:pt>
                <c:pt idx="2">
                  <c:v>Agregados pobres urbanos</c:v>
                </c:pt>
                <c:pt idx="3">
                  <c:v>Agregados muito pobres urbanos</c:v>
                </c:pt>
              </c:strCache>
            </c:strRef>
          </c:cat>
          <c:val>
            <c:numRef>
              <c:f>POBREZA!$C$91:$C$94</c:f>
              <c:numCache>
                <c:formatCode>General</c:formatCode>
                <c:ptCount val="4"/>
                <c:pt idx="0">
                  <c:v>39.5</c:v>
                </c:pt>
                <c:pt idx="1">
                  <c:v>37.9</c:v>
                </c:pt>
                <c:pt idx="2">
                  <c:v>37.200000000000003</c:v>
                </c:pt>
                <c:pt idx="3">
                  <c:v>33.700000000000003</c:v>
                </c:pt>
              </c:numCache>
            </c:numRef>
          </c:val>
          <c:extLst>
            <c:ext xmlns:c16="http://schemas.microsoft.com/office/drawing/2014/chart" uri="{C3380CC4-5D6E-409C-BE32-E72D297353CC}">
              <c16:uniqueId val="{00000001-D75C-43FA-ABCB-73E0771E2EFB}"/>
            </c:ext>
          </c:extLst>
        </c:ser>
        <c:dLbls>
          <c:showLegendKey val="0"/>
          <c:showVal val="0"/>
          <c:showCatName val="0"/>
          <c:showSerName val="0"/>
          <c:showPercent val="0"/>
          <c:showBubbleSize val="0"/>
        </c:dLbls>
        <c:gapWidth val="150"/>
        <c:overlap val="100"/>
        <c:axId val="529510376"/>
        <c:axId val="529517592"/>
      </c:barChart>
      <c:catAx>
        <c:axId val="529510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29517592"/>
        <c:crosses val="autoZero"/>
        <c:auto val="1"/>
        <c:lblAlgn val="ctr"/>
        <c:lblOffset val="100"/>
        <c:noMultiLvlLbl val="0"/>
      </c:catAx>
      <c:valAx>
        <c:axId val="529517592"/>
        <c:scaling>
          <c:orientation val="minMax"/>
        </c:scaling>
        <c:delete val="1"/>
        <c:axPos val="b"/>
        <c:numFmt formatCode="0%" sourceLinked="1"/>
        <c:majorTickMark val="none"/>
        <c:minorTickMark val="none"/>
        <c:tickLblPos val="nextTo"/>
        <c:crossAx val="529510376"/>
        <c:crosses val="autoZero"/>
        <c:crossBetween val="between"/>
      </c:valAx>
      <c:spPr>
        <a:noFill/>
        <a:ln>
          <a:noFill/>
        </a:ln>
        <a:effectLst/>
      </c:spPr>
    </c:plotArea>
    <c:legend>
      <c:legendPos val="b"/>
      <c:layout>
        <c:manualLayout>
          <c:xMode val="edge"/>
          <c:yMode val="edge"/>
          <c:x val="0.44030124375156621"/>
          <c:y val="6.1339431004033419E-2"/>
          <c:w val="0.50354044940362352"/>
          <c:h val="0.10988763525029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0689456500864222E-3"/>
          <c:y val="1.8821948384455866E-3"/>
          <c:w val="0.99693105434991358"/>
          <c:h val="0.86941920721448296"/>
        </c:manualLayout>
      </c:layout>
      <c:barChart>
        <c:barDir val="col"/>
        <c:grouping val="clustered"/>
        <c:varyColors val="0"/>
        <c:ser>
          <c:idx val="0"/>
          <c:order val="0"/>
          <c:tx>
            <c:strRef>
              <c:f>POBREZA!$A$135</c:f>
              <c:strCache>
                <c:ptCount val="1"/>
                <c:pt idx="0">
                  <c:v>Muito pobres</c:v>
                </c:pt>
              </c:strCache>
            </c:strRef>
          </c:tx>
          <c:spPr>
            <a:solidFill>
              <a:schemeClr val="accent1">
                <a:shade val="65000"/>
              </a:schemeClr>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38C5-4CBA-8A6D-847B8B5D342B}"/>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38C5-4CBA-8A6D-847B8B5D34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POBREZA!$B$134:$D$134</c:f>
              <c:strCache>
                <c:ptCount val="3"/>
                <c:pt idx="0">
                  <c:v>Representantes inativos </c:v>
                </c:pt>
                <c:pt idx="1">
                  <c:v>Representantes mulheres inativas</c:v>
                </c:pt>
                <c:pt idx="2">
                  <c:v>Representantes homens inativos</c:v>
                </c:pt>
              </c:strCache>
            </c:strRef>
          </c:cat>
          <c:val>
            <c:numRef>
              <c:f>POBREZA!$B$135:$D$135</c:f>
              <c:numCache>
                <c:formatCode>General</c:formatCode>
                <c:ptCount val="3"/>
                <c:pt idx="0">
                  <c:v>38.5</c:v>
                </c:pt>
                <c:pt idx="1">
                  <c:v>44.2</c:v>
                </c:pt>
                <c:pt idx="2">
                  <c:v>29.1</c:v>
                </c:pt>
              </c:numCache>
            </c:numRef>
          </c:val>
          <c:extLst>
            <c:ext xmlns:c16="http://schemas.microsoft.com/office/drawing/2014/chart" uri="{C3380CC4-5D6E-409C-BE32-E72D297353CC}">
              <c16:uniqueId val="{00000004-38C5-4CBA-8A6D-847B8B5D342B}"/>
            </c:ext>
          </c:extLst>
        </c:ser>
        <c:ser>
          <c:idx val="1"/>
          <c:order val="1"/>
          <c:tx>
            <c:strRef>
              <c:f>POBREZA!$A$136</c:f>
              <c:strCache>
                <c:ptCount val="1"/>
                <c:pt idx="0">
                  <c:v>Pobres </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38C5-4CBA-8A6D-847B8B5D342B}"/>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8-38C5-4CBA-8A6D-847B8B5D34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POBREZA!$B$134:$D$134</c:f>
              <c:strCache>
                <c:ptCount val="3"/>
                <c:pt idx="0">
                  <c:v>Representantes inativos </c:v>
                </c:pt>
                <c:pt idx="1">
                  <c:v>Representantes mulheres inativas</c:v>
                </c:pt>
                <c:pt idx="2">
                  <c:v>Representantes homens inativos</c:v>
                </c:pt>
              </c:strCache>
            </c:strRef>
          </c:cat>
          <c:val>
            <c:numRef>
              <c:f>POBREZA!$B$136:$D$136</c:f>
              <c:numCache>
                <c:formatCode>General</c:formatCode>
                <c:ptCount val="3"/>
                <c:pt idx="0">
                  <c:v>32.1</c:v>
                </c:pt>
                <c:pt idx="1">
                  <c:v>38.6</c:v>
                </c:pt>
                <c:pt idx="2">
                  <c:v>22.2</c:v>
                </c:pt>
              </c:numCache>
            </c:numRef>
          </c:val>
          <c:extLst>
            <c:ext xmlns:c16="http://schemas.microsoft.com/office/drawing/2014/chart" uri="{C3380CC4-5D6E-409C-BE32-E72D297353CC}">
              <c16:uniqueId val="{00000009-38C5-4CBA-8A6D-847B8B5D342B}"/>
            </c:ext>
          </c:extLst>
        </c:ser>
        <c:ser>
          <c:idx val="2"/>
          <c:order val="2"/>
          <c:tx>
            <c:strRef>
              <c:f>POBREZA!$A$137</c:f>
              <c:strCache>
                <c:ptCount val="1"/>
                <c:pt idx="0">
                  <c:v>Não pobres</c:v>
                </c:pt>
              </c:strCache>
            </c:strRef>
          </c:tx>
          <c:spPr>
            <a:solidFill>
              <a:schemeClr val="accent1">
                <a:tint val="65000"/>
              </a:schemeClr>
            </a:solidFill>
            <a:ln>
              <a:noFill/>
            </a:ln>
            <a:effectLst/>
          </c:spPr>
          <c:invertIfNegative val="0"/>
          <c:dPt>
            <c:idx val="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B-38C5-4CBA-8A6D-847B8B5D342B}"/>
              </c:ext>
            </c:extLst>
          </c:dPt>
          <c:dPt>
            <c:idx val="2"/>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D-38C5-4CBA-8A6D-847B8B5D34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POBREZA!$B$134:$D$134</c:f>
              <c:strCache>
                <c:ptCount val="3"/>
                <c:pt idx="0">
                  <c:v>Representantes inativos </c:v>
                </c:pt>
                <c:pt idx="1">
                  <c:v>Representantes mulheres inativas</c:v>
                </c:pt>
                <c:pt idx="2">
                  <c:v>Representantes homens inativos</c:v>
                </c:pt>
              </c:strCache>
            </c:strRef>
          </c:cat>
          <c:val>
            <c:numRef>
              <c:f>POBREZA!$B$137:$D$137</c:f>
              <c:numCache>
                <c:formatCode>General</c:formatCode>
                <c:ptCount val="3"/>
                <c:pt idx="0">
                  <c:v>26.7</c:v>
                </c:pt>
                <c:pt idx="1">
                  <c:v>32.799999999999997</c:v>
                </c:pt>
                <c:pt idx="2">
                  <c:v>20.3</c:v>
                </c:pt>
              </c:numCache>
            </c:numRef>
          </c:val>
          <c:extLst>
            <c:ext xmlns:c16="http://schemas.microsoft.com/office/drawing/2014/chart" uri="{C3380CC4-5D6E-409C-BE32-E72D297353CC}">
              <c16:uniqueId val="{0000000E-38C5-4CBA-8A6D-847B8B5D342B}"/>
            </c:ext>
          </c:extLst>
        </c:ser>
        <c:dLbls>
          <c:showLegendKey val="0"/>
          <c:showVal val="0"/>
          <c:showCatName val="0"/>
          <c:showSerName val="0"/>
          <c:showPercent val="0"/>
          <c:showBubbleSize val="0"/>
        </c:dLbls>
        <c:gapWidth val="219"/>
        <c:overlap val="-27"/>
        <c:axId val="554765248"/>
        <c:axId val="554766232"/>
      </c:barChart>
      <c:catAx>
        <c:axId val="55476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554766232"/>
        <c:crosses val="autoZero"/>
        <c:auto val="1"/>
        <c:lblAlgn val="ctr"/>
        <c:lblOffset val="100"/>
        <c:noMultiLvlLbl val="0"/>
      </c:catAx>
      <c:valAx>
        <c:axId val="554766232"/>
        <c:scaling>
          <c:orientation val="minMax"/>
        </c:scaling>
        <c:delete val="1"/>
        <c:axPos val="l"/>
        <c:numFmt formatCode="General" sourceLinked="1"/>
        <c:majorTickMark val="none"/>
        <c:minorTickMark val="none"/>
        <c:tickLblPos val="nextTo"/>
        <c:crossAx val="554765248"/>
        <c:crosses val="autoZero"/>
        <c:crossBetween val="between"/>
      </c:valAx>
      <c:spPr>
        <a:noFill/>
        <a:ln>
          <a:noFill/>
        </a:ln>
        <a:effectLst/>
      </c:spPr>
    </c:plotArea>
    <c:legend>
      <c:legendPos val="b"/>
      <c:layout>
        <c:manualLayout>
          <c:xMode val="edge"/>
          <c:yMode val="edge"/>
          <c:x val="0"/>
          <c:y val="2.8355934674832307E-2"/>
          <c:w val="0.3699193393508738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25189900448834429"/>
          <c:y val="3.0688711612018159E-2"/>
          <c:w val="0.50071557253568155"/>
          <c:h val="0.63525253744282906"/>
        </c:manualLayout>
      </c:layout>
      <c:doughnutChart>
        <c:varyColors val="1"/>
        <c:ser>
          <c:idx val="0"/>
          <c:order val="0"/>
          <c:dPt>
            <c:idx val="0"/>
            <c:bubble3D val="0"/>
            <c:spPr>
              <a:solidFill>
                <a:schemeClr val="accent2">
                  <a:shade val="65000"/>
                </a:schemeClr>
              </a:solidFill>
              <a:ln w="19050">
                <a:solidFill>
                  <a:schemeClr val="lt1"/>
                </a:solidFill>
              </a:ln>
              <a:effectLst/>
            </c:spPr>
            <c:extLst>
              <c:ext xmlns:c16="http://schemas.microsoft.com/office/drawing/2014/chart" uri="{C3380CC4-5D6E-409C-BE32-E72D297353CC}">
                <c16:uniqueId val="{00000001-ED51-45D5-AA82-F22620759E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51-45D5-AA82-F22620759E61}"/>
              </c:ext>
            </c:extLst>
          </c:dPt>
          <c:dPt>
            <c:idx val="2"/>
            <c:bubble3D val="0"/>
            <c:spPr>
              <a:solidFill>
                <a:schemeClr val="accent2">
                  <a:tint val="65000"/>
                </a:schemeClr>
              </a:solidFill>
              <a:ln w="19050">
                <a:solidFill>
                  <a:schemeClr val="lt1"/>
                </a:solidFill>
              </a:ln>
              <a:effectLst/>
            </c:spPr>
            <c:extLst>
              <c:ext xmlns:c16="http://schemas.microsoft.com/office/drawing/2014/chart" uri="{C3380CC4-5D6E-409C-BE32-E72D297353CC}">
                <c16:uniqueId val="{00000005-ED51-45D5-AA82-F22620759E61}"/>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Garamond" panose="02020404030301010803" pitchFamily="18" charset="0"/>
                        <a:ea typeface="+mn-ea"/>
                        <a:cs typeface="+mn-cs"/>
                      </a:defRPr>
                    </a:pPr>
                    <a:r>
                      <a:rPr lang="en-US">
                        <a:solidFill>
                          <a:schemeClr val="bg1"/>
                        </a:solidFill>
                      </a:rPr>
                      <a:t>43%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D51-45D5-AA82-F22620759E61}"/>
                </c:ext>
              </c:extLst>
            </c:dLbl>
            <c:dLbl>
              <c:idx val="1"/>
              <c:layout>
                <c:manualLayout>
                  <c:x val="4.5168896570855471E-3"/>
                  <c:y val="5.5619542273567307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r>
                      <a:rPr lang="en-US"/>
                      <a:t>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39114724480578"/>
                      <c:h val="8.9683200056055276E-2"/>
                    </c:manualLayout>
                  </c15:layout>
                </c:ext>
                <c:ext xmlns:c16="http://schemas.microsoft.com/office/drawing/2014/chart" uri="{C3380CC4-5D6E-409C-BE32-E72D297353CC}">
                  <c16:uniqueId val="{00000003-ED51-45D5-AA82-F22620759E61}"/>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r>
                      <a:rPr lang="en-US"/>
                      <a:t>51%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ED51-45D5-AA82-F22620759E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Emprego!$A$69:$A$71</c:f>
              <c:strCache>
                <c:ptCount val="3"/>
                <c:pt idx="0">
                  <c:v>Pop ativa empregada</c:v>
                </c:pt>
                <c:pt idx="1">
                  <c:v>Pop ativa desempregada</c:v>
                </c:pt>
                <c:pt idx="2">
                  <c:v>Pop inativa</c:v>
                </c:pt>
              </c:strCache>
            </c:strRef>
          </c:cat>
          <c:val>
            <c:numRef>
              <c:f>Emprego!$B$69:$B$71</c:f>
              <c:numCache>
                <c:formatCode>0</c:formatCode>
                <c:ptCount val="3"/>
                <c:pt idx="0">
                  <c:v>43.111940298507463</c:v>
                </c:pt>
                <c:pt idx="1">
                  <c:v>5.6318407960199002</c:v>
                </c:pt>
                <c:pt idx="2">
                  <c:v>51.310945273631837</c:v>
                </c:pt>
              </c:numCache>
            </c:numRef>
          </c:val>
          <c:extLst>
            <c:ext xmlns:c16="http://schemas.microsoft.com/office/drawing/2014/chart" uri="{C3380CC4-5D6E-409C-BE32-E72D297353CC}">
              <c16:uniqueId val="{00000006-ED51-45D5-AA82-F22620759E6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47928761123794439"/>
          <c:y val="0.69152019882188476"/>
          <c:w val="0.47219668248539637"/>
          <c:h val="0.29937031770876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25957827305485121"/>
          <c:y val="3.3937768775237652E-2"/>
          <c:w val="0.41587958284875409"/>
          <c:h val="0.64668022483635323"/>
        </c:manualLayout>
      </c:layout>
      <c:doughnutChart>
        <c:varyColors val="1"/>
        <c:ser>
          <c:idx val="0"/>
          <c:order val="0"/>
          <c:dPt>
            <c:idx val="0"/>
            <c:bubble3D val="0"/>
            <c:spPr>
              <a:solidFill>
                <a:schemeClr val="accent4">
                  <a:shade val="65000"/>
                </a:schemeClr>
              </a:solidFill>
              <a:ln w="19050">
                <a:solidFill>
                  <a:schemeClr val="lt1"/>
                </a:solidFill>
              </a:ln>
              <a:effectLst/>
            </c:spPr>
            <c:extLst>
              <c:ext xmlns:c16="http://schemas.microsoft.com/office/drawing/2014/chart" uri="{C3380CC4-5D6E-409C-BE32-E72D297353CC}">
                <c16:uniqueId val="{00000001-5E85-4F28-B0B6-9477FFFEFAE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E85-4F28-B0B6-9477FFFEFAE6}"/>
              </c:ext>
            </c:extLst>
          </c:dPt>
          <c:dPt>
            <c:idx val="2"/>
            <c:bubble3D val="0"/>
            <c:spPr>
              <a:solidFill>
                <a:schemeClr val="accent4">
                  <a:tint val="65000"/>
                </a:schemeClr>
              </a:solidFill>
              <a:ln w="19050">
                <a:solidFill>
                  <a:schemeClr val="lt1"/>
                </a:solidFill>
              </a:ln>
              <a:effectLst/>
            </c:spPr>
            <c:extLst>
              <c:ext xmlns:c16="http://schemas.microsoft.com/office/drawing/2014/chart" uri="{C3380CC4-5D6E-409C-BE32-E72D297353CC}">
                <c16:uniqueId val="{00000005-5E85-4F28-B0B6-9477FFFEFAE6}"/>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Garamond" panose="02020404030301010803" pitchFamily="18" charset="0"/>
                      <a:ea typeface="+mn-ea"/>
                      <a:cs typeface="+mn-cs"/>
                    </a:defRPr>
                  </a:pPr>
                  <a:endParaRPr lang="pt-PT"/>
                </a:p>
              </c:txPr>
              <c:showLegendKey val="0"/>
              <c:showVal val="0"/>
              <c:showCatName val="0"/>
              <c:showSerName val="0"/>
              <c:showPercent val="1"/>
              <c:showBubbleSize val="0"/>
              <c:extLst>
                <c:ext xmlns:c16="http://schemas.microsoft.com/office/drawing/2014/chart" uri="{C3380CC4-5D6E-409C-BE32-E72D297353CC}">
                  <c16:uniqueId val="{00000001-5E85-4F28-B0B6-9477FFFEFA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Emprego!$A$47:$A$49</c:f>
              <c:strCache>
                <c:ptCount val="3"/>
                <c:pt idx="0">
                  <c:v>Pop ativa empregada</c:v>
                </c:pt>
                <c:pt idx="1">
                  <c:v>Pop ativa desempregada</c:v>
                </c:pt>
                <c:pt idx="2">
                  <c:v>Pop inativa</c:v>
                </c:pt>
              </c:strCache>
            </c:strRef>
          </c:cat>
          <c:val>
            <c:numRef>
              <c:f>Emprego!$B$47:$B$49</c:f>
              <c:numCache>
                <c:formatCode>0.0</c:formatCode>
                <c:ptCount val="3"/>
                <c:pt idx="0">
                  <c:v>54.587914025735849</c:v>
                </c:pt>
                <c:pt idx="1">
                  <c:v>7.9142272695210556</c:v>
                </c:pt>
                <c:pt idx="2">
                  <c:v>37.497858704743095</c:v>
                </c:pt>
              </c:numCache>
            </c:numRef>
          </c:val>
          <c:extLst>
            <c:ext xmlns:c16="http://schemas.microsoft.com/office/drawing/2014/chart" uri="{C3380CC4-5D6E-409C-BE32-E72D297353CC}">
              <c16:uniqueId val="{00000006-5E85-4F28-B0B6-9477FFFEFAE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0.4332238344420784"/>
          <c:y val="0.69451766390163794"/>
          <c:w val="0.55013511498619028"/>
          <c:h val="0.279598116876956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6654049618520523"/>
          <c:y val="2.1559788700770261E-2"/>
          <c:w val="0.60906925991235572"/>
          <c:h val="0.90041306874080884"/>
        </c:manualLayout>
      </c:layout>
      <c:barChart>
        <c:barDir val="bar"/>
        <c:grouping val="percentStacked"/>
        <c:varyColors val="0"/>
        <c:ser>
          <c:idx val="0"/>
          <c:order val="0"/>
          <c:tx>
            <c:strRef>
              <c:f>Emprego!$B$169</c:f>
              <c:strCache>
                <c:ptCount val="1"/>
                <c:pt idx="0">
                  <c:v>Masculino</c:v>
                </c:pt>
              </c:strCache>
            </c:strRef>
          </c:tx>
          <c:spPr>
            <a:solidFill>
              <a:schemeClr val="accent3">
                <a:tint val="77000"/>
                <a:alpha val="70000"/>
              </a:schemeClr>
            </a:solidFill>
            <a:ln>
              <a:noFill/>
            </a:ln>
            <a:effectLst/>
          </c:spPr>
          <c:invertIfNegative val="0"/>
          <c:dLbls>
            <c:dLbl>
              <c:idx val="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A2-4988-89AE-FA949E1A7EB3}"/>
                </c:ext>
              </c:extLst>
            </c:dLbl>
            <c:dLbl>
              <c:idx val="8"/>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A2-4988-89AE-FA949E1A7EB3}"/>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A2-4988-89AE-FA949E1A7EB3}"/>
                </c:ext>
              </c:extLst>
            </c:dLbl>
            <c:dLbl>
              <c:idx val="1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A2-4988-89AE-FA949E1A7EB3}"/>
                </c:ext>
              </c:extLst>
            </c:dLbl>
            <c:dLbl>
              <c:idx val="1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A2-4988-89AE-FA949E1A7EB3}"/>
                </c:ext>
              </c:extLst>
            </c:dLbl>
            <c:dLbl>
              <c:idx val="1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A2-4988-89AE-FA949E1A7EB3}"/>
                </c:ext>
              </c:extLst>
            </c:dLbl>
            <c:dLbl>
              <c:idx val="1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A2-4988-89AE-FA949E1A7EB3}"/>
                </c:ext>
              </c:extLst>
            </c:dLbl>
            <c:dLbl>
              <c:idx val="1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A2-4988-89AE-FA949E1A7EB3}"/>
                </c:ext>
              </c:extLst>
            </c:dLbl>
            <c:dLbl>
              <c:idx val="1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A2-4988-89AE-FA949E1A7EB3}"/>
                </c:ext>
              </c:extLst>
            </c:dLbl>
            <c:dLbl>
              <c:idx val="1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A2-4988-89AE-FA949E1A7EB3}"/>
                </c:ext>
              </c:extLst>
            </c:dLbl>
            <c:dLbl>
              <c:idx val="1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3A2-4988-89AE-FA949E1A7EB3}"/>
                </c:ext>
              </c:extLst>
            </c:dLbl>
            <c:dLbl>
              <c:idx val="18"/>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A2-4988-89AE-FA949E1A7EB3}"/>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3A2-4988-89AE-FA949E1A7EB3}"/>
                </c:ext>
              </c:extLst>
            </c:dLbl>
            <c:dLbl>
              <c:idx val="2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3A2-4988-89AE-FA949E1A7EB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pt-PT"/>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Emprego!$A$170:$A$190</c:f>
              <c:strCache>
                <c:ptCount val="21"/>
                <c:pt idx="0">
                  <c:v>Famílias Empregadores de Doméstico(a)s</c:v>
                </c:pt>
                <c:pt idx="1">
                  <c:v>Educação </c:v>
                </c:pt>
                <c:pt idx="2">
                  <c:v>Saúde e Acão Social  </c:v>
                </c:pt>
                <c:pt idx="3">
                  <c:v>Actividades Financeiras e Seguros </c:v>
                </c:pt>
                <c:pt idx="4">
                  <c:v>Alojamento e Restauração </c:v>
                </c:pt>
                <c:pt idx="5">
                  <c:v>Comércio </c:v>
                </c:pt>
                <c:pt idx="6">
                  <c:v>Água e Saneamento</c:v>
                </c:pt>
                <c:pt idx="7">
                  <c:v>Outras Actividades e Serviços </c:v>
                </c:pt>
                <c:pt idx="8">
                  <c:v>Indústria Transformadora</c:v>
                </c:pt>
                <c:pt idx="9">
                  <c:v>AP, Defesa e Segurança Social  </c:v>
                </c:pt>
                <c:pt idx="10">
                  <c:v>Indústrias Extractivas </c:v>
                </c:pt>
                <c:pt idx="11">
                  <c:v>Consultoria Cientificas e Técnicas</c:v>
                </c:pt>
                <c:pt idx="12">
                  <c:v>Informação e Comunicação  </c:v>
                </c:pt>
                <c:pt idx="13">
                  <c:v>Organismos Int. e ONG  </c:v>
                </c:pt>
                <c:pt idx="14">
                  <c:v>Act. Administrativas/Serviços de Apoio  </c:v>
                </c:pt>
                <c:pt idx="15">
                  <c:v>Actividades Imobiliárias </c:v>
                </c:pt>
                <c:pt idx="16">
                  <c:v>Agricultura, Pecuária, Pesca </c:v>
                </c:pt>
                <c:pt idx="17">
                  <c:v>Act. Artísticas e Desportivas</c:v>
                </c:pt>
                <c:pt idx="18">
                  <c:v>Electricidade, Quente e Frio </c:v>
                </c:pt>
                <c:pt idx="19">
                  <c:v>Transporte e Armazenagem</c:v>
                </c:pt>
                <c:pt idx="20">
                  <c:v>Construção </c:v>
                </c:pt>
              </c:strCache>
            </c:strRef>
          </c:cat>
          <c:val>
            <c:numRef>
              <c:f>Emprego!$B$170:$B$190</c:f>
              <c:numCache>
                <c:formatCode>0</c:formatCode>
                <c:ptCount val="21"/>
                <c:pt idx="0" formatCode="0.0">
                  <c:v>4.6915148728101288</c:v>
                </c:pt>
                <c:pt idx="1">
                  <c:v>29.026550501524785</c:v>
                </c:pt>
                <c:pt idx="2">
                  <c:v>30.005088776651167</c:v>
                </c:pt>
                <c:pt idx="3" formatCode="0.0">
                  <c:v>36.237482691497256</c:v>
                </c:pt>
                <c:pt idx="4" formatCode="0.0">
                  <c:v>36.318453180992748</c:v>
                </c:pt>
                <c:pt idx="5" formatCode="0.0">
                  <c:v>37.854305731781324</c:v>
                </c:pt>
                <c:pt idx="6" formatCode="0.0">
                  <c:v>45.460553230323818</c:v>
                </c:pt>
                <c:pt idx="7">
                  <c:v>52.006048052106294</c:v>
                </c:pt>
                <c:pt idx="8" formatCode="0.0">
                  <c:v>56.864091420037909</c:v>
                </c:pt>
                <c:pt idx="9" formatCode="0.0">
                  <c:v>57.698221976661365</c:v>
                </c:pt>
                <c:pt idx="10" formatCode="0.0">
                  <c:v>59.327880971099354</c:v>
                </c:pt>
                <c:pt idx="11">
                  <c:v>60.005815321988841</c:v>
                </c:pt>
                <c:pt idx="12" formatCode="0.0">
                  <c:v>61.409251285912958</c:v>
                </c:pt>
                <c:pt idx="13" formatCode="0.0">
                  <c:v>62.505678990978517</c:v>
                </c:pt>
                <c:pt idx="14" formatCode="0.0">
                  <c:v>66.202604959915448</c:v>
                </c:pt>
                <c:pt idx="15" formatCode="0.0">
                  <c:v>67.572877296710701</c:v>
                </c:pt>
                <c:pt idx="16" formatCode="0.0">
                  <c:v>75.591325578130125</c:v>
                </c:pt>
                <c:pt idx="17" formatCode="0.0">
                  <c:v>77.469018437807748</c:v>
                </c:pt>
                <c:pt idx="18">
                  <c:v>89.043460119674165</c:v>
                </c:pt>
                <c:pt idx="19" formatCode="0.0">
                  <c:v>92.517270162915196</c:v>
                </c:pt>
                <c:pt idx="20" formatCode="0.0">
                  <c:v>96.195390094535327</c:v>
                </c:pt>
              </c:numCache>
            </c:numRef>
          </c:val>
          <c:extLst>
            <c:ext xmlns:c16="http://schemas.microsoft.com/office/drawing/2014/chart" uri="{C3380CC4-5D6E-409C-BE32-E72D297353CC}">
              <c16:uniqueId val="{0000000E-13A2-4988-89AE-FA949E1A7EB3}"/>
            </c:ext>
          </c:extLst>
        </c:ser>
        <c:ser>
          <c:idx val="1"/>
          <c:order val="1"/>
          <c:tx>
            <c:strRef>
              <c:f>Emprego!$C$169</c:f>
              <c:strCache>
                <c:ptCount val="1"/>
                <c:pt idx="0">
                  <c:v>Feminino</c:v>
                </c:pt>
              </c:strCache>
            </c:strRef>
          </c:tx>
          <c:spPr>
            <a:solidFill>
              <a:schemeClr val="accent3">
                <a:shade val="76000"/>
                <a:alpha val="70000"/>
              </a:schemeClr>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3A2-4988-89AE-FA949E1A7EB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3A2-4988-89AE-FA949E1A7EB3}"/>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3A2-4988-89AE-FA949E1A7EB3}"/>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3A2-4988-89AE-FA949E1A7EB3}"/>
                </c:ext>
              </c:extLst>
            </c:dLbl>
            <c:dLbl>
              <c:idx val="4"/>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3A2-4988-89AE-FA949E1A7EB3}"/>
                </c:ext>
              </c:extLst>
            </c:dLbl>
            <c:dLbl>
              <c:idx val="5"/>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3A2-4988-89AE-FA949E1A7EB3}"/>
                </c:ext>
              </c:extLst>
            </c:dLbl>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3A2-4988-89AE-FA949E1A7EB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Garamond" panose="02020404030301010803" pitchFamily="18" charset="0"/>
                    <a:ea typeface="+mn-ea"/>
                    <a:cs typeface="+mn-cs"/>
                  </a:defRPr>
                </a:pPr>
                <a:endParaRPr lang="pt-PT"/>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Emprego!$A$170:$A$190</c:f>
              <c:strCache>
                <c:ptCount val="21"/>
                <c:pt idx="0">
                  <c:v>Famílias Empregadores de Doméstico(a)s</c:v>
                </c:pt>
                <c:pt idx="1">
                  <c:v>Educação </c:v>
                </c:pt>
                <c:pt idx="2">
                  <c:v>Saúde e Acão Social  </c:v>
                </c:pt>
                <c:pt idx="3">
                  <c:v>Actividades Financeiras e Seguros </c:v>
                </c:pt>
                <c:pt idx="4">
                  <c:v>Alojamento e Restauração </c:v>
                </c:pt>
                <c:pt idx="5">
                  <c:v>Comércio </c:v>
                </c:pt>
                <c:pt idx="6">
                  <c:v>Água e Saneamento</c:v>
                </c:pt>
                <c:pt idx="7">
                  <c:v>Outras Actividades e Serviços </c:v>
                </c:pt>
                <c:pt idx="8">
                  <c:v>Indústria Transformadora</c:v>
                </c:pt>
                <c:pt idx="9">
                  <c:v>AP, Defesa e Segurança Social  </c:v>
                </c:pt>
                <c:pt idx="10">
                  <c:v>Indústrias Extractivas </c:v>
                </c:pt>
                <c:pt idx="11">
                  <c:v>Consultoria Cientificas e Técnicas</c:v>
                </c:pt>
                <c:pt idx="12">
                  <c:v>Informação e Comunicação  </c:v>
                </c:pt>
                <c:pt idx="13">
                  <c:v>Organismos Int. e ONG  </c:v>
                </c:pt>
                <c:pt idx="14">
                  <c:v>Act. Administrativas/Serviços de Apoio  </c:v>
                </c:pt>
                <c:pt idx="15">
                  <c:v>Actividades Imobiliárias </c:v>
                </c:pt>
                <c:pt idx="16">
                  <c:v>Agricultura, Pecuária, Pesca </c:v>
                </c:pt>
                <c:pt idx="17">
                  <c:v>Act. Artísticas e Desportivas</c:v>
                </c:pt>
                <c:pt idx="18">
                  <c:v>Electricidade, Quente e Frio </c:v>
                </c:pt>
                <c:pt idx="19">
                  <c:v>Transporte e Armazenagem</c:v>
                </c:pt>
                <c:pt idx="20">
                  <c:v>Construção </c:v>
                </c:pt>
              </c:strCache>
            </c:strRef>
          </c:cat>
          <c:val>
            <c:numRef>
              <c:f>Emprego!$C$170:$C$190</c:f>
              <c:numCache>
                <c:formatCode>0</c:formatCode>
                <c:ptCount val="21"/>
                <c:pt idx="0" formatCode="0.0">
                  <c:v>95.308485127189869</c:v>
                </c:pt>
                <c:pt idx="1">
                  <c:v>70.973449498475219</c:v>
                </c:pt>
                <c:pt idx="2">
                  <c:v>69.994911223348822</c:v>
                </c:pt>
                <c:pt idx="3" formatCode="0.0">
                  <c:v>63.762517308502744</c:v>
                </c:pt>
                <c:pt idx="4" formatCode="0.0">
                  <c:v>63.681546819007238</c:v>
                </c:pt>
                <c:pt idx="5" formatCode="0.0">
                  <c:v>62.145694268218676</c:v>
                </c:pt>
                <c:pt idx="6" formatCode="0.0">
                  <c:v>54.539446769676182</c:v>
                </c:pt>
                <c:pt idx="7">
                  <c:v>47.993951947893706</c:v>
                </c:pt>
                <c:pt idx="8" formatCode="0.0">
                  <c:v>43.135908579962091</c:v>
                </c:pt>
                <c:pt idx="9" formatCode="0.0">
                  <c:v>42.301778023338635</c:v>
                </c:pt>
                <c:pt idx="10" formatCode="0.0">
                  <c:v>40.672119028900653</c:v>
                </c:pt>
                <c:pt idx="11">
                  <c:v>39.994184678011159</c:v>
                </c:pt>
                <c:pt idx="12" formatCode="0.0">
                  <c:v>38.590748714087056</c:v>
                </c:pt>
                <c:pt idx="13" formatCode="0.0">
                  <c:v>37.494321009021476</c:v>
                </c:pt>
                <c:pt idx="14" formatCode="0.0">
                  <c:v>33.79739504008456</c:v>
                </c:pt>
                <c:pt idx="15" formatCode="0.0">
                  <c:v>32.427122703289299</c:v>
                </c:pt>
                <c:pt idx="16" formatCode="0.0">
                  <c:v>24.408674421869879</c:v>
                </c:pt>
                <c:pt idx="17" formatCode="0.0">
                  <c:v>22.530981562192256</c:v>
                </c:pt>
                <c:pt idx="18">
                  <c:v>10.956539880325833</c:v>
                </c:pt>
                <c:pt idx="19" formatCode="0.0">
                  <c:v>7.4827298370847961</c:v>
                </c:pt>
                <c:pt idx="20" formatCode="0.0">
                  <c:v>3.8046099054646678</c:v>
                </c:pt>
              </c:numCache>
            </c:numRef>
          </c:val>
          <c:extLst>
            <c:ext xmlns:c16="http://schemas.microsoft.com/office/drawing/2014/chart" uri="{C3380CC4-5D6E-409C-BE32-E72D297353CC}">
              <c16:uniqueId val="{00000016-13A2-4988-89AE-FA949E1A7EB3}"/>
            </c:ext>
          </c:extLst>
        </c:ser>
        <c:dLbls>
          <c:dLblPos val="ctr"/>
          <c:showLegendKey val="0"/>
          <c:showVal val="1"/>
          <c:showCatName val="0"/>
          <c:showSerName val="0"/>
          <c:showPercent val="0"/>
          <c:showBubbleSize val="0"/>
        </c:dLbls>
        <c:gapWidth val="50"/>
        <c:overlap val="100"/>
        <c:axId val="300746784"/>
        <c:axId val="300750720"/>
      </c:barChart>
      <c:catAx>
        <c:axId val="300746784"/>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crossAx val="300750720"/>
        <c:crosses val="autoZero"/>
        <c:auto val="1"/>
        <c:lblAlgn val="ctr"/>
        <c:lblOffset val="100"/>
        <c:noMultiLvlLbl val="0"/>
      </c:catAx>
      <c:valAx>
        <c:axId val="30075072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crossAx val="300746784"/>
        <c:crosses val="autoZero"/>
        <c:crossBetween val="between"/>
      </c:valAx>
      <c:spPr>
        <a:noFill/>
        <a:ln>
          <a:noFill/>
        </a:ln>
        <a:effectLst/>
      </c:spPr>
    </c:plotArea>
    <c:legend>
      <c:legendPos val="b"/>
      <c:layout>
        <c:manualLayout>
          <c:xMode val="edge"/>
          <c:yMode val="edge"/>
          <c:x val="0.37816610506835202"/>
          <c:y val="0.93959460988142696"/>
          <c:w val="0.24366761527314629"/>
          <c:h val="5.6051885547393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withinLinear" id="15">
  <a:schemeClr val="accent2"/>
</cs:colorStyle>
</file>

<file path=word/charts/colors11.xml><?xml version="1.0" encoding="utf-8"?>
<cs:colorStyle xmlns:cs="http://schemas.microsoft.com/office/drawing/2012/chartStyle" xmlns:a="http://schemas.openxmlformats.org/drawingml/2006/main" meth="withinLinear" id="19">
  <a:schemeClr val="accent6"/>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5">
  <a:schemeClr val="accent2"/>
</cs:colorStyle>
</file>

<file path=word/charts/colors14.xml><?xml version="1.0" encoding="utf-8"?>
<cs:colorStyle xmlns:cs="http://schemas.microsoft.com/office/drawing/2012/chartStyle" xmlns:a="http://schemas.openxmlformats.org/drawingml/2006/main" meth="withinLinear" id="17">
  <a:schemeClr val="accent4"/>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6">
  <a:schemeClr val="accent3"/>
</cs:colorStyle>
</file>

<file path=word/charts/colors1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20.xml><?xml version="1.0" encoding="utf-8"?>
<cs:colorStyle xmlns:cs="http://schemas.microsoft.com/office/drawing/2012/chartStyle" xmlns:a="http://schemas.openxmlformats.org/drawingml/2006/main" meth="withinLinear" id="14">
  <a:schemeClr val="accent1"/>
</cs:colorStyle>
</file>

<file path=word/charts/colors21.xml><?xml version="1.0" encoding="utf-8"?>
<cs:colorStyle xmlns:cs="http://schemas.microsoft.com/office/drawing/2012/chartStyle" xmlns:a="http://schemas.openxmlformats.org/drawingml/2006/main" meth="withinLinear" id="15">
  <a:schemeClr val="accent2"/>
</cs:colorStyle>
</file>

<file path=word/charts/colors22.xml><?xml version="1.0" encoding="utf-8"?>
<cs:colorStyle xmlns:cs="http://schemas.microsoft.com/office/drawing/2012/chartStyle" xmlns:a="http://schemas.openxmlformats.org/drawingml/2006/main" meth="withinLinear" id="19">
  <a:schemeClr val="accent6"/>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24.xml><?xml version="1.0" encoding="utf-8"?>
<cs:colorStyle xmlns:cs="http://schemas.microsoft.com/office/drawing/2012/chartStyle" xmlns:a="http://schemas.openxmlformats.org/drawingml/2006/main" meth="withinLinear" id="19">
  <a:schemeClr val="accent6"/>
</cs:colorStyle>
</file>

<file path=word/charts/colors25.xml><?xml version="1.0" encoding="utf-8"?>
<cs:colorStyle xmlns:cs="http://schemas.microsoft.com/office/drawing/2012/chartStyle" xmlns:a="http://schemas.openxmlformats.org/drawingml/2006/main" meth="withinLinear" id="17">
  <a:schemeClr val="accent4"/>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withinLinear" id="19">
  <a:schemeClr val="accent6"/>
</cs:colorStyle>
</file>

<file path=word/charts/colors36.xml><?xml version="1.0" encoding="utf-8"?>
<cs:colorStyle xmlns:cs="http://schemas.microsoft.com/office/drawing/2012/chartStyle" xmlns:a="http://schemas.openxmlformats.org/drawingml/2006/main" meth="withinLinear" id="18">
  <a:schemeClr val="accent5"/>
</cs:colorStyle>
</file>

<file path=word/charts/colors37.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Reversed" id="23">
  <a:schemeClr val="accent3"/>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0.08077</cdr:x>
      <cdr:y>0.71968</cdr:y>
    </cdr:from>
    <cdr:to>
      <cdr:x>0.43498</cdr:x>
      <cdr:y>0.87969</cdr:y>
    </cdr:to>
    <cdr:sp macro="" textlink="">
      <cdr:nvSpPr>
        <cdr:cNvPr id="2" name="Caixa de Texto 2"/>
        <cdr:cNvSpPr txBox="1">
          <a:spLocks xmlns:a="http://schemas.openxmlformats.org/drawingml/2006/main" noChangeArrowheads="1"/>
        </cdr:cNvSpPr>
      </cdr:nvSpPr>
      <cdr:spPr bwMode="auto">
        <a:xfrm xmlns:a="http://schemas.openxmlformats.org/drawingml/2006/main">
          <a:off x="208022" y="1204638"/>
          <a:ext cx="912289" cy="26784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1200" b="1">
              <a:effectLst/>
              <a:latin typeface="Garamond" panose="02020404030301010803" pitchFamily="18" charset="0"/>
              <a:ea typeface="Calibri" panose="020F0502020204030204" pitchFamily="34" charset="0"/>
              <a:cs typeface="Times New Roman" panose="02020603050405020304" pitchFamily="18" charset="0"/>
            </a:rPr>
            <a:t>Mulheres</a:t>
          </a:r>
          <a:endParaRPr lang="pt-PT" sz="1200" b="1">
            <a:effectLst/>
            <a:latin typeface="Garamond" panose="02020404030301010803" pitchFamily="18"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0.04431</cdr:x>
      <cdr:y>0.69721</cdr:y>
    </cdr:from>
    <cdr:to>
      <cdr:x>0.38632</cdr:x>
      <cdr:y>0.85525</cdr:y>
    </cdr:to>
    <cdr:sp macro="" textlink="">
      <cdr:nvSpPr>
        <cdr:cNvPr id="2" name="Caixa de Texto 2"/>
        <cdr:cNvSpPr txBox="1">
          <a:spLocks xmlns:a="http://schemas.openxmlformats.org/drawingml/2006/main" noChangeArrowheads="1"/>
        </cdr:cNvSpPr>
      </cdr:nvSpPr>
      <cdr:spPr bwMode="auto">
        <a:xfrm xmlns:a="http://schemas.openxmlformats.org/drawingml/2006/main">
          <a:off x="116199" y="1175881"/>
          <a:ext cx="896940" cy="26655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spcAft>
              <a:spcPts val="0"/>
            </a:spcAft>
          </a:pPr>
          <a:r>
            <a:rPr lang="en-US" sz="1200" b="1">
              <a:effectLst/>
              <a:latin typeface="Garamond" panose="02020404030301010803" pitchFamily="18" charset="0"/>
              <a:ea typeface="Calibri" panose="020F0502020204030204" pitchFamily="34" charset="0"/>
              <a:cs typeface="Times New Roman" panose="02020603050405020304" pitchFamily="18" charset="0"/>
            </a:rPr>
            <a:t>Homens</a:t>
          </a:r>
          <a:endParaRPr lang="pt-PT" sz="1200">
            <a:effectLst/>
            <a:latin typeface="Garamond" panose="02020404030301010803"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19AF-FE52-41B9-AFBA-371E3D9E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59783</Words>
  <Characters>322834</Characters>
  <Application>Microsoft Office Word</Application>
  <DocSecurity>0</DocSecurity>
  <Lines>2690</Lines>
  <Paragraphs>763</Paragraphs>
  <ScaleCrop>false</ScaleCrop>
  <HeadingPairs>
    <vt:vector size="6" baseType="variant">
      <vt:variant>
        <vt:lpstr>Título</vt:lpstr>
      </vt:variant>
      <vt:variant>
        <vt:i4>1</vt:i4>
      </vt:variant>
      <vt:variant>
        <vt:lpstr>Cabeçalhos</vt:lpstr>
      </vt:variant>
      <vt:variant>
        <vt:i4>17</vt:i4>
      </vt:variant>
      <vt:variant>
        <vt:lpstr>Title</vt:lpstr>
      </vt:variant>
      <vt:variant>
        <vt:i4>1</vt:i4>
      </vt:variant>
    </vt:vector>
  </HeadingPairs>
  <TitlesOfParts>
    <vt:vector size="19" baseType="lpstr">
      <vt:lpstr/>
      <vt:lpstr>Lista de Gráficos</vt:lpstr>
      <vt:lpstr>Lista de Tabelas</vt:lpstr>
      <vt:lpstr>PARTE I – INTRODUÇÃO</vt:lpstr>
      <vt:lpstr>    O que é o PNIG</vt:lpstr>
      <vt:lpstr>    Estruturação do PNIG</vt:lpstr>
      <vt:lpstr>    Metodologia de elaboração do PNIG </vt:lpstr>
      <vt:lpstr>PARTE II – CONTEXTO DE IMPLEMENTAÇÃO DO PNIG</vt:lpstr>
      <vt:lpstr>    Quadro político, institucional e normativo para a implementação do PNIG </vt:lpstr>
      <vt:lpstr>    Quadro normativo internacional de direitos humanos</vt:lpstr>
      <vt:lpstr>    Contexto nacional de Cabo Verde e igualdade de género </vt:lpstr>
      <vt:lpstr>    Principais avanços e desafios de igualdade de género </vt:lpstr>
      <vt:lpstr>    Lições Aprendidas e desafios na implementação do PNIG 2015-2018</vt:lpstr>
      <vt:lpstr>PARTE III – QUADRO DE INTERVENÇÃO – PNIG 2020-2023</vt:lpstr>
      <vt:lpstr>    Princípios e diretrizes orientadores </vt:lpstr>
      <vt:lpstr>    Visão e Missão do PNIG</vt:lpstr>
      <vt:lpstr>    Eixos Prioritários </vt:lpstr>
      <vt:lpstr>    Eixo estratégico 1 - Empoderamento económico e igualdade no trabalho </vt:lpstr>
      <vt:lpstr/>
    </vt:vector>
  </TitlesOfParts>
  <Company/>
  <LinksUpToDate>false</LinksUpToDate>
  <CharactersWithSpaces>381854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Vanilde Évora Furtado</dc:creator>
  <cp:keywords/>
  <dc:description/>
  <cp:lastModifiedBy>Clara Barros</cp:lastModifiedBy>
  <cp:revision>2</cp:revision>
  <cp:lastPrinted>2019-08-05T10:20:00Z</cp:lastPrinted>
  <dcterms:created xsi:type="dcterms:W3CDTF">2020-02-17T18:56:00Z</dcterms:created>
  <dcterms:modified xsi:type="dcterms:W3CDTF">2020-02-17T18:56:00Z</dcterms:modified>
</cp:coreProperties>
</file>